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34824" w14:textId="77777777" w:rsidR="00F458B9" w:rsidRPr="004F22F4" w:rsidRDefault="00F458B9" w:rsidP="00F458B9">
      <w:pPr>
        <w:pStyle w:val="Title"/>
        <w:rPr>
          <w:sz w:val="44"/>
          <w:szCs w:val="44"/>
        </w:rPr>
      </w:pPr>
      <w:r w:rsidRPr="004F22F4">
        <w:rPr>
          <w:sz w:val="44"/>
          <w:szCs w:val="44"/>
        </w:rPr>
        <w:t>ALETHEIA Specification Language (ISL) v2.1</w:t>
      </w:r>
    </w:p>
    <w:p w14:paraId="76D36484" w14:textId="77777777" w:rsidR="00F458B9" w:rsidRPr="004F22F4" w:rsidRDefault="00F458B9" w:rsidP="00F458B9">
      <w:pPr>
        <w:pStyle w:val="Heading1"/>
        <w:spacing w:before="0" w:after="120"/>
        <w:rPr>
          <w:rFonts w:asciiTheme="minorHAnsi" w:hAnsiTheme="minorHAnsi"/>
        </w:rPr>
      </w:pPr>
      <w:r w:rsidRPr="004F22F4">
        <w:rPr>
          <w:rFonts w:asciiTheme="minorHAnsi" w:hAnsiTheme="minorHAnsi"/>
        </w:rPr>
        <w:t>ISL v2.1 The Agent Collaboration Model</w:t>
      </w:r>
    </w:p>
    <w:p w14:paraId="26C41B2F" w14:textId="77777777" w:rsidR="00F458B9" w:rsidRPr="004F22F4" w:rsidRDefault="00F458B9" w:rsidP="00F458B9">
      <w:pPr>
        <w:pStyle w:val="Heading2"/>
        <w:spacing w:before="0" w:after="120"/>
        <w:rPr>
          <w:rFonts w:asciiTheme="minorHAnsi" w:hAnsiTheme="minorHAnsi"/>
        </w:rPr>
      </w:pPr>
      <w:r w:rsidRPr="004F22F4">
        <w:rPr>
          <w:rFonts w:asciiTheme="minorHAnsi" w:hAnsiTheme="minorHAnsi"/>
        </w:rPr>
        <w:t>1.0 Purpose of the Agent Collaboration Model</w:t>
      </w:r>
    </w:p>
    <w:p w14:paraId="4C539E09"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The Agent Collaboration Model defines how the ALETHEIA platform coordinates specialized reasoning components during the autonomous software construction process. While the platform architecture defines the structural subsystems of ALETHEIA, the agent collaboration model defines the behavior of the reasoning workforce operating within that architecture.</w:t>
      </w:r>
    </w:p>
    <w:p w14:paraId="3EE28F71"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The purpose of this model is to ensure that software construction is not performed by a single undifferentiated reasoning process, but rather through a coordinated set of specialized agents that reflect the major disciplines of the software development lifecycle. These agents interpret specifications, plan architecture, generate implementations, validate results, and refine the system through iterative feedback loops.</w:t>
      </w:r>
    </w:p>
    <w:p w14:paraId="14A5C988"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By organizing reasoning responsibilities into distinct collaborative roles, the platform improves clarity, control, specialization, and auditability.</w:t>
      </w:r>
    </w:p>
    <w:p w14:paraId="373113F7" w14:textId="77777777" w:rsidR="00F458B9" w:rsidRPr="004F22F4" w:rsidRDefault="00F458B9" w:rsidP="00F458B9">
      <w:pPr>
        <w:pStyle w:val="Heading2"/>
        <w:spacing w:before="0" w:after="120"/>
        <w:rPr>
          <w:rFonts w:asciiTheme="minorHAnsi" w:hAnsiTheme="minorHAnsi"/>
        </w:rPr>
      </w:pPr>
      <w:r w:rsidRPr="004F22F4">
        <w:rPr>
          <w:rFonts w:asciiTheme="minorHAnsi" w:hAnsiTheme="minorHAnsi"/>
        </w:rPr>
        <w:t>2.0 Rationale for Multi-Agent Collaboration</w:t>
      </w:r>
    </w:p>
    <w:p w14:paraId="70D7AEFD"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Complex software systems are the product of multiple perspectives. In traditional engineering teams, planners, architects, developers, testers, operators, and security professionals contribute different forms of expertise. The ALETHEIA platform mirrors this structure by distributing autonomous reasoning across multiple specialized agents.</w:t>
      </w:r>
    </w:p>
    <w:p w14:paraId="1D610BF6"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A multi-agent approach provides several advantages. It allows different reasoning strategies to be applied to different classes of tasks. It makes it possible to isolate responsibilities and evaluate agent outputs more clearly. It also supports staged review, internal critique, and iterative refinement before artifacts are finalized.</w:t>
      </w:r>
    </w:p>
    <w:p w14:paraId="2F148D26"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The multi-agent model therefore aligns the autonomous construction process with the collaborative structure of real-world engineering practice.</w:t>
      </w:r>
    </w:p>
    <w:p w14:paraId="4277A7CC" w14:textId="77777777" w:rsidR="00F458B9" w:rsidRPr="004F22F4" w:rsidRDefault="00F458B9" w:rsidP="00F458B9">
      <w:pPr>
        <w:pStyle w:val="Heading2"/>
        <w:spacing w:before="0" w:after="120"/>
        <w:rPr>
          <w:rFonts w:asciiTheme="minorHAnsi" w:hAnsiTheme="minorHAnsi"/>
        </w:rPr>
      </w:pPr>
      <w:r w:rsidRPr="004F22F4">
        <w:rPr>
          <w:rFonts w:asciiTheme="minorHAnsi" w:hAnsiTheme="minorHAnsi"/>
        </w:rPr>
        <w:t>3.0 Agent Collaboration as a Controlled System</w:t>
      </w:r>
    </w:p>
    <w:p w14:paraId="036D1168"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Within ALETHEIA, agents do not operate as independent free-form actors. They function within a controlled orchestration environment governed by the planning model, the tool integration model, the traceability model, and the governance engine.</w:t>
      </w:r>
    </w:p>
    <w:p w14:paraId="0A418386"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This means that agent collaboration is structured by task assignments, bounded by policy constraints, and grounded in deterministic tool feedback. Agents may reason, propose, analyze, and generate, but they do not define the overall execution flow independently. Their work is coordinated by the Agent Orchestrator introduced in ISL v2.0.</w:t>
      </w:r>
    </w:p>
    <w:p w14:paraId="0E5F5CC3"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lastRenderedPageBreak/>
        <w:t>This controlled model ensures that agent collaboration contributes to reliable construction rather than unbounded autonomy.</w:t>
      </w:r>
    </w:p>
    <w:p w14:paraId="7B765757" w14:textId="77777777" w:rsidR="00F458B9" w:rsidRPr="004F22F4" w:rsidRDefault="00F458B9" w:rsidP="00F458B9">
      <w:pPr>
        <w:pStyle w:val="Heading2"/>
        <w:spacing w:before="0" w:after="120"/>
        <w:rPr>
          <w:rFonts w:asciiTheme="minorHAnsi" w:hAnsiTheme="minorHAnsi"/>
        </w:rPr>
      </w:pPr>
      <w:r w:rsidRPr="004F22F4">
        <w:rPr>
          <w:rFonts w:asciiTheme="minorHAnsi" w:hAnsiTheme="minorHAnsi"/>
        </w:rPr>
        <w:t>4.0 Primary Agent Roles</w:t>
      </w:r>
    </w:p>
    <w:p w14:paraId="06018EC8"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The ALETHEIA platform organizes reasoning into a set of primary agent roles corresponding to the major stages of software construction. These roles are conceptual and may be implemented using one or more underlying models depending on the deployment environment.</w:t>
      </w:r>
    </w:p>
    <w:p w14:paraId="04CF50F9"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The primary agent roles include:</w:t>
      </w:r>
    </w:p>
    <w:p w14:paraId="20620A6B" w14:textId="77777777" w:rsidR="00F458B9" w:rsidRPr="004F22F4" w:rsidRDefault="00F458B9" w:rsidP="00F458B9">
      <w:pPr>
        <w:pStyle w:val="NormalWeb"/>
        <w:numPr>
          <w:ilvl w:val="0"/>
          <w:numId w:val="1"/>
        </w:numPr>
        <w:spacing w:before="0" w:beforeAutospacing="0" w:after="0" w:afterAutospacing="0"/>
        <w:rPr>
          <w:rFonts w:asciiTheme="minorHAnsi" w:hAnsiTheme="minorHAnsi"/>
        </w:rPr>
      </w:pPr>
      <w:r w:rsidRPr="004F22F4">
        <w:rPr>
          <w:rFonts w:asciiTheme="minorHAnsi" w:hAnsiTheme="minorHAnsi"/>
        </w:rPr>
        <w:t>the Specification Interpreter</w:t>
      </w:r>
    </w:p>
    <w:p w14:paraId="6C3679EB" w14:textId="77777777" w:rsidR="00F458B9" w:rsidRPr="004F22F4" w:rsidRDefault="00F458B9" w:rsidP="00F458B9">
      <w:pPr>
        <w:pStyle w:val="NormalWeb"/>
        <w:numPr>
          <w:ilvl w:val="0"/>
          <w:numId w:val="1"/>
        </w:numPr>
        <w:spacing w:before="0" w:beforeAutospacing="0" w:after="0" w:afterAutospacing="0"/>
        <w:rPr>
          <w:rFonts w:asciiTheme="minorHAnsi" w:hAnsiTheme="minorHAnsi"/>
        </w:rPr>
      </w:pPr>
      <w:r w:rsidRPr="004F22F4">
        <w:rPr>
          <w:rFonts w:asciiTheme="minorHAnsi" w:hAnsiTheme="minorHAnsi"/>
        </w:rPr>
        <w:t>the Architecture Planner</w:t>
      </w:r>
    </w:p>
    <w:p w14:paraId="00F01E6B" w14:textId="77777777" w:rsidR="00F458B9" w:rsidRPr="004F22F4" w:rsidRDefault="00F458B9" w:rsidP="00F458B9">
      <w:pPr>
        <w:pStyle w:val="NormalWeb"/>
        <w:numPr>
          <w:ilvl w:val="0"/>
          <w:numId w:val="1"/>
        </w:numPr>
        <w:spacing w:before="0" w:beforeAutospacing="0" w:after="0" w:afterAutospacing="0"/>
        <w:rPr>
          <w:rFonts w:asciiTheme="minorHAnsi" w:hAnsiTheme="minorHAnsi"/>
        </w:rPr>
      </w:pPr>
      <w:r w:rsidRPr="004F22F4">
        <w:rPr>
          <w:rFonts w:asciiTheme="minorHAnsi" w:hAnsiTheme="minorHAnsi"/>
        </w:rPr>
        <w:t>the Construction Planner</w:t>
      </w:r>
    </w:p>
    <w:p w14:paraId="16CB8DAB" w14:textId="77777777" w:rsidR="00F458B9" w:rsidRPr="004F22F4" w:rsidRDefault="00F458B9" w:rsidP="00F458B9">
      <w:pPr>
        <w:pStyle w:val="NormalWeb"/>
        <w:numPr>
          <w:ilvl w:val="0"/>
          <w:numId w:val="1"/>
        </w:numPr>
        <w:spacing w:before="0" w:beforeAutospacing="0" w:after="0" w:afterAutospacing="0"/>
        <w:rPr>
          <w:rFonts w:asciiTheme="minorHAnsi" w:hAnsiTheme="minorHAnsi"/>
        </w:rPr>
      </w:pPr>
      <w:r w:rsidRPr="004F22F4">
        <w:rPr>
          <w:rFonts w:asciiTheme="minorHAnsi" w:hAnsiTheme="minorHAnsi"/>
        </w:rPr>
        <w:t>the Implementation Generator</w:t>
      </w:r>
    </w:p>
    <w:p w14:paraId="1A06A5B4" w14:textId="77777777" w:rsidR="00F458B9" w:rsidRPr="004F22F4" w:rsidRDefault="00F458B9" w:rsidP="00F458B9">
      <w:pPr>
        <w:pStyle w:val="NormalWeb"/>
        <w:numPr>
          <w:ilvl w:val="0"/>
          <w:numId w:val="1"/>
        </w:numPr>
        <w:spacing w:before="0" w:beforeAutospacing="0" w:after="0" w:afterAutospacing="0"/>
        <w:rPr>
          <w:rFonts w:asciiTheme="minorHAnsi" w:hAnsiTheme="minorHAnsi"/>
        </w:rPr>
      </w:pPr>
      <w:r w:rsidRPr="004F22F4">
        <w:rPr>
          <w:rFonts w:asciiTheme="minorHAnsi" w:hAnsiTheme="minorHAnsi"/>
        </w:rPr>
        <w:t>the Repair Analyst</w:t>
      </w:r>
    </w:p>
    <w:p w14:paraId="0C0F9B6F" w14:textId="77777777" w:rsidR="00F458B9" w:rsidRPr="004F22F4" w:rsidRDefault="00F458B9" w:rsidP="00F458B9">
      <w:pPr>
        <w:pStyle w:val="NormalWeb"/>
        <w:numPr>
          <w:ilvl w:val="0"/>
          <w:numId w:val="1"/>
        </w:numPr>
        <w:spacing w:before="0" w:beforeAutospacing="0" w:after="0" w:afterAutospacing="0"/>
        <w:rPr>
          <w:rFonts w:asciiTheme="minorHAnsi" w:hAnsiTheme="minorHAnsi"/>
        </w:rPr>
      </w:pPr>
      <w:r w:rsidRPr="004F22F4">
        <w:rPr>
          <w:rFonts w:asciiTheme="minorHAnsi" w:hAnsiTheme="minorHAnsi"/>
        </w:rPr>
        <w:t>the Test Generator</w:t>
      </w:r>
    </w:p>
    <w:p w14:paraId="4DCAB386" w14:textId="77777777" w:rsidR="00F458B9" w:rsidRPr="004F22F4" w:rsidRDefault="00F458B9" w:rsidP="00F458B9">
      <w:pPr>
        <w:pStyle w:val="NormalWeb"/>
        <w:numPr>
          <w:ilvl w:val="0"/>
          <w:numId w:val="1"/>
        </w:numPr>
        <w:spacing w:before="0" w:beforeAutospacing="0" w:after="0" w:afterAutospacing="0"/>
        <w:rPr>
          <w:rFonts w:asciiTheme="minorHAnsi" w:hAnsiTheme="minorHAnsi"/>
        </w:rPr>
      </w:pPr>
      <w:r w:rsidRPr="004F22F4">
        <w:rPr>
          <w:rFonts w:asciiTheme="minorHAnsi" w:hAnsiTheme="minorHAnsi"/>
        </w:rPr>
        <w:t>the Review Agent</w:t>
      </w:r>
    </w:p>
    <w:p w14:paraId="7455F4BB" w14:textId="77777777" w:rsidR="00F458B9" w:rsidRPr="004F22F4" w:rsidRDefault="00F458B9" w:rsidP="00F458B9">
      <w:pPr>
        <w:pStyle w:val="NormalWeb"/>
        <w:numPr>
          <w:ilvl w:val="0"/>
          <w:numId w:val="1"/>
        </w:numPr>
        <w:spacing w:before="0" w:beforeAutospacing="0" w:after="0" w:afterAutospacing="0"/>
        <w:rPr>
          <w:rFonts w:asciiTheme="minorHAnsi" w:hAnsiTheme="minorHAnsi"/>
        </w:rPr>
      </w:pPr>
      <w:r w:rsidRPr="004F22F4">
        <w:rPr>
          <w:rFonts w:asciiTheme="minorHAnsi" w:hAnsiTheme="minorHAnsi"/>
        </w:rPr>
        <w:t>the Security Validator</w:t>
      </w:r>
    </w:p>
    <w:p w14:paraId="209A9263" w14:textId="77777777" w:rsidR="00F458B9" w:rsidRPr="004F22F4" w:rsidRDefault="00F458B9" w:rsidP="00F458B9">
      <w:pPr>
        <w:pStyle w:val="NormalWeb"/>
        <w:numPr>
          <w:ilvl w:val="0"/>
          <w:numId w:val="1"/>
        </w:numPr>
        <w:spacing w:before="0" w:beforeAutospacing="0" w:after="120" w:afterAutospacing="0"/>
        <w:rPr>
          <w:rFonts w:asciiTheme="minorHAnsi" w:hAnsiTheme="minorHAnsi"/>
        </w:rPr>
      </w:pPr>
      <w:r w:rsidRPr="004F22F4">
        <w:rPr>
          <w:rFonts w:asciiTheme="minorHAnsi" w:hAnsiTheme="minorHAnsi"/>
        </w:rPr>
        <w:t>the Deployment Preparer</w:t>
      </w:r>
    </w:p>
    <w:p w14:paraId="64EE9B88"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Each role contributes to a specific aspect of the construction lifecycle and collaborates with the others through the orchestration framework.</w:t>
      </w:r>
    </w:p>
    <w:p w14:paraId="30D199C2" w14:textId="77777777" w:rsidR="00F458B9" w:rsidRPr="004F22F4" w:rsidRDefault="00F458B9" w:rsidP="00F458B9">
      <w:pPr>
        <w:pStyle w:val="Heading2"/>
        <w:spacing w:before="0" w:after="120"/>
        <w:rPr>
          <w:rFonts w:asciiTheme="minorHAnsi" w:hAnsiTheme="minorHAnsi"/>
        </w:rPr>
      </w:pPr>
      <w:r w:rsidRPr="004F22F4">
        <w:rPr>
          <w:rFonts w:asciiTheme="minorHAnsi" w:hAnsiTheme="minorHAnsi"/>
        </w:rPr>
        <w:t>5.0 The Specification Interpreter</w:t>
      </w:r>
    </w:p>
    <w:p w14:paraId="740469C9"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The Specification Interpreter is responsible for examining the normalized specification and ensuring that its meaning is operationally clear for downstream agents. This agent works from the canonical semantic model and identifies ambiguities, missing assumptions, or structural inconsistencies that may affect planning or construction.</w:t>
      </w:r>
    </w:p>
    <w:p w14:paraId="685B3AB4"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The role of this agent is not to rewrite the specification arbitrarily, but to produce an execution-oriented understanding of the blueprint. It helps establish whether the specification is ready to support planning activities and may generate clarification requests or interpretation notes where necessary.</w:t>
      </w:r>
    </w:p>
    <w:p w14:paraId="0EE800CE"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This agent therefore serves as the first reasoning bridge between the human-authored blueprint and the autonomous construction process.</w:t>
      </w:r>
    </w:p>
    <w:p w14:paraId="7573AA83" w14:textId="77777777" w:rsidR="00F458B9" w:rsidRPr="004F22F4" w:rsidRDefault="00F458B9" w:rsidP="00F458B9">
      <w:pPr>
        <w:pStyle w:val="Heading2"/>
        <w:spacing w:before="0" w:after="120"/>
        <w:rPr>
          <w:rFonts w:asciiTheme="minorHAnsi" w:hAnsiTheme="minorHAnsi"/>
        </w:rPr>
      </w:pPr>
      <w:r w:rsidRPr="004F22F4">
        <w:rPr>
          <w:rFonts w:asciiTheme="minorHAnsi" w:hAnsiTheme="minorHAnsi"/>
        </w:rPr>
        <w:t>6.0 The Architecture Planner</w:t>
      </w:r>
    </w:p>
    <w:p w14:paraId="71614EF6"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 xml:space="preserve">The Architecture Planner is responsible for interpreting capabilities, services, data entities, workflows, and policy constraints </w:t>
      </w:r>
      <w:proofErr w:type="gramStart"/>
      <w:r w:rsidRPr="004F22F4">
        <w:rPr>
          <w:rFonts w:asciiTheme="minorHAnsi" w:hAnsiTheme="minorHAnsi"/>
        </w:rPr>
        <w:t>in order to</w:t>
      </w:r>
      <w:proofErr w:type="gramEnd"/>
      <w:r w:rsidRPr="004F22F4">
        <w:rPr>
          <w:rFonts w:asciiTheme="minorHAnsi" w:hAnsiTheme="minorHAnsi"/>
        </w:rPr>
        <w:t xml:space="preserve"> propose the structural organization of the system. This agent identifies module boundaries, service decomposition strategies, integration patterns, and major architectural decisions required by the specification.</w:t>
      </w:r>
    </w:p>
    <w:p w14:paraId="3D1F1872"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lastRenderedPageBreak/>
        <w:t>Its role is especially important in systems where the blueprint defines business intent clearly but leaves room for architectural interpretation. In such cases, the Architecture Planner produces structured design decisions that guide downstream construction tasks.</w:t>
      </w:r>
    </w:p>
    <w:p w14:paraId="6CF9A899"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This agent functions as the master designer within the collaborative model.</w:t>
      </w:r>
    </w:p>
    <w:p w14:paraId="40C5F7F5" w14:textId="77777777" w:rsidR="00F458B9" w:rsidRPr="004F22F4" w:rsidRDefault="00F458B9" w:rsidP="00F458B9">
      <w:pPr>
        <w:pStyle w:val="Heading2"/>
        <w:spacing w:before="0" w:after="120"/>
        <w:rPr>
          <w:rFonts w:asciiTheme="minorHAnsi" w:hAnsiTheme="minorHAnsi"/>
        </w:rPr>
      </w:pPr>
      <w:r w:rsidRPr="004F22F4">
        <w:rPr>
          <w:rFonts w:asciiTheme="minorHAnsi" w:hAnsiTheme="minorHAnsi"/>
        </w:rPr>
        <w:t>7.0 The Construction Planner</w:t>
      </w:r>
    </w:p>
    <w:p w14:paraId="05C64DF2"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The Construction Planner operates at the boundary between architecture and execution. Its responsibility is to transform the interpreted system design into implementation-oriented work packages aligned with the task graph defined in ISL v1.5.</w:t>
      </w:r>
    </w:p>
    <w:p w14:paraId="23A8EB86"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This agent determines how the system should be assembled in practice, identifies logical work units, and suggests execution sequencing that complements the formal planning engine. In environments where construction planning requires reasoning over ambiguity or trade-offs, this agent supports the deterministic planning mechanisms with additional domain-aware judgment.</w:t>
      </w:r>
    </w:p>
    <w:p w14:paraId="22602669"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The Construction Planner therefore helps translate structural design into executable development activity.</w:t>
      </w:r>
    </w:p>
    <w:p w14:paraId="5DAE3C7F" w14:textId="77777777" w:rsidR="00F458B9" w:rsidRPr="004F22F4" w:rsidRDefault="00F458B9" w:rsidP="00F458B9">
      <w:pPr>
        <w:pStyle w:val="Heading2"/>
        <w:spacing w:before="0" w:after="120"/>
        <w:rPr>
          <w:rFonts w:asciiTheme="minorHAnsi" w:hAnsiTheme="minorHAnsi"/>
        </w:rPr>
      </w:pPr>
      <w:r w:rsidRPr="004F22F4">
        <w:rPr>
          <w:rFonts w:asciiTheme="minorHAnsi" w:hAnsiTheme="minorHAnsi"/>
        </w:rPr>
        <w:t>8.0 The Implementation Generator</w:t>
      </w:r>
    </w:p>
    <w:p w14:paraId="0053B061"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The Implementation Generator is responsible for producing the concrete software artifacts required to realize the specification. This includes source code, configuration files, schema definitions, interface contracts, and other implementation elements derived from the construction plan.</w:t>
      </w:r>
    </w:p>
    <w:p w14:paraId="25A21D5B"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This agent does not act independently of the planning framework. It works on bounded tasks derived from the construction task graph and generates artifacts linked to traceability identifiers from the canonical model.</w:t>
      </w:r>
    </w:p>
    <w:p w14:paraId="574CF4AA"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Because implementation work may span many technologies and languages, this role may itself be fulfilled by multiple specialized implementations under a single logical agent category.</w:t>
      </w:r>
    </w:p>
    <w:p w14:paraId="3E53065C" w14:textId="77777777" w:rsidR="00F458B9" w:rsidRPr="004F22F4" w:rsidRDefault="00F458B9" w:rsidP="00F458B9">
      <w:pPr>
        <w:pStyle w:val="Heading2"/>
        <w:spacing w:before="0" w:after="120"/>
        <w:rPr>
          <w:rFonts w:asciiTheme="minorHAnsi" w:hAnsiTheme="minorHAnsi"/>
        </w:rPr>
      </w:pPr>
      <w:r w:rsidRPr="004F22F4">
        <w:rPr>
          <w:rFonts w:asciiTheme="minorHAnsi" w:hAnsiTheme="minorHAnsi"/>
        </w:rPr>
        <w:t>9.0 The Repair Analyst</w:t>
      </w:r>
    </w:p>
    <w:p w14:paraId="1227C0C8"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The Repair Analyst is responsible for interpreting failures produced during validation and construction. When compilation errors, failing tests, schema conflicts, or tool integration issues occur, this agent analyzes the failure context and determines the likely source of the problem.</w:t>
      </w:r>
    </w:p>
    <w:p w14:paraId="1A1B6577"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Its role is to recommend or generate corrective changes that can be reintroduced into the construction loop. The Repair Analyst therefore serves as the principal reasoning agent within iterative refinement cycles.</w:t>
      </w:r>
    </w:p>
    <w:p w14:paraId="28105189"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This role is essential to the autonomous nature of ALETHEIA because reliable software construction depends not only on generation, but also on correction.</w:t>
      </w:r>
    </w:p>
    <w:p w14:paraId="1514BD4E" w14:textId="77777777" w:rsidR="00F458B9" w:rsidRPr="004F22F4" w:rsidRDefault="00F458B9" w:rsidP="00F458B9">
      <w:pPr>
        <w:pStyle w:val="Heading2"/>
        <w:spacing w:before="0" w:after="120"/>
        <w:rPr>
          <w:rFonts w:asciiTheme="minorHAnsi" w:hAnsiTheme="minorHAnsi"/>
        </w:rPr>
      </w:pPr>
      <w:r w:rsidRPr="004F22F4">
        <w:rPr>
          <w:rFonts w:asciiTheme="minorHAnsi" w:hAnsiTheme="minorHAnsi"/>
        </w:rPr>
        <w:lastRenderedPageBreak/>
        <w:t>10.0 The Test Generator</w:t>
      </w:r>
    </w:p>
    <w:p w14:paraId="57AF0638"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The Test Generator derives validation artifacts from requirements, workflows, interfaces, and policy expectations defined in the specification. Its role is to ensure that the system is verified against the blueprint that justified its construction.</w:t>
      </w:r>
    </w:p>
    <w:p w14:paraId="708E649D"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This agent may generate unit tests, integration scenarios, behavioral validations, and acceptance-oriented checks depending on the scope of the task. It works closely with the traceability model so that each validation artifact can be linked back to the requirement or behavior it verifies.</w:t>
      </w:r>
    </w:p>
    <w:p w14:paraId="21B6C5CF"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The Test Generator provides a critical mechanism for transforming specification intent into executable proof of correctness.</w:t>
      </w:r>
    </w:p>
    <w:p w14:paraId="7BCF69E4" w14:textId="77777777" w:rsidR="00F458B9" w:rsidRPr="004F22F4" w:rsidRDefault="00F458B9" w:rsidP="00F458B9">
      <w:pPr>
        <w:pStyle w:val="Heading2"/>
        <w:spacing w:before="0" w:after="120"/>
        <w:rPr>
          <w:rFonts w:asciiTheme="minorHAnsi" w:hAnsiTheme="minorHAnsi"/>
        </w:rPr>
      </w:pPr>
      <w:r w:rsidRPr="004F22F4">
        <w:rPr>
          <w:rFonts w:asciiTheme="minorHAnsi" w:hAnsiTheme="minorHAnsi"/>
        </w:rPr>
        <w:t>11.0 The Review Agent</w:t>
      </w:r>
    </w:p>
    <w:p w14:paraId="5F1E4BE8"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The Review Agent performs structured evaluation of generated artifacts before or after deterministic validation steps. This role examines implementation quality, coherence with the architecture, maintainability, and alignment with the intent of the specification.</w:t>
      </w:r>
    </w:p>
    <w:p w14:paraId="2852FBB1"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Unlike the Repair Analyst, which focuses on correcting detected failures, the Review Agent focuses on critical judgment and quality assessment. It may identify architectural drift, inconsistent naming, poor decomposition, or other issues that do not necessarily produce build failures but still affect the quality of the system.</w:t>
      </w:r>
    </w:p>
    <w:p w14:paraId="128E8B2C"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This role introduces reflective scrutiny into the autonomous construction process.</w:t>
      </w:r>
    </w:p>
    <w:p w14:paraId="017DD09C" w14:textId="77777777" w:rsidR="00F458B9" w:rsidRPr="004F22F4" w:rsidRDefault="00F458B9" w:rsidP="00F458B9">
      <w:pPr>
        <w:pStyle w:val="Heading2"/>
        <w:spacing w:before="0" w:after="120"/>
        <w:rPr>
          <w:rFonts w:asciiTheme="minorHAnsi" w:hAnsiTheme="minorHAnsi"/>
        </w:rPr>
      </w:pPr>
      <w:r w:rsidRPr="004F22F4">
        <w:rPr>
          <w:rFonts w:asciiTheme="minorHAnsi" w:hAnsiTheme="minorHAnsi"/>
        </w:rPr>
        <w:t>12.0 The Security Validator</w:t>
      </w:r>
    </w:p>
    <w:p w14:paraId="52B897EF"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The Security Validator focuses on the interpretation and enforcement of policy constraints related to security, compliance, access control, data protection, and safe operational practices. This agent collaborates with deterministic security tools but also performs reasoning over the implications of design and implementation choices.</w:t>
      </w:r>
    </w:p>
    <w:p w14:paraId="0EA98C90"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Its role includes identifying likely security weaknesses, interpreting policy requirements in context, and helping direct remediation tasks when security analysis detects problems.</w:t>
      </w:r>
    </w:p>
    <w:p w14:paraId="19821C00"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In regulated or high-risk domains, this agent becomes a central participant in the approval and deployment workflow.</w:t>
      </w:r>
    </w:p>
    <w:p w14:paraId="2F78DB82" w14:textId="77777777" w:rsidR="00F458B9" w:rsidRPr="004F22F4" w:rsidRDefault="00F458B9" w:rsidP="00F458B9">
      <w:pPr>
        <w:pStyle w:val="Heading2"/>
        <w:spacing w:before="0" w:after="120"/>
        <w:rPr>
          <w:rFonts w:asciiTheme="minorHAnsi" w:hAnsiTheme="minorHAnsi"/>
        </w:rPr>
      </w:pPr>
      <w:r w:rsidRPr="004F22F4">
        <w:rPr>
          <w:rFonts w:asciiTheme="minorHAnsi" w:hAnsiTheme="minorHAnsi"/>
        </w:rPr>
        <w:t>13.0 The Deployment Preparer</w:t>
      </w:r>
    </w:p>
    <w:p w14:paraId="4A89C3D9"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The Deployment Preparer is responsible for translating the completed system into operationally deployable outputs aligned with the infrastructure and runtime expectations defined in the specification. This includes packaging guidance, environment assumptions, deployment descriptors, and runtime readiness considerations.</w:t>
      </w:r>
    </w:p>
    <w:p w14:paraId="222B2976"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This role acts at the end of the autonomous construction cycle, ensuring that the system is not merely implemented, but prepared for controlled operation in its intended environment.</w:t>
      </w:r>
    </w:p>
    <w:p w14:paraId="6CE24E3C"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lastRenderedPageBreak/>
        <w:t>The Deployment Preparer helps close the loop between construction and operations.</w:t>
      </w:r>
    </w:p>
    <w:p w14:paraId="40E040BE" w14:textId="77777777" w:rsidR="00F458B9" w:rsidRPr="004F22F4" w:rsidRDefault="00F458B9" w:rsidP="00F458B9">
      <w:pPr>
        <w:pStyle w:val="Heading2"/>
        <w:spacing w:before="0" w:after="120"/>
        <w:rPr>
          <w:rFonts w:asciiTheme="minorHAnsi" w:hAnsiTheme="minorHAnsi"/>
        </w:rPr>
      </w:pPr>
      <w:r w:rsidRPr="004F22F4">
        <w:rPr>
          <w:rFonts w:asciiTheme="minorHAnsi" w:hAnsiTheme="minorHAnsi"/>
        </w:rPr>
        <w:t>14.0 Modes of Collaboration</w:t>
      </w:r>
    </w:p>
    <w:p w14:paraId="7620970E"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Agent collaboration within ALETHEIA may occur in several modes depending on the complexity of the task and the level of control required by governance policies.</w:t>
      </w:r>
    </w:p>
    <w:p w14:paraId="5B4FF2B7"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 xml:space="preserve">In some </w:t>
      </w:r>
      <w:proofErr w:type="gramStart"/>
      <w:r w:rsidRPr="004F22F4">
        <w:rPr>
          <w:rFonts w:asciiTheme="minorHAnsi" w:hAnsiTheme="minorHAnsi"/>
        </w:rPr>
        <w:t>cases</w:t>
      </w:r>
      <w:proofErr w:type="gramEnd"/>
      <w:r w:rsidRPr="004F22F4">
        <w:rPr>
          <w:rFonts w:asciiTheme="minorHAnsi" w:hAnsiTheme="minorHAnsi"/>
        </w:rPr>
        <w:t xml:space="preserve"> collaboration is sequential. One agent produces an artifact or interpretation which becomes the input to the next agent. This pattern is suitable for specification interpretation, architectural decomposition, and downstream implementation.</w:t>
      </w:r>
    </w:p>
    <w:p w14:paraId="251F2F6C"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 xml:space="preserve">In other </w:t>
      </w:r>
      <w:proofErr w:type="gramStart"/>
      <w:r w:rsidRPr="004F22F4">
        <w:rPr>
          <w:rFonts w:asciiTheme="minorHAnsi" w:hAnsiTheme="minorHAnsi"/>
        </w:rPr>
        <w:t>cases</w:t>
      </w:r>
      <w:proofErr w:type="gramEnd"/>
      <w:r w:rsidRPr="004F22F4">
        <w:rPr>
          <w:rFonts w:asciiTheme="minorHAnsi" w:hAnsiTheme="minorHAnsi"/>
        </w:rPr>
        <w:t xml:space="preserve"> collaboration is iterative. Agents may exchange outputs repeatedly, such as when generated code fails validation and the Repair Analyst works with the Implementation Generator to produce corrected artifacts.</w:t>
      </w:r>
    </w:p>
    <w:p w14:paraId="386B0D03"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Collaboration may also be parallel when multiple independent work packages are being executed concurrently. In such cases multiple implementation or validation agents may work on separate areas of the system under the coordination of the orchestrator.</w:t>
      </w:r>
    </w:p>
    <w:p w14:paraId="7DDF1091"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The model therefore supports several collaboration patterns while preserving traceability and control.</w:t>
      </w:r>
    </w:p>
    <w:p w14:paraId="718B7AC4" w14:textId="77777777" w:rsidR="00F458B9" w:rsidRPr="004F22F4" w:rsidRDefault="00F458B9" w:rsidP="00F458B9">
      <w:pPr>
        <w:pStyle w:val="Heading2"/>
        <w:spacing w:before="0" w:after="120"/>
        <w:rPr>
          <w:rFonts w:asciiTheme="minorHAnsi" w:hAnsiTheme="minorHAnsi"/>
        </w:rPr>
      </w:pPr>
      <w:r w:rsidRPr="004F22F4">
        <w:rPr>
          <w:rFonts w:asciiTheme="minorHAnsi" w:hAnsiTheme="minorHAnsi"/>
        </w:rPr>
        <w:t>15.0 Agent Communication Contracts</w:t>
      </w:r>
    </w:p>
    <w:p w14:paraId="0EF1A738"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To operate reliably, agents must communicate through structured contracts rather than unbounded conversational exchanges. Each interaction between agents should be represented as a bounded work artifact such as an interpretation result, architectural proposal, implementation package, review note, repair instruction, or validation result.</w:t>
      </w:r>
    </w:p>
    <w:p w14:paraId="67A8C61D"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These structured exchanges allow the platform to store agent outputs, trace decisions back to the specification, validate the shape of inter-agent communication, and replay or audit reasoning flows when needed.</w:t>
      </w:r>
    </w:p>
    <w:p w14:paraId="50C53E45"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The communication contract is therefore a core element of making agent collaboration enterprise-grade.</w:t>
      </w:r>
    </w:p>
    <w:p w14:paraId="39F2C0F2" w14:textId="77777777" w:rsidR="00F458B9" w:rsidRPr="004F22F4" w:rsidRDefault="00F458B9" w:rsidP="00F458B9">
      <w:pPr>
        <w:pStyle w:val="Heading2"/>
        <w:spacing w:before="0" w:after="120"/>
        <w:rPr>
          <w:rFonts w:asciiTheme="minorHAnsi" w:hAnsiTheme="minorHAnsi"/>
        </w:rPr>
      </w:pPr>
      <w:r w:rsidRPr="004F22F4">
        <w:rPr>
          <w:rFonts w:asciiTheme="minorHAnsi" w:hAnsiTheme="minorHAnsi"/>
        </w:rPr>
        <w:t>16.0 Agent Inputs and Outputs</w:t>
      </w:r>
    </w:p>
    <w:p w14:paraId="30E0E2A0"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Each agent operates on clearly defined inputs and produces clearly defined outputs. Inputs may include specification entities, task definitions, validation failures, traceability records, prior agent outputs, and governance constraints. Outputs may include interpreted structures, proposed plans, generated artifacts, validation assets, issue reports, or remediation suggestions.</w:t>
      </w:r>
    </w:p>
    <w:p w14:paraId="3E62DE61"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The clarity of these boundaries is important because it determines whether the autonomous workflow remains inspectable and testable. In ALETHEIA, agent roles are meaningful only if the transition between them is explicit.</w:t>
      </w:r>
    </w:p>
    <w:p w14:paraId="71FA094D"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This principle keeps the system modular and makes it possible to replace or refine individual agents without redesigning the entire platform.</w:t>
      </w:r>
    </w:p>
    <w:p w14:paraId="2043B58D" w14:textId="77777777" w:rsidR="00F458B9" w:rsidRPr="004F22F4" w:rsidRDefault="00F458B9" w:rsidP="00F458B9">
      <w:pPr>
        <w:pStyle w:val="Heading2"/>
        <w:spacing w:before="0" w:after="120"/>
        <w:rPr>
          <w:rFonts w:asciiTheme="minorHAnsi" w:hAnsiTheme="minorHAnsi"/>
        </w:rPr>
      </w:pPr>
      <w:r w:rsidRPr="004F22F4">
        <w:rPr>
          <w:rFonts w:asciiTheme="minorHAnsi" w:hAnsiTheme="minorHAnsi"/>
        </w:rPr>
        <w:lastRenderedPageBreak/>
        <w:t>17.0 Model Diversity and Role Assignment</w:t>
      </w:r>
    </w:p>
    <w:p w14:paraId="6098AF52"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The ALETHEIA platform does not require that all agents be implemented using the same model or the same execution strategy. Different roles may benefit from different reasoning styles, context sizes, or structured output capabilities.</w:t>
      </w:r>
    </w:p>
    <w:p w14:paraId="5C8AD978"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For example, the Implementation Generator may be best served by a coding-oriented model, while the Architecture Planner may benefit from a broader reasoning model. Similarly, some roles may use structured interaction strategies while others may use more flexible review-oriented reasoning.</w:t>
      </w:r>
    </w:p>
    <w:p w14:paraId="55C5B406"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The Agent Orchestrator therefore assigns roles based not only on task type but also on the capabilities required to perform those tasks effectively. This supports the local-first and cloud-portable design principles of the platform.</w:t>
      </w:r>
    </w:p>
    <w:p w14:paraId="1C982572" w14:textId="77777777" w:rsidR="00F458B9" w:rsidRPr="004F22F4" w:rsidRDefault="00F458B9" w:rsidP="00F458B9">
      <w:pPr>
        <w:pStyle w:val="Heading2"/>
        <w:spacing w:before="0" w:after="120"/>
        <w:rPr>
          <w:rFonts w:asciiTheme="minorHAnsi" w:hAnsiTheme="minorHAnsi"/>
        </w:rPr>
      </w:pPr>
      <w:r w:rsidRPr="004F22F4">
        <w:rPr>
          <w:rFonts w:asciiTheme="minorHAnsi" w:hAnsiTheme="minorHAnsi"/>
        </w:rPr>
        <w:t>18.0 Human Oversight in Agent Collaboration</w:t>
      </w:r>
    </w:p>
    <w:p w14:paraId="13E14309"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Although the collaboration model is autonomous in structure, it remains compatible with human oversight. In some workflows, specific agent outputs may be subject to review before downstream execution is allowed to proceed. This is particularly relevant in areas such as architecture approval, policy interpretation, security validation, and deployment preparation.</w:t>
      </w:r>
    </w:p>
    <w:p w14:paraId="43D561B9"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Human oversight does not negate the value of agent collaboration. Rather, it introduces governance checkpoints at points where organizational accountability must remain explicit.</w:t>
      </w:r>
    </w:p>
    <w:p w14:paraId="6C12CB8C"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This makes the collaboration model suitable for both exploratory and enterprise environments.</w:t>
      </w:r>
    </w:p>
    <w:p w14:paraId="2817B5CB" w14:textId="77777777" w:rsidR="00F458B9" w:rsidRPr="004F22F4" w:rsidRDefault="00F458B9" w:rsidP="00F458B9">
      <w:pPr>
        <w:pStyle w:val="Heading2"/>
        <w:spacing w:before="0" w:after="120"/>
        <w:rPr>
          <w:rFonts w:asciiTheme="minorHAnsi" w:hAnsiTheme="minorHAnsi"/>
        </w:rPr>
      </w:pPr>
      <w:r w:rsidRPr="004F22F4">
        <w:rPr>
          <w:rFonts w:asciiTheme="minorHAnsi" w:hAnsiTheme="minorHAnsi"/>
        </w:rPr>
        <w:t>19.0 Observability of Agent Behavior</w:t>
      </w:r>
    </w:p>
    <w:p w14:paraId="30A5F102"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The behavior of agents must remain observable if the platform is to be trusted in professional environments. The ALETHEIA platform therefore records agent assignments, structured inputs, outputs, decisions, and interactions with deterministic tools.</w:t>
      </w:r>
    </w:p>
    <w:p w14:paraId="691B9F68"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These records support debugging, governance, quality improvement, and post-execution analysis. They also allow the platform to evaluate which collaborative patterns produce the best outcomes over time.</w:t>
      </w:r>
    </w:p>
    <w:p w14:paraId="63BF5622"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Observability ensures that agent collaboration remains a transparent and improvable component of the broader platform architecture.</w:t>
      </w:r>
    </w:p>
    <w:p w14:paraId="3E585222" w14:textId="77777777" w:rsidR="00F458B9" w:rsidRPr="004F22F4" w:rsidRDefault="00F458B9" w:rsidP="00F458B9">
      <w:pPr>
        <w:pStyle w:val="Heading2"/>
        <w:spacing w:before="0" w:after="120"/>
        <w:rPr>
          <w:rFonts w:asciiTheme="minorHAnsi" w:hAnsiTheme="minorHAnsi"/>
        </w:rPr>
      </w:pPr>
      <w:r w:rsidRPr="004F22F4">
        <w:rPr>
          <w:rFonts w:asciiTheme="minorHAnsi" w:hAnsiTheme="minorHAnsi"/>
        </w:rPr>
        <w:t>20.0 Agent Collaboration as the Living Workforce of ALETHEIA</w:t>
      </w:r>
    </w:p>
    <w:p w14:paraId="5D53BEE3"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 xml:space="preserve">Within the architectural metaphor of Project ALETHEIA, the agents of the platform can be understood as the living workforce of the construction system. They do not replace the blueprint, the tools, or the governance structure; rather, they animate those elements by </w:t>
      </w:r>
      <w:r w:rsidRPr="004F22F4">
        <w:rPr>
          <w:rFonts w:asciiTheme="minorHAnsi" w:hAnsiTheme="minorHAnsi"/>
        </w:rPr>
        <w:lastRenderedPageBreak/>
        <w:t>carrying out the reasoning-intensive work required to transform specification into implementation.</w:t>
      </w:r>
    </w:p>
    <w:p w14:paraId="70CEF0D0"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The blueprint remains the source of truth. The planning model remains the organizer of activity. The tools remain the source of deterministic validation. Governance remains the steward of control. The agents operate among these elements, turning static architectural intent into active construction.</w:t>
      </w:r>
    </w:p>
    <w:p w14:paraId="4DF96069"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In this way, the Agent Collaboration Model defines the cooperative intelligence that makes autonomous software construction possible within the ALETHEIA platform.</w:t>
      </w:r>
    </w:p>
    <w:p w14:paraId="19A5D62A" w14:textId="77777777" w:rsidR="006A7C31" w:rsidRDefault="006A7C31"/>
    <w:sectPr w:rsidR="006A7C31" w:rsidSect="0098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7B40B4"/>
    <w:multiLevelType w:val="multilevel"/>
    <w:tmpl w:val="14BE0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6531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8B9"/>
    <w:rsid w:val="00223A5B"/>
    <w:rsid w:val="005F714F"/>
    <w:rsid w:val="006A7C31"/>
    <w:rsid w:val="006F4208"/>
    <w:rsid w:val="00984106"/>
    <w:rsid w:val="00997A3E"/>
    <w:rsid w:val="00C2250B"/>
    <w:rsid w:val="00CA38A3"/>
    <w:rsid w:val="00CF673E"/>
    <w:rsid w:val="00E77B10"/>
    <w:rsid w:val="00F458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24F6FD3"/>
  <w15:chartTrackingRefBased/>
  <w15:docId w15:val="{DC402F79-3596-1D4C-9713-D53001FC8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58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458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58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58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58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58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58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58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58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8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458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58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58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58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58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58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58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58B9"/>
    <w:rPr>
      <w:rFonts w:eastAsiaTheme="majorEastAsia" w:cstheme="majorBidi"/>
      <w:color w:val="272727" w:themeColor="text1" w:themeTint="D8"/>
    </w:rPr>
  </w:style>
  <w:style w:type="paragraph" w:styleId="Title">
    <w:name w:val="Title"/>
    <w:basedOn w:val="Normal"/>
    <w:next w:val="Normal"/>
    <w:link w:val="TitleChar"/>
    <w:uiPriority w:val="10"/>
    <w:qFormat/>
    <w:rsid w:val="00F458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58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58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58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58B9"/>
    <w:pPr>
      <w:spacing w:before="160"/>
      <w:jc w:val="center"/>
    </w:pPr>
    <w:rPr>
      <w:i/>
      <w:iCs/>
      <w:color w:val="404040" w:themeColor="text1" w:themeTint="BF"/>
    </w:rPr>
  </w:style>
  <w:style w:type="character" w:customStyle="1" w:styleId="QuoteChar">
    <w:name w:val="Quote Char"/>
    <w:basedOn w:val="DefaultParagraphFont"/>
    <w:link w:val="Quote"/>
    <w:uiPriority w:val="29"/>
    <w:rsid w:val="00F458B9"/>
    <w:rPr>
      <w:i/>
      <w:iCs/>
      <w:color w:val="404040" w:themeColor="text1" w:themeTint="BF"/>
    </w:rPr>
  </w:style>
  <w:style w:type="paragraph" w:styleId="ListParagraph">
    <w:name w:val="List Paragraph"/>
    <w:basedOn w:val="Normal"/>
    <w:uiPriority w:val="34"/>
    <w:qFormat/>
    <w:rsid w:val="00F458B9"/>
    <w:pPr>
      <w:ind w:left="720"/>
      <w:contextualSpacing/>
    </w:pPr>
  </w:style>
  <w:style w:type="character" w:styleId="IntenseEmphasis">
    <w:name w:val="Intense Emphasis"/>
    <w:basedOn w:val="DefaultParagraphFont"/>
    <w:uiPriority w:val="21"/>
    <w:qFormat/>
    <w:rsid w:val="00F458B9"/>
    <w:rPr>
      <w:i/>
      <w:iCs/>
      <w:color w:val="0F4761" w:themeColor="accent1" w:themeShade="BF"/>
    </w:rPr>
  </w:style>
  <w:style w:type="paragraph" w:styleId="IntenseQuote">
    <w:name w:val="Intense Quote"/>
    <w:basedOn w:val="Normal"/>
    <w:next w:val="Normal"/>
    <w:link w:val="IntenseQuoteChar"/>
    <w:uiPriority w:val="30"/>
    <w:qFormat/>
    <w:rsid w:val="00F458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58B9"/>
    <w:rPr>
      <w:i/>
      <w:iCs/>
      <w:color w:val="0F4761" w:themeColor="accent1" w:themeShade="BF"/>
    </w:rPr>
  </w:style>
  <w:style w:type="character" w:styleId="IntenseReference">
    <w:name w:val="Intense Reference"/>
    <w:basedOn w:val="DefaultParagraphFont"/>
    <w:uiPriority w:val="32"/>
    <w:qFormat/>
    <w:rsid w:val="00F458B9"/>
    <w:rPr>
      <w:b/>
      <w:bCs/>
      <w:smallCaps/>
      <w:color w:val="0F4761" w:themeColor="accent1" w:themeShade="BF"/>
      <w:spacing w:val="5"/>
    </w:rPr>
  </w:style>
  <w:style w:type="paragraph" w:styleId="NormalWeb">
    <w:name w:val="Normal (Web)"/>
    <w:basedOn w:val="Normal"/>
    <w:uiPriority w:val="99"/>
    <w:semiHidden/>
    <w:unhideWhenUsed/>
    <w:rsid w:val="00F458B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2262</Words>
  <Characters>12895</Characters>
  <Application>Microsoft Office Word</Application>
  <DocSecurity>0</DocSecurity>
  <Lines>107</Lines>
  <Paragraphs>30</Paragraphs>
  <ScaleCrop>false</ScaleCrop>
  <Company/>
  <LinksUpToDate>false</LinksUpToDate>
  <CharactersWithSpaces>15127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Sobrinoborgos, Eduardo@DOT</dc:creator>
  <cp:keywords/>
  <dc:description/>
  <cp:lastModifiedBy>Sobrinoborgos, Eduardo@DOT</cp:lastModifiedBy>
  <cp:revision>1</cp:revision>
  <dcterms:created xsi:type="dcterms:W3CDTF">2026-03-18T19:24:00Z</dcterms:created>
  <dcterms:modified xsi:type="dcterms:W3CDTF">2026-03-18T19:27:00Z</dcterms:modified>
</cp:coreProperties>
</file>