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04CA7" w14:textId="77777777" w:rsidR="00502DF9" w:rsidRPr="00D72B87" w:rsidRDefault="00502DF9" w:rsidP="00502DF9">
      <w:pPr>
        <w:pStyle w:val="Title"/>
        <w:spacing w:after="120"/>
        <w:rPr>
          <w:rFonts w:ascii="Arial" w:hAnsi="Arial" w:cs="Arial"/>
          <w:sz w:val="44"/>
          <w:szCs w:val="44"/>
        </w:rPr>
      </w:pPr>
      <w:r w:rsidRPr="00D72B87">
        <w:rPr>
          <w:rFonts w:ascii="Arial" w:hAnsi="Arial" w:cs="Arial"/>
          <w:sz w:val="44"/>
          <w:szCs w:val="44"/>
        </w:rPr>
        <w:t>ALETHEIA Specification Language (ISL) v2.3</w:t>
      </w:r>
    </w:p>
    <w:p w14:paraId="72D95CF6" w14:textId="77777777" w:rsidR="00502DF9" w:rsidRPr="00D72B87" w:rsidRDefault="00502DF9" w:rsidP="00502DF9">
      <w:pPr>
        <w:pStyle w:val="Heading1"/>
        <w:spacing w:before="0" w:after="120"/>
        <w:rPr>
          <w:rFonts w:ascii="Arial" w:hAnsi="Arial" w:cs="Arial"/>
        </w:rPr>
      </w:pPr>
      <w:r>
        <w:rPr>
          <w:rFonts w:ascii="Arial" w:hAnsi="Arial" w:cs="Arial"/>
        </w:rPr>
        <w:t xml:space="preserve">ISL v2.3 </w:t>
      </w:r>
      <w:r w:rsidRPr="00D72B87">
        <w:rPr>
          <w:rFonts w:ascii="Arial" w:hAnsi="Arial" w:cs="Arial"/>
        </w:rPr>
        <w:t>The Artifact Repository Model</w:t>
      </w:r>
    </w:p>
    <w:p w14:paraId="17D02F59" w14:textId="77777777" w:rsidR="00502DF9" w:rsidRPr="00D72B87" w:rsidRDefault="00502DF9" w:rsidP="00502DF9">
      <w:pPr>
        <w:pStyle w:val="Heading2"/>
        <w:spacing w:before="0" w:after="120"/>
        <w:rPr>
          <w:rFonts w:ascii="Arial" w:hAnsi="Arial" w:cs="Arial"/>
        </w:rPr>
      </w:pPr>
      <w:r w:rsidRPr="00D72B87">
        <w:rPr>
          <w:rFonts w:ascii="Arial" w:hAnsi="Arial" w:cs="Arial"/>
        </w:rPr>
        <w:t>1.0 Purpose of the Artifact Repository Model</w:t>
      </w:r>
    </w:p>
    <w:p w14:paraId="28B5250D"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The Artifact Repository Model defines how the ALETHEIA platform stores and manages the tangible outputs of the autonomous software construction process. While the specification language describes the blueprint of the system and the execution model defines how construction tasks are performed, the artifact repository provides the structured environment in which the resulting implementation artifacts are preserved.</w:t>
      </w:r>
    </w:p>
    <w:p w14:paraId="485B34A5"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Artifacts represent the concrete realization of the system defined by the specification. These may include source code, configuration files, data schemas, test suites, infrastructure definitions, deployment packages, and documentation. The repository model ensures that these artifacts are organized in a consistent and traceable manner so that they can be maintained, evolved, and deployed using standard software engineering practices.</w:t>
      </w:r>
    </w:p>
    <w:p w14:paraId="6DFF7E5F"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The purpose of this model is therefore to define how artifacts are stored, versioned, related to the specification, and accessed by the various components of the ALETHEIA platform.</w:t>
      </w:r>
    </w:p>
    <w:p w14:paraId="7D9FF9F2" w14:textId="77777777" w:rsidR="00502DF9" w:rsidRPr="00D72B87" w:rsidRDefault="00502DF9" w:rsidP="00502DF9">
      <w:pPr>
        <w:pStyle w:val="Heading2"/>
        <w:spacing w:before="0" w:after="120"/>
        <w:rPr>
          <w:rFonts w:ascii="Arial" w:hAnsi="Arial" w:cs="Arial"/>
        </w:rPr>
      </w:pPr>
      <w:r w:rsidRPr="00D72B87">
        <w:rPr>
          <w:rFonts w:ascii="Arial" w:hAnsi="Arial" w:cs="Arial"/>
        </w:rPr>
        <w:t>2.0 Artifacts as the Output of Autonomous Construction</w:t>
      </w:r>
    </w:p>
    <w:p w14:paraId="7D44A76E"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Within the ALETHEIA architecture, artifacts represent the physical products of the autonomous construction process. Each artifact corresponds to one or more elements of the specification and is produced through the execution of tasks defined in the construction planning model.</w:t>
      </w:r>
    </w:p>
    <w:p w14:paraId="4DD8242A"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Artifacts may be created directly by implementation agents, generated by tooling integrations, or derived through repair and refinement cycles. Regardless of their origin, all artifacts must be recorded within the artifact repository so that their relationship to the system blueprint can be preserved.</w:t>
      </w:r>
    </w:p>
    <w:p w14:paraId="77F04D2D"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By treating artifacts as first-class entities within the platform, ALETHEIA ensures that the results of autonomous development remain manageable and understandable.</w:t>
      </w:r>
    </w:p>
    <w:p w14:paraId="58CDA318" w14:textId="77777777" w:rsidR="00502DF9" w:rsidRPr="00D72B87" w:rsidRDefault="00502DF9" w:rsidP="00502DF9">
      <w:pPr>
        <w:pStyle w:val="Heading2"/>
        <w:spacing w:before="0" w:after="120"/>
        <w:rPr>
          <w:rFonts w:ascii="Arial" w:hAnsi="Arial" w:cs="Arial"/>
        </w:rPr>
      </w:pPr>
      <w:r w:rsidRPr="00D72B87">
        <w:rPr>
          <w:rFonts w:ascii="Arial" w:hAnsi="Arial" w:cs="Arial"/>
        </w:rPr>
        <w:t>3.0 Categories of Artifacts</w:t>
      </w:r>
    </w:p>
    <w:p w14:paraId="63F6B159"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The ALETHEIA platform manages several categories of artifacts that collectively represent the implementation of the system. These categories reflect the different dimensions of the software development lifecycle.</w:t>
      </w:r>
    </w:p>
    <w:p w14:paraId="09FE972D"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Typical artifact categories include:</w:t>
      </w:r>
    </w:p>
    <w:p w14:paraId="06FA45C9" w14:textId="77777777" w:rsidR="00502DF9" w:rsidRPr="00D72B87" w:rsidRDefault="00502DF9" w:rsidP="00502DF9">
      <w:pPr>
        <w:pStyle w:val="NormalWeb"/>
        <w:numPr>
          <w:ilvl w:val="0"/>
          <w:numId w:val="1"/>
        </w:numPr>
        <w:spacing w:before="0" w:beforeAutospacing="0" w:after="0" w:afterAutospacing="0"/>
        <w:rPr>
          <w:rFonts w:ascii="Arial" w:hAnsi="Arial" w:cs="Arial"/>
        </w:rPr>
      </w:pPr>
      <w:r w:rsidRPr="00D72B87">
        <w:rPr>
          <w:rFonts w:ascii="Arial" w:hAnsi="Arial" w:cs="Arial"/>
        </w:rPr>
        <w:t>application source code</w:t>
      </w:r>
    </w:p>
    <w:p w14:paraId="4A53D87B" w14:textId="77777777" w:rsidR="00502DF9" w:rsidRPr="00D72B87" w:rsidRDefault="00502DF9" w:rsidP="00502DF9">
      <w:pPr>
        <w:pStyle w:val="NormalWeb"/>
        <w:numPr>
          <w:ilvl w:val="0"/>
          <w:numId w:val="1"/>
        </w:numPr>
        <w:spacing w:before="0" w:beforeAutospacing="0" w:after="0" w:afterAutospacing="0"/>
        <w:rPr>
          <w:rFonts w:ascii="Arial" w:hAnsi="Arial" w:cs="Arial"/>
        </w:rPr>
      </w:pPr>
      <w:r w:rsidRPr="00D72B87">
        <w:rPr>
          <w:rFonts w:ascii="Arial" w:hAnsi="Arial" w:cs="Arial"/>
        </w:rPr>
        <w:t>configuration definitions</w:t>
      </w:r>
    </w:p>
    <w:p w14:paraId="0DA4C3D3" w14:textId="77777777" w:rsidR="00502DF9" w:rsidRPr="00D72B87" w:rsidRDefault="00502DF9" w:rsidP="00502DF9">
      <w:pPr>
        <w:pStyle w:val="NormalWeb"/>
        <w:numPr>
          <w:ilvl w:val="0"/>
          <w:numId w:val="1"/>
        </w:numPr>
        <w:spacing w:before="0" w:beforeAutospacing="0" w:after="0" w:afterAutospacing="0"/>
        <w:rPr>
          <w:rFonts w:ascii="Arial" w:hAnsi="Arial" w:cs="Arial"/>
        </w:rPr>
      </w:pPr>
      <w:r w:rsidRPr="00D72B87">
        <w:rPr>
          <w:rFonts w:ascii="Arial" w:hAnsi="Arial" w:cs="Arial"/>
        </w:rPr>
        <w:t>database and data schema definitions</w:t>
      </w:r>
    </w:p>
    <w:p w14:paraId="04F920AA" w14:textId="77777777" w:rsidR="00502DF9" w:rsidRPr="00D72B87" w:rsidRDefault="00502DF9" w:rsidP="00502DF9">
      <w:pPr>
        <w:pStyle w:val="NormalWeb"/>
        <w:numPr>
          <w:ilvl w:val="0"/>
          <w:numId w:val="1"/>
        </w:numPr>
        <w:spacing w:before="0" w:beforeAutospacing="0" w:after="0" w:afterAutospacing="0"/>
        <w:rPr>
          <w:rFonts w:ascii="Arial" w:hAnsi="Arial" w:cs="Arial"/>
        </w:rPr>
      </w:pPr>
      <w:r w:rsidRPr="00D72B87">
        <w:rPr>
          <w:rFonts w:ascii="Arial" w:hAnsi="Arial" w:cs="Arial"/>
        </w:rPr>
        <w:t>interface and API contracts</w:t>
      </w:r>
    </w:p>
    <w:p w14:paraId="6466D746" w14:textId="77777777" w:rsidR="00502DF9" w:rsidRPr="00D72B87" w:rsidRDefault="00502DF9" w:rsidP="00502DF9">
      <w:pPr>
        <w:pStyle w:val="NormalWeb"/>
        <w:numPr>
          <w:ilvl w:val="0"/>
          <w:numId w:val="1"/>
        </w:numPr>
        <w:spacing w:before="0" w:beforeAutospacing="0" w:after="0" w:afterAutospacing="0"/>
        <w:rPr>
          <w:rFonts w:ascii="Arial" w:hAnsi="Arial" w:cs="Arial"/>
        </w:rPr>
      </w:pPr>
      <w:r w:rsidRPr="00D72B87">
        <w:rPr>
          <w:rFonts w:ascii="Arial" w:hAnsi="Arial" w:cs="Arial"/>
        </w:rPr>
        <w:lastRenderedPageBreak/>
        <w:t>automated test suites</w:t>
      </w:r>
    </w:p>
    <w:p w14:paraId="585D7723" w14:textId="77777777" w:rsidR="00502DF9" w:rsidRPr="00D72B87" w:rsidRDefault="00502DF9" w:rsidP="00502DF9">
      <w:pPr>
        <w:pStyle w:val="NormalWeb"/>
        <w:numPr>
          <w:ilvl w:val="0"/>
          <w:numId w:val="1"/>
        </w:numPr>
        <w:spacing w:before="0" w:beforeAutospacing="0" w:after="0" w:afterAutospacing="0"/>
        <w:rPr>
          <w:rFonts w:ascii="Arial" w:hAnsi="Arial" w:cs="Arial"/>
        </w:rPr>
      </w:pPr>
      <w:r w:rsidRPr="00D72B87">
        <w:rPr>
          <w:rFonts w:ascii="Arial" w:hAnsi="Arial" w:cs="Arial"/>
        </w:rPr>
        <w:t>infrastructure definitions</w:t>
      </w:r>
    </w:p>
    <w:p w14:paraId="14B06A56" w14:textId="77777777" w:rsidR="00502DF9" w:rsidRPr="00D72B87" w:rsidRDefault="00502DF9" w:rsidP="00502DF9">
      <w:pPr>
        <w:pStyle w:val="NormalWeb"/>
        <w:numPr>
          <w:ilvl w:val="0"/>
          <w:numId w:val="1"/>
        </w:numPr>
        <w:spacing w:before="0" w:beforeAutospacing="0" w:after="0" w:afterAutospacing="0"/>
        <w:rPr>
          <w:rFonts w:ascii="Arial" w:hAnsi="Arial" w:cs="Arial"/>
        </w:rPr>
      </w:pPr>
      <w:r w:rsidRPr="00D72B87">
        <w:rPr>
          <w:rFonts w:ascii="Arial" w:hAnsi="Arial" w:cs="Arial"/>
        </w:rPr>
        <w:t>operational scripts</w:t>
      </w:r>
    </w:p>
    <w:p w14:paraId="4EEC18F1" w14:textId="77777777" w:rsidR="00502DF9" w:rsidRPr="00D72B87" w:rsidRDefault="00502DF9" w:rsidP="00502DF9">
      <w:pPr>
        <w:pStyle w:val="NormalWeb"/>
        <w:numPr>
          <w:ilvl w:val="0"/>
          <w:numId w:val="1"/>
        </w:numPr>
        <w:spacing w:before="0" w:beforeAutospacing="0" w:after="120" w:afterAutospacing="0"/>
        <w:rPr>
          <w:rFonts w:ascii="Arial" w:hAnsi="Arial" w:cs="Arial"/>
        </w:rPr>
      </w:pPr>
      <w:r w:rsidRPr="00D72B87">
        <w:rPr>
          <w:rFonts w:ascii="Arial" w:hAnsi="Arial" w:cs="Arial"/>
        </w:rPr>
        <w:t>documentation and system descriptions</w:t>
      </w:r>
    </w:p>
    <w:p w14:paraId="5285BC20"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Each category plays a different role in the overall structure of the constructed system, but all are stored within the same repository framework.</w:t>
      </w:r>
    </w:p>
    <w:p w14:paraId="6F8F0B03" w14:textId="77777777" w:rsidR="00502DF9" w:rsidRPr="00D72B87" w:rsidRDefault="00502DF9" w:rsidP="00502DF9">
      <w:pPr>
        <w:pStyle w:val="Heading2"/>
        <w:spacing w:before="0" w:after="120"/>
        <w:rPr>
          <w:rFonts w:ascii="Arial" w:hAnsi="Arial" w:cs="Arial"/>
        </w:rPr>
      </w:pPr>
      <w:r w:rsidRPr="00D72B87">
        <w:rPr>
          <w:rFonts w:ascii="Arial" w:hAnsi="Arial" w:cs="Arial"/>
        </w:rPr>
        <w:t>4.0 Repository as the Structured Workspace of the System</w:t>
      </w:r>
    </w:p>
    <w:p w14:paraId="5DA667CD"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The artifact repository acts as the structured workspace in which all generated artifacts are organized. The repository reflects the logical structure of the system as defined by the specification and architecture.</w:t>
      </w:r>
    </w:p>
    <w:p w14:paraId="53E90B19"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Artifacts are organized into directories and modules that correspond to architectural boundaries such as services, components, data models, and infrastructure layers. This organization ensures that the generated system remains comprehensible to human engineers who may later interact with or extend the system.</w:t>
      </w:r>
    </w:p>
    <w:p w14:paraId="2E5B9FF1"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The repository therefore bridges the gap between autonomous generation and traditional software development practices.</w:t>
      </w:r>
    </w:p>
    <w:p w14:paraId="0C139C92" w14:textId="77777777" w:rsidR="00502DF9" w:rsidRPr="00D72B87" w:rsidRDefault="00502DF9" w:rsidP="00502DF9">
      <w:pPr>
        <w:pStyle w:val="Heading2"/>
        <w:spacing w:before="0" w:after="120"/>
        <w:rPr>
          <w:rFonts w:ascii="Arial" w:hAnsi="Arial" w:cs="Arial"/>
        </w:rPr>
      </w:pPr>
      <w:r w:rsidRPr="00D72B87">
        <w:rPr>
          <w:rFonts w:ascii="Arial" w:hAnsi="Arial" w:cs="Arial"/>
        </w:rPr>
        <w:t>5.0 Integration with Version Control</w:t>
      </w:r>
    </w:p>
    <w:p w14:paraId="676A5378"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To support the evolution of generated systems, the artifact repository integrates with version control systems such as Git. Version control provides a reliable mechanism for tracking changes to artifacts over time and allows the platform to maintain a complete history of the system’s evolution.</w:t>
      </w:r>
    </w:p>
    <w:p w14:paraId="751118E7"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Each construction cycle may produce updates to existing artifacts or introduce new artifacts derived from updated specifications. These changes are recorded as commits within the repository, preserving a chronological record of how the system has been constructed and modified.</w:t>
      </w:r>
    </w:p>
    <w:p w14:paraId="2BF54EDB"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Version control integration also allows human engineers to review, audit, and collaborate on generated artifacts when necessary.</w:t>
      </w:r>
    </w:p>
    <w:p w14:paraId="7CDEE1A0" w14:textId="77777777" w:rsidR="00502DF9" w:rsidRPr="00D72B87" w:rsidRDefault="00502DF9" w:rsidP="00502DF9">
      <w:pPr>
        <w:pStyle w:val="Heading2"/>
        <w:spacing w:before="0" w:after="120"/>
        <w:rPr>
          <w:rFonts w:ascii="Arial" w:hAnsi="Arial" w:cs="Arial"/>
        </w:rPr>
      </w:pPr>
      <w:r w:rsidRPr="00D72B87">
        <w:rPr>
          <w:rFonts w:ascii="Arial" w:hAnsi="Arial" w:cs="Arial"/>
        </w:rPr>
        <w:t>6.0 Traceability of Artifacts</w:t>
      </w:r>
    </w:p>
    <w:p w14:paraId="0D82AE90"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The artifact repository operates in close coordination with the traceability model defined in ISL v1.4. Each artifact stored within the repository is associated with the specification elements and construction tasks that produced it.</w:t>
      </w:r>
    </w:p>
    <w:p w14:paraId="696F9277"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This association allows the platform to maintain a bidirectional link between specification and implementation. From the specification perspective, the platform can determine which artifacts implement a given capability or requirement. From the implementation perspective, developers can identify the specification elements that justify the existence of a particular artifact.</w:t>
      </w:r>
    </w:p>
    <w:p w14:paraId="7852DC5C"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Traceability ensures that the artifact repository remains aligned with the blueprint that guided the construction process.</w:t>
      </w:r>
    </w:p>
    <w:p w14:paraId="1DDC9C4D" w14:textId="77777777" w:rsidR="00502DF9" w:rsidRPr="00D72B87" w:rsidRDefault="00502DF9" w:rsidP="00502DF9">
      <w:pPr>
        <w:pStyle w:val="Heading2"/>
        <w:spacing w:before="0" w:after="120"/>
        <w:rPr>
          <w:rFonts w:ascii="Arial" w:hAnsi="Arial" w:cs="Arial"/>
        </w:rPr>
      </w:pPr>
      <w:r w:rsidRPr="00D72B87">
        <w:rPr>
          <w:rFonts w:ascii="Arial" w:hAnsi="Arial" w:cs="Arial"/>
        </w:rPr>
        <w:lastRenderedPageBreak/>
        <w:t>7.0 Artifact Versioning</w:t>
      </w:r>
    </w:p>
    <w:p w14:paraId="3364F896"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Artifacts evolve over time as specifications change and construction cycles introduce improvements or corrections. The repository model supports this evolution through structured artifact versioning.</w:t>
      </w:r>
    </w:p>
    <w:p w14:paraId="43A15853"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Each artifact maintains a version history reflecting the sequence of modifications that have occurred during the system’s lifecycle. These versions allow the platform to reconstruct earlier states of the system, analyze the impact of changes, and restore stable configurations when necessary.</w:t>
      </w:r>
    </w:p>
    <w:p w14:paraId="1FC64D15"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Versioning therefore provides stability and recoverability within the autonomous development process.</w:t>
      </w:r>
    </w:p>
    <w:p w14:paraId="1587EBCF" w14:textId="77777777" w:rsidR="00502DF9" w:rsidRPr="00D72B87" w:rsidRDefault="00502DF9" w:rsidP="00502DF9">
      <w:pPr>
        <w:pStyle w:val="Heading2"/>
        <w:spacing w:before="0" w:after="120"/>
        <w:rPr>
          <w:rFonts w:ascii="Arial" w:hAnsi="Arial" w:cs="Arial"/>
        </w:rPr>
      </w:pPr>
      <w:r w:rsidRPr="00D72B87">
        <w:rPr>
          <w:rFonts w:ascii="Arial" w:hAnsi="Arial" w:cs="Arial"/>
        </w:rPr>
        <w:t>8.0 Relationship Between Artifacts and Tasks</w:t>
      </w:r>
    </w:p>
    <w:p w14:paraId="1A6E1B20"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Artifacts are not created in isolation; they are the result of construction tasks executed by the platform. The repository therefore records the relationship between artifacts and the tasks that generated them.</w:t>
      </w:r>
    </w:p>
    <w:p w14:paraId="0D135393"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When a task produces an artifact, the platform records metadata linking the artifact to the task identifier, the specification entity that initiated the task, and the agent responsible for the artifact’s creation.</w:t>
      </w:r>
    </w:p>
    <w:p w14:paraId="3979E3AD"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This relationship strengthens the traceability graph and allows the platform to understand how artifacts were derived from the specification and planning models.</w:t>
      </w:r>
    </w:p>
    <w:p w14:paraId="1420434F" w14:textId="77777777" w:rsidR="00502DF9" w:rsidRPr="00D72B87" w:rsidRDefault="00502DF9" w:rsidP="00502DF9">
      <w:pPr>
        <w:pStyle w:val="Heading2"/>
        <w:spacing w:before="0" w:after="120"/>
        <w:rPr>
          <w:rFonts w:ascii="Arial" w:hAnsi="Arial" w:cs="Arial"/>
        </w:rPr>
      </w:pPr>
      <w:r w:rsidRPr="00D72B87">
        <w:rPr>
          <w:rFonts w:ascii="Arial" w:hAnsi="Arial" w:cs="Arial"/>
        </w:rPr>
        <w:t>9.0 Repository State and Consistency</w:t>
      </w:r>
    </w:p>
    <w:p w14:paraId="34C2F0E9"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The artifact repository must maintain a consistent state throughout the construction process. As tasks execute and artifacts are generated or modified, the repository reflects the current implementation state of the system.</w:t>
      </w:r>
    </w:p>
    <w:p w14:paraId="35A0F1DD"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Consistency mechanisms ensure that partially generated artifacts or failed construction steps do not leave the repository in an unstable condition. Repair cycles may update artifacts repeatedly until validation steps confirm that they meet the requirements defined in the specification.</w:t>
      </w:r>
    </w:p>
    <w:p w14:paraId="7A6B6F3E"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Once validation succeeds, the artifact state becomes part of the stable repository history.</w:t>
      </w:r>
    </w:p>
    <w:p w14:paraId="06979410" w14:textId="77777777" w:rsidR="00502DF9" w:rsidRPr="00D72B87" w:rsidRDefault="00502DF9" w:rsidP="00502DF9">
      <w:pPr>
        <w:pStyle w:val="Heading2"/>
        <w:spacing w:before="0" w:after="120"/>
        <w:rPr>
          <w:rFonts w:ascii="Arial" w:hAnsi="Arial" w:cs="Arial"/>
        </w:rPr>
      </w:pPr>
      <w:r w:rsidRPr="00D72B87">
        <w:rPr>
          <w:rFonts w:ascii="Arial" w:hAnsi="Arial" w:cs="Arial"/>
        </w:rPr>
        <w:t>10.0 Repository Structure and Modularity</w:t>
      </w:r>
    </w:p>
    <w:p w14:paraId="0017EB14"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The repository structure reflects the modular architecture of the system being constructed. Each module or service may have its own set of artifacts representing its implementation, tests, configuration, and operational scripts.</w:t>
      </w:r>
    </w:p>
    <w:p w14:paraId="30A219C3"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This modular organization allows the platform to isolate changes within specific areas of the system and supports parallel construction activities across different modules.</w:t>
      </w:r>
    </w:p>
    <w:p w14:paraId="55C309DC"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Modularity also helps maintain the clarity and maintainability of the generated system.</w:t>
      </w:r>
    </w:p>
    <w:p w14:paraId="365E10FE" w14:textId="77777777" w:rsidR="00502DF9" w:rsidRPr="00D72B87" w:rsidRDefault="00502DF9" w:rsidP="00502DF9">
      <w:pPr>
        <w:pStyle w:val="Heading2"/>
        <w:spacing w:before="0" w:after="120"/>
        <w:rPr>
          <w:rFonts w:ascii="Arial" w:hAnsi="Arial" w:cs="Arial"/>
        </w:rPr>
      </w:pPr>
      <w:r w:rsidRPr="00D72B87">
        <w:rPr>
          <w:rFonts w:ascii="Arial" w:hAnsi="Arial" w:cs="Arial"/>
        </w:rPr>
        <w:lastRenderedPageBreak/>
        <w:t>11.0 Artifact Packaging</w:t>
      </w:r>
    </w:p>
    <w:p w14:paraId="51BEB278"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In addition to storing individual artifacts, the repository model supports the creation of packaged outputs suitable for deployment. These packages may include compiled binaries, container images, deployment manifests, or other distribution formats defined by the infrastructure specification.</w:t>
      </w:r>
    </w:p>
    <w:p w14:paraId="1BD18967"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Packaging is typically performed during the later stages of the construction process and prepares the system for integration with deployment and operational environments.</w:t>
      </w:r>
    </w:p>
    <w:p w14:paraId="5090E5CC"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The artifact repository therefore supports both development-level artifacts and operational distribution packages.</w:t>
      </w:r>
    </w:p>
    <w:p w14:paraId="61CC917C" w14:textId="77777777" w:rsidR="00502DF9" w:rsidRPr="00D72B87" w:rsidRDefault="00502DF9" w:rsidP="00502DF9">
      <w:pPr>
        <w:pStyle w:val="Heading2"/>
        <w:spacing w:before="0" w:after="120"/>
        <w:rPr>
          <w:rFonts w:ascii="Arial" w:hAnsi="Arial" w:cs="Arial"/>
        </w:rPr>
      </w:pPr>
      <w:r w:rsidRPr="00D72B87">
        <w:rPr>
          <w:rFonts w:ascii="Arial" w:hAnsi="Arial" w:cs="Arial"/>
        </w:rPr>
        <w:t>12.0 Artifact Access by Platform Components</w:t>
      </w:r>
    </w:p>
    <w:p w14:paraId="7FF61BBC"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Various subsystems within the ALETHEIA platform require access to the artifact repository. The construction engine stores newly generated artifacts, the traceability engine records their relationships, and the execution monitor observes their evolution during the construction process.</w:t>
      </w:r>
    </w:p>
    <w:p w14:paraId="1F92E566"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Agents may also retrieve artifacts from the repository when performing repair analysis, review activities, or architectural validation.</w:t>
      </w:r>
    </w:p>
    <w:p w14:paraId="61773552"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Access to the repository is therefore managed through structured interfaces that ensure consistency and traceability.</w:t>
      </w:r>
    </w:p>
    <w:p w14:paraId="35457EA1" w14:textId="77777777" w:rsidR="00502DF9" w:rsidRPr="00D72B87" w:rsidRDefault="00502DF9" w:rsidP="00502DF9">
      <w:pPr>
        <w:pStyle w:val="Heading2"/>
        <w:spacing w:before="0" w:after="120"/>
        <w:rPr>
          <w:rFonts w:ascii="Arial" w:hAnsi="Arial" w:cs="Arial"/>
        </w:rPr>
      </w:pPr>
      <w:r w:rsidRPr="00D72B87">
        <w:rPr>
          <w:rFonts w:ascii="Arial" w:hAnsi="Arial" w:cs="Arial"/>
        </w:rPr>
        <w:t>13.0 Artifact Retention and Lifecycle Management</w:t>
      </w:r>
    </w:p>
    <w:p w14:paraId="4617B949"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Over time, the repository may accumulate multiple versions of artifacts as the system evolves. The artifact repository model therefore includes lifecycle management mechanisms that determine how long artifacts should be retained and how obsolete versions should be archived.</w:t>
      </w:r>
    </w:p>
    <w:p w14:paraId="172BF459"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Retention policies may vary depending on organizational requirements. In enterprise environments, historical artifact versions may be preserved for auditing and compliance purposes, while development environments may apply more aggressive cleanup policies.</w:t>
      </w:r>
    </w:p>
    <w:p w14:paraId="0C49B11C"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Lifecycle management ensures that the repository remains efficient while preserving essential historical information.</w:t>
      </w:r>
    </w:p>
    <w:p w14:paraId="021C2A2F" w14:textId="77777777" w:rsidR="00502DF9" w:rsidRPr="00D72B87" w:rsidRDefault="00502DF9" w:rsidP="00502DF9">
      <w:pPr>
        <w:pStyle w:val="Heading2"/>
        <w:spacing w:before="0" w:after="120"/>
        <w:rPr>
          <w:rFonts w:ascii="Arial" w:hAnsi="Arial" w:cs="Arial"/>
        </w:rPr>
      </w:pPr>
      <w:r w:rsidRPr="00D72B87">
        <w:rPr>
          <w:rFonts w:ascii="Arial" w:hAnsi="Arial" w:cs="Arial"/>
        </w:rPr>
        <w:t>14.0 Artifact Repository as the Workshop Archive</w:t>
      </w:r>
    </w:p>
    <w:p w14:paraId="0D8B0A98"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Within the architectural metaphor of the ALETHEIA project, the artifact repository represents the workshop archive where the tangible products of the construction process are stored. While the blueprint describes the intended structure and the planning model coordinates the construction work, the repository preserves the materials that make up the final structure.</w:t>
      </w:r>
    </w:p>
    <w:p w14:paraId="2A222192"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t>This archive allows the platform to revisit previous stages of the construction process, analyze how the system evolved, and ensure that each artifact remains connected to the design decisions that produced it.</w:t>
      </w:r>
    </w:p>
    <w:p w14:paraId="7A6E98EE" w14:textId="77777777" w:rsidR="00502DF9" w:rsidRPr="00D72B87" w:rsidRDefault="00502DF9" w:rsidP="00502DF9">
      <w:pPr>
        <w:pStyle w:val="NormalWeb"/>
        <w:spacing w:before="0" w:beforeAutospacing="0" w:after="120" w:afterAutospacing="0"/>
        <w:rPr>
          <w:rFonts w:ascii="Arial" w:hAnsi="Arial" w:cs="Arial"/>
        </w:rPr>
      </w:pPr>
      <w:r w:rsidRPr="00D72B87">
        <w:rPr>
          <w:rFonts w:ascii="Arial" w:hAnsi="Arial" w:cs="Arial"/>
        </w:rPr>
        <w:lastRenderedPageBreak/>
        <w:t>Through the artifact repository model, ALETHEIA ensures that autonomous software construction produces systems that remain maintainable, traceable, and operationally reliable.</w:t>
      </w:r>
    </w:p>
    <w:p w14:paraId="13884A81"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37C90"/>
    <w:multiLevelType w:val="multilevel"/>
    <w:tmpl w:val="F558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453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DF9"/>
    <w:rsid w:val="00223A5B"/>
    <w:rsid w:val="00502DF9"/>
    <w:rsid w:val="005F714F"/>
    <w:rsid w:val="006A7C31"/>
    <w:rsid w:val="006F4208"/>
    <w:rsid w:val="00984106"/>
    <w:rsid w:val="00997A3E"/>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9DD498D"/>
  <w15:chartTrackingRefBased/>
  <w15:docId w15:val="{6B156964-EA2D-C443-BA02-79F236209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D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2D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D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D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D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D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D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D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D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D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2D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D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D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D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D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D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D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DF9"/>
    <w:rPr>
      <w:rFonts w:eastAsiaTheme="majorEastAsia" w:cstheme="majorBidi"/>
      <w:color w:val="272727" w:themeColor="text1" w:themeTint="D8"/>
    </w:rPr>
  </w:style>
  <w:style w:type="paragraph" w:styleId="Title">
    <w:name w:val="Title"/>
    <w:basedOn w:val="Normal"/>
    <w:next w:val="Normal"/>
    <w:link w:val="TitleChar"/>
    <w:uiPriority w:val="10"/>
    <w:qFormat/>
    <w:rsid w:val="00502D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D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D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D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DF9"/>
    <w:pPr>
      <w:spacing w:before="160"/>
      <w:jc w:val="center"/>
    </w:pPr>
    <w:rPr>
      <w:i/>
      <w:iCs/>
      <w:color w:val="404040" w:themeColor="text1" w:themeTint="BF"/>
    </w:rPr>
  </w:style>
  <w:style w:type="character" w:customStyle="1" w:styleId="QuoteChar">
    <w:name w:val="Quote Char"/>
    <w:basedOn w:val="DefaultParagraphFont"/>
    <w:link w:val="Quote"/>
    <w:uiPriority w:val="29"/>
    <w:rsid w:val="00502DF9"/>
    <w:rPr>
      <w:i/>
      <w:iCs/>
      <w:color w:val="404040" w:themeColor="text1" w:themeTint="BF"/>
    </w:rPr>
  </w:style>
  <w:style w:type="paragraph" w:styleId="ListParagraph">
    <w:name w:val="List Paragraph"/>
    <w:basedOn w:val="Normal"/>
    <w:uiPriority w:val="34"/>
    <w:qFormat/>
    <w:rsid w:val="00502DF9"/>
    <w:pPr>
      <w:ind w:left="720"/>
      <w:contextualSpacing/>
    </w:pPr>
  </w:style>
  <w:style w:type="character" w:styleId="IntenseEmphasis">
    <w:name w:val="Intense Emphasis"/>
    <w:basedOn w:val="DefaultParagraphFont"/>
    <w:uiPriority w:val="21"/>
    <w:qFormat/>
    <w:rsid w:val="00502DF9"/>
    <w:rPr>
      <w:i/>
      <w:iCs/>
      <w:color w:val="0F4761" w:themeColor="accent1" w:themeShade="BF"/>
    </w:rPr>
  </w:style>
  <w:style w:type="paragraph" w:styleId="IntenseQuote">
    <w:name w:val="Intense Quote"/>
    <w:basedOn w:val="Normal"/>
    <w:next w:val="Normal"/>
    <w:link w:val="IntenseQuoteChar"/>
    <w:uiPriority w:val="30"/>
    <w:qFormat/>
    <w:rsid w:val="00502D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DF9"/>
    <w:rPr>
      <w:i/>
      <w:iCs/>
      <w:color w:val="0F4761" w:themeColor="accent1" w:themeShade="BF"/>
    </w:rPr>
  </w:style>
  <w:style w:type="character" w:styleId="IntenseReference">
    <w:name w:val="Intense Reference"/>
    <w:basedOn w:val="DefaultParagraphFont"/>
    <w:uiPriority w:val="32"/>
    <w:qFormat/>
    <w:rsid w:val="00502DF9"/>
    <w:rPr>
      <w:b/>
      <w:bCs/>
      <w:smallCaps/>
      <w:color w:val="0F4761" w:themeColor="accent1" w:themeShade="BF"/>
      <w:spacing w:val="5"/>
    </w:rPr>
  </w:style>
  <w:style w:type="paragraph" w:styleId="NormalWeb">
    <w:name w:val="Normal (Web)"/>
    <w:basedOn w:val="Normal"/>
    <w:uiPriority w:val="99"/>
    <w:semiHidden/>
    <w:unhideWhenUsed/>
    <w:rsid w:val="00502DF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1480</Words>
  <Characters>8440</Characters>
  <Application>Microsoft Office Word</Application>
  <DocSecurity>0</DocSecurity>
  <Lines>70</Lines>
  <Paragraphs>19</Paragraphs>
  <ScaleCrop>false</ScaleCrop>
  <Company/>
  <LinksUpToDate>false</LinksUpToDate>
  <CharactersWithSpaces>9901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2026-03-18T19:30:00Z</dcterms:created>
  <dcterms:modified xsi:type="dcterms:W3CDTF">2026-03-18T19:31:00Z</dcterms:modified>
</cp:coreProperties>
</file>