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0184" w14:textId="77777777" w:rsidR="00DF756D" w:rsidRPr="00602CE6" w:rsidRDefault="00DF756D" w:rsidP="00DF756D">
      <w:pPr>
        <w:pStyle w:val="Title"/>
        <w:rPr>
          <w:sz w:val="44"/>
          <w:szCs w:val="44"/>
        </w:rPr>
      </w:pPr>
      <w:r w:rsidRPr="00602CE6">
        <w:rPr>
          <w:sz w:val="44"/>
          <w:szCs w:val="44"/>
        </w:rPr>
        <w:t>ALETHEIA Specification Language (ISL) v2.4</w:t>
      </w:r>
    </w:p>
    <w:p w14:paraId="3CD5DE0D" w14:textId="77777777" w:rsidR="00DF756D" w:rsidRPr="00602CE6" w:rsidRDefault="00DF756D" w:rsidP="00DF756D">
      <w:pPr>
        <w:pStyle w:val="Heading1"/>
        <w:spacing w:before="0" w:after="120"/>
        <w:rPr>
          <w:rFonts w:ascii="Arial" w:hAnsi="Arial" w:cs="Arial"/>
        </w:rPr>
      </w:pPr>
      <w:r>
        <w:rPr>
          <w:rFonts w:ascii="Arial" w:hAnsi="Arial" w:cs="Arial"/>
        </w:rPr>
        <w:t xml:space="preserve">ISL v2.4 </w:t>
      </w:r>
      <w:r w:rsidRPr="00602CE6">
        <w:rPr>
          <w:rFonts w:ascii="Arial" w:hAnsi="Arial" w:cs="Arial"/>
        </w:rPr>
        <w:t>The Execution Runtime Model</w:t>
      </w:r>
    </w:p>
    <w:p w14:paraId="73B45BEE" w14:textId="77777777" w:rsidR="00DF756D" w:rsidRPr="00602CE6" w:rsidRDefault="00DF756D" w:rsidP="00DF756D">
      <w:pPr>
        <w:pStyle w:val="Heading2"/>
        <w:spacing w:before="0" w:after="120"/>
        <w:rPr>
          <w:rFonts w:ascii="Arial" w:hAnsi="Arial" w:cs="Arial"/>
        </w:rPr>
      </w:pPr>
      <w:r w:rsidRPr="00602CE6">
        <w:rPr>
          <w:rFonts w:ascii="Arial" w:hAnsi="Arial" w:cs="Arial"/>
        </w:rPr>
        <w:t>1.0 Purpose of the Execution Runtime Model</w:t>
      </w:r>
    </w:p>
    <w:p w14:paraId="6937B70A"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 xml:space="preserve">The Execution Runtime Model defines the operational environment in which the ALETHEIA platform performs the autonomous software construction process. While the planning model defines what tasks must be performed and the agent collaboration model defines how reasoning responsibilities are distributed, the runtime model defines how these activities are </w:t>
      </w:r>
      <w:proofErr w:type="gramStart"/>
      <w:r w:rsidRPr="00602CE6">
        <w:rPr>
          <w:rFonts w:ascii="Arial" w:hAnsi="Arial" w:cs="Arial"/>
        </w:rPr>
        <w:t>actually executed</w:t>
      </w:r>
      <w:proofErr w:type="gramEnd"/>
      <w:r w:rsidRPr="00602CE6">
        <w:rPr>
          <w:rFonts w:ascii="Arial" w:hAnsi="Arial" w:cs="Arial"/>
        </w:rPr>
        <w:t xml:space="preserve"> within the platform.</w:t>
      </w:r>
    </w:p>
    <w:p w14:paraId="1975E4F5"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environment coordinates task scheduling, agent invocation, tool integration, validation workflows, and repair cycles. It acts as the operational engine that drives the system from specification interpretation to completed implementation.</w:t>
      </w:r>
    </w:p>
    <w:p w14:paraId="5ADD5B2D"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purpose of this model is to establish a reliable and observable runtime framework capable of supporting complex and long-running autonomous development processes.</w:t>
      </w:r>
    </w:p>
    <w:p w14:paraId="78FFB4D2" w14:textId="77777777" w:rsidR="00DF756D" w:rsidRPr="00602CE6" w:rsidRDefault="00DF756D" w:rsidP="00DF756D">
      <w:pPr>
        <w:pStyle w:val="Heading2"/>
        <w:spacing w:before="0" w:after="120"/>
        <w:rPr>
          <w:rFonts w:ascii="Arial" w:hAnsi="Arial" w:cs="Arial"/>
        </w:rPr>
      </w:pPr>
      <w:r w:rsidRPr="00602CE6">
        <w:rPr>
          <w:rFonts w:ascii="Arial" w:hAnsi="Arial" w:cs="Arial"/>
        </w:rPr>
        <w:t>2.0 Runtime as the Operational Core of the Platform</w:t>
      </w:r>
    </w:p>
    <w:p w14:paraId="04C8D693"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Within the ALETHEIA architecture, the execution runtime represents the operational core where the planning engine, agent orchestrator, tool integrations, and artifact repository interact. It manages the continuous flow of tasks, data, and decisions that occur during the construction lifecycle.</w:t>
      </w:r>
    </w:p>
    <w:p w14:paraId="27DC89AA"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is responsible for maintaining synchronization between platform subsystems and ensuring that construction activities progress in accordance with the task graph generated by the planning model.</w:t>
      </w:r>
    </w:p>
    <w:p w14:paraId="529A0471"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coordination transforms the static construction plan into a dynamic and continuously evolving workflow.</w:t>
      </w:r>
    </w:p>
    <w:p w14:paraId="79A93A0A" w14:textId="77777777" w:rsidR="00DF756D" w:rsidRPr="00602CE6" w:rsidRDefault="00DF756D" w:rsidP="00DF756D">
      <w:pPr>
        <w:pStyle w:val="Heading2"/>
        <w:spacing w:before="0" w:after="120"/>
        <w:rPr>
          <w:rFonts w:ascii="Arial" w:hAnsi="Arial" w:cs="Arial"/>
        </w:rPr>
      </w:pPr>
      <w:r w:rsidRPr="00602CE6">
        <w:rPr>
          <w:rFonts w:ascii="Arial" w:hAnsi="Arial" w:cs="Arial"/>
        </w:rPr>
        <w:t>3.0 Task Scheduling</w:t>
      </w:r>
    </w:p>
    <w:p w14:paraId="6C248D69"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execution runtime includes a task scheduling system responsible for selecting and executing construction tasks from the task graph defined by the planning engine. The scheduler determines which tasks are ready to be executed based on dependency resolution and the current state of the system.</w:t>
      </w:r>
    </w:p>
    <w:p w14:paraId="5151F80B"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Tasks may be executed sequentially or in parallel depending on their dependencies and the available computational resources. The scheduler ensures that tasks are executed in a manner that respects architectural dependencies while maximizing efficiency.</w:t>
      </w:r>
    </w:p>
    <w:p w14:paraId="50A5A46C"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scheduling system therefore acts as the coordinator of the construction workflow.</w:t>
      </w:r>
    </w:p>
    <w:p w14:paraId="7DA1A8AF" w14:textId="77777777" w:rsidR="00DF756D" w:rsidRPr="00602CE6" w:rsidRDefault="00DF756D" w:rsidP="00DF756D">
      <w:pPr>
        <w:pStyle w:val="Heading2"/>
        <w:spacing w:before="0" w:after="120"/>
        <w:rPr>
          <w:rFonts w:ascii="Arial" w:hAnsi="Arial" w:cs="Arial"/>
        </w:rPr>
      </w:pPr>
      <w:r w:rsidRPr="00602CE6">
        <w:rPr>
          <w:rFonts w:ascii="Arial" w:hAnsi="Arial" w:cs="Arial"/>
        </w:rPr>
        <w:t>4.0 Task Execution Lifecycle</w:t>
      </w:r>
    </w:p>
    <w:p w14:paraId="3DD13F87"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Each construction task follows a defined execution lifecycle within the runtime environment. The lifecycle typically includes several stages:</w:t>
      </w:r>
    </w:p>
    <w:p w14:paraId="1F7F04EC" w14:textId="77777777" w:rsidR="00DF756D" w:rsidRPr="00602CE6" w:rsidRDefault="00DF756D" w:rsidP="00DF756D">
      <w:pPr>
        <w:pStyle w:val="NormalWeb"/>
        <w:numPr>
          <w:ilvl w:val="0"/>
          <w:numId w:val="1"/>
        </w:numPr>
        <w:spacing w:before="0" w:beforeAutospacing="0" w:after="0" w:afterAutospacing="0"/>
        <w:rPr>
          <w:rFonts w:ascii="Arial" w:hAnsi="Arial" w:cs="Arial"/>
        </w:rPr>
      </w:pPr>
      <w:r w:rsidRPr="00602CE6">
        <w:rPr>
          <w:rFonts w:ascii="Arial" w:hAnsi="Arial" w:cs="Arial"/>
        </w:rPr>
        <w:t>task initialization</w:t>
      </w:r>
    </w:p>
    <w:p w14:paraId="66EC9445" w14:textId="77777777" w:rsidR="00DF756D" w:rsidRPr="00602CE6" w:rsidRDefault="00DF756D" w:rsidP="00DF756D">
      <w:pPr>
        <w:pStyle w:val="NormalWeb"/>
        <w:numPr>
          <w:ilvl w:val="0"/>
          <w:numId w:val="1"/>
        </w:numPr>
        <w:spacing w:before="0" w:beforeAutospacing="0" w:after="0" w:afterAutospacing="0"/>
        <w:rPr>
          <w:rFonts w:ascii="Arial" w:hAnsi="Arial" w:cs="Arial"/>
        </w:rPr>
      </w:pPr>
      <w:r w:rsidRPr="00602CE6">
        <w:rPr>
          <w:rFonts w:ascii="Arial" w:hAnsi="Arial" w:cs="Arial"/>
        </w:rPr>
        <w:lastRenderedPageBreak/>
        <w:t>assignment to an appropriate agent or tool integration</w:t>
      </w:r>
    </w:p>
    <w:p w14:paraId="1D01004C" w14:textId="77777777" w:rsidR="00DF756D" w:rsidRPr="00602CE6" w:rsidRDefault="00DF756D" w:rsidP="00DF756D">
      <w:pPr>
        <w:pStyle w:val="NormalWeb"/>
        <w:numPr>
          <w:ilvl w:val="0"/>
          <w:numId w:val="1"/>
        </w:numPr>
        <w:spacing w:before="0" w:beforeAutospacing="0" w:after="0" w:afterAutospacing="0"/>
        <w:rPr>
          <w:rFonts w:ascii="Arial" w:hAnsi="Arial" w:cs="Arial"/>
        </w:rPr>
      </w:pPr>
      <w:r w:rsidRPr="00602CE6">
        <w:rPr>
          <w:rFonts w:ascii="Arial" w:hAnsi="Arial" w:cs="Arial"/>
        </w:rPr>
        <w:t>artifact generation or modification</w:t>
      </w:r>
    </w:p>
    <w:p w14:paraId="4A75264C" w14:textId="77777777" w:rsidR="00DF756D" w:rsidRPr="00602CE6" w:rsidRDefault="00DF756D" w:rsidP="00DF756D">
      <w:pPr>
        <w:pStyle w:val="NormalWeb"/>
        <w:numPr>
          <w:ilvl w:val="0"/>
          <w:numId w:val="1"/>
        </w:numPr>
        <w:spacing w:before="0" w:beforeAutospacing="0" w:after="0" w:afterAutospacing="0"/>
        <w:rPr>
          <w:rFonts w:ascii="Arial" w:hAnsi="Arial" w:cs="Arial"/>
        </w:rPr>
      </w:pPr>
      <w:r w:rsidRPr="00602CE6">
        <w:rPr>
          <w:rFonts w:ascii="Arial" w:hAnsi="Arial" w:cs="Arial"/>
        </w:rPr>
        <w:t>validation through deterministic tools</w:t>
      </w:r>
    </w:p>
    <w:p w14:paraId="0B4AFE6A" w14:textId="77777777" w:rsidR="00DF756D" w:rsidRPr="00602CE6" w:rsidRDefault="00DF756D" w:rsidP="00DF756D">
      <w:pPr>
        <w:pStyle w:val="NormalWeb"/>
        <w:numPr>
          <w:ilvl w:val="0"/>
          <w:numId w:val="1"/>
        </w:numPr>
        <w:spacing w:before="0" w:beforeAutospacing="0" w:after="120" w:afterAutospacing="0"/>
        <w:rPr>
          <w:rFonts w:ascii="Arial" w:hAnsi="Arial" w:cs="Arial"/>
        </w:rPr>
      </w:pPr>
      <w:r w:rsidRPr="00602CE6">
        <w:rPr>
          <w:rFonts w:ascii="Arial" w:hAnsi="Arial" w:cs="Arial"/>
        </w:rPr>
        <w:t>completion or escalation to repair cycles</w:t>
      </w:r>
    </w:p>
    <w:p w14:paraId="570EE2F3"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lifecycle ensures that every task progresses through a consistent sequence of activities, allowing the platform to monitor and control the construction process effectively.</w:t>
      </w:r>
    </w:p>
    <w:p w14:paraId="71257830" w14:textId="77777777" w:rsidR="00DF756D" w:rsidRPr="00602CE6" w:rsidRDefault="00DF756D" w:rsidP="00DF756D">
      <w:pPr>
        <w:pStyle w:val="Heading2"/>
        <w:spacing w:before="0" w:after="120"/>
        <w:rPr>
          <w:rFonts w:ascii="Arial" w:hAnsi="Arial" w:cs="Arial"/>
        </w:rPr>
      </w:pPr>
      <w:r w:rsidRPr="00602CE6">
        <w:rPr>
          <w:rFonts w:ascii="Arial" w:hAnsi="Arial" w:cs="Arial"/>
        </w:rPr>
        <w:t>5.0 Agent Invocation</w:t>
      </w:r>
    </w:p>
    <w:p w14:paraId="4580C991"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When a task requires reasoning or generation activities, the execution runtime invokes the appropriate agent through the agent orchestration subsystem. The runtime provides the agent with structured inputs derived from the specification, the task definition, and the current state of the system.</w:t>
      </w:r>
    </w:p>
    <w:p w14:paraId="78C18A87"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agent then produces outputs such as architectural proposals, generated artifacts, validation assets, or corrective suggestions. These outputs are returned to the runtime and incorporated into the construction workflow.</w:t>
      </w:r>
    </w:p>
    <w:p w14:paraId="33EC487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By mediating agent invocation through the runtime, the platform ensures that reasoning activities remain aligned with the task graph and governance policies.</w:t>
      </w:r>
    </w:p>
    <w:p w14:paraId="0AA5CF89" w14:textId="77777777" w:rsidR="00DF756D" w:rsidRPr="00602CE6" w:rsidRDefault="00DF756D" w:rsidP="00DF756D">
      <w:pPr>
        <w:pStyle w:val="Heading2"/>
        <w:spacing w:before="0" w:after="120"/>
        <w:rPr>
          <w:rFonts w:ascii="Arial" w:hAnsi="Arial" w:cs="Arial"/>
        </w:rPr>
      </w:pPr>
      <w:r w:rsidRPr="00602CE6">
        <w:rPr>
          <w:rFonts w:ascii="Arial" w:hAnsi="Arial" w:cs="Arial"/>
        </w:rPr>
        <w:t>6.0 Tool Invocation</w:t>
      </w:r>
    </w:p>
    <w:p w14:paraId="1617725F"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Many tasks require interaction with deterministic engineering tools such as compilers, test frameworks, static analysis tools, or infrastructure management systems. The execution runtime coordinates these interactions through the tool integration layer defined in ISL v1.6.</w:t>
      </w:r>
    </w:p>
    <w:p w14:paraId="1C8B5173"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When a task requires external validation or artifact processing, the runtime invokes the appropriate tool and captures the resulting outputs. These outputs may include compilation results, test outcomes, security analysis reports, or deployment package generation.</w:t>
      </w:r>
    </w:p>
    <w:p w14:paraId="27C05F5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then interprets these results and determines whether the task has succeeded or requires additional refinement.</w:t>
      </w:r>
    </w:p>
    <w:p w14:paraId="1A15D5FC" w14:textId="77777777" w:rsidR="00DF756D" w:rsidRPr="00602CE6" w:rsidRDefault="00DF756D" w:rsidP="00DF756D">
      <w:pPr>
        <w:pStyle w:val="Heading2"/>
        <w:spacing w:before="0" w:after="120"/>
        <w:rPr>
          <w:rFonts w:ascii="Arial" w:hAnsi="Arial" w:cs="Arial"/>
        </w:rPr>
      </w:pPr>
      <w:r w:rsidRPr="00602CE6">
        <w:rPr>
          <w:rFonts w:ascii="Arial" w:hAnsi="Arial" w:cs="Arial"/>
        </w:rPr>
        <w:t>7.0 Validation and Feedback Loops</w:t>
      </w:r>
    </w:p>
    <w:p w14:paraId="52BEEE6D"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Validation plays a critical role in the execution runtime. After artifacts are generated or modified, deterministic tools are used to verify that the results satisfy the requirements defined in the specification.</w:t>
      </w:r>
    </w:p>
    <w:p w14:paraId="01CDA930"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If validation succeeds, the task is marked as complete and the runtime proceeds to the next eligible tasks. If validation fails, the runtime records the failure context and triggers repair analysis through the agent collaboration model.</w:t>
      </w:r>
    </w:p>
    <w:p w14:paraId="49E044E5"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These feedback loops ensure that the system evolves toward a correct and stable implementation through iterative refinement.</w:t>
      </w:r>
    </w:p>
    <w:p w14:paraId="3BBFD059" w14:textId="77777777" w:rsidR="00DF756D" w:rsidRPr="00602CE6" w:rsidRDefault="00DF756D" w:rsidP="00DF756D">
      <w:pPr>
        <w:pStyle w:val="Heading2"/>
        <w:spacing w:before="0" w:after="120"/>
        <w:rPr>
          <w:rFonts w:ascii="Arial" w:hAnsi="Arial" w:cs="Arial"/>
        </w:rPr>
      </w:pPr>
      <w:r w:rsidRPr="00602CE6">
        <w:rPr>
          <w:rFonts w:ascii="Arial" w:hAnsi="Arial" w:cs="Arial"/>
        </w:rPr>
        <w:lastRenderedPageBreak/>
        <w:t>8.0 Repair Cycles</w:t>
      </w:r>
    </w:p>
    <w:p w14:paraId="48A8B7E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Repair cycles are initiated when validation steps identify errors or inconsistencies in generated artifacts. During a repair cycle, the runtime coordinates collaboration between agents responsible for analyzing failures and generating corrective actions.</w:t>
      </w:r>
    </w:p>
    <w:p w14:paraId="0BA4F7E3"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repair analyst examines validation results and proposes modifications to the affected artifacts. The implementation generator then applies these modifications, and the resulting artifacts are subjected to validation once again.</w:t>
      </w:r>
    </w:p>
    <w:p w14:paraId="52C66B72"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cycle may repeat multiple times until the artifact satisfies all validation requirements.</w:t>
      </w:r>
    </w:p>
    <w:p w14:paraId="2114E628"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Repair cycles allow the platform to converge toward a functioning implementation without manual intervention.</w:t>
      </w:r>
    </w:p>
    <w:p w14:paraId="39CE5C08" w14:textId="77777777" w:rsidR="00DF756D" w:rsidRPr="00602CE6" w:rsidRDefault="00DF756D" w:rsidP="00DF756D">
      <w:pPr>
        <w:pStyle w:val="Heading2"/>
        <w:spacing w:before="0" w:after="120"/>
        <w:rPr>
          <w:rFonts w:ascii="Arial" w:hAnsi="Arial" w:cs="Arial"/>
        </w:rPr>
      </w:pPr>
      <w:r w:rsidRPr="00602CE6">
        <w:rPr>
          <w:rFonts w:ascii="Arial" w:hAnsi="Arial" w:cs="Arial"/>
        </w:rPr>
        <w:t>9.0 Parallel Execution</w:t>
      </w:r>
    </w:p>
    <w:p w14:paraId="3CAD6E08"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environment supports parallel execution of tasks whenever dependencies allow. Parallel execution improves efficiency by enabling multiple components of the system to be constructed simultaneously.</w:t>
      </w:r>
    </w:p>
    <w:p w14:paraId="6462FB8D"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For example, independent services may be implemented concurrently while infrastructure definitions are prepared in parallel. The scheduler monitors task dependencies and allocates computational resources accordingly.</w:t>
      </w:r>
    </w:p>
    <w:p w14:paraId="44593779"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Parallel execution allows the platform to scale construction activities as system complexity increases.</w:t>
      </w:r>
    </w:p>
    <w:p w14:paraId="2DB20256" w14:textId="77777777" w:rsidR="00DF756D" w:rsidRPr="00602CE6" w:rsidRDefault="00DF756D" w:rsidP="00DF756D">
      <w:pPr>
        <w:pStyle w:val="Heading2"/>
        <w:spacing w:before="0" w:after="120"/>
        <w:rPr>
          <w:rFonts w:ascii="Arial" w:hAnsi="Arial" w:cs="Arial"/>
        </w:rPr>
      </w:pPr>
      <w:r w:rsidRPr="00602CE6">
        <w:rPr>
          <w:rFonts w:ascii="Arial" w:hAnsi="Arial" w:cs="Arial"/>
        </w:rPr>
        <w:t>10.0 Distributed Execution</w:t>
      </w:r>
    </w:p>
    <w:p w14:paraId="21106DD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In environments where additional computational capacity is available, the runtime may distribute task execution across multiple processing nodes. Distributed execution allows the platform to handle large-scale construction tasks more efficiently.</w:t>
      </w:r>
    </w:p>
    <w:p w14:paraId="0E53A236"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coordinates distributed execution through a communication layer that synchronizes task state, artifact updates, and validation results across nodes.</w:t>
      </w:r>
    </w:p>
    <w:p w14:paraId="3982ACD0"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capability enables ALETHEIA to support both local development environments and larger distributed execution environments.</w:t>
      </w:r>
    </w:p>
    <w:p w14:paraId="652C6E11" w14:textId="77777777" w:rsidR="00DF756D" w:rsidRPr="00602CE6" w:rsidRDefault="00DF756D" w:rsidP="00DF756D">
      <w:pPr>
        <w:pStyle w:val="Heading2"/>
        <w:spacing w:before="0" w:after="120"/>
        <w:rPr>
          <w:rFonts w:ascii="Arial" w:hAnsi="Arial" w:cs="Arial"/>
        </w:rPr>
      </w:pPr>
      <w:r w:rsidRPr="00602CE6">
        <w:rPr>
          <w:rFonts w:ascii="Arial" w:hAnsi="Arial" w:cs="Arial"/>
        </w:rPr>
        <w:t>11.0 Runtime Observability</w:t>
      </w:r>
    </w:p>
    <w:p w14:paraId="74877F7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execution runtime records detailed telemetry describing the behavior of the construction process. This telemetry includes task progress, agent activity, tool invocation results, artifact generation events, and repair cycles.</w:t>
      </w:r>
    </w:p>
    <w:p w14:paraId="0D3179F5"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These records provide visibility into the operation of the platform and allow administrators to monitor progress, diagnose issues, and evaluate the effectiveness of autonomous construction strategies.</w:t>
      </w:r>
    </w:p>
    <w:p w14:paraId="3E206660"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Observability is essential for maintaining trust in the platform’s autonomous capabilities.</w:t>
      </w:r>
    </w:p>
    <w:p w14:paraId="7C043774" w14:textId="77777777" w:rsidR="00DF756D" w:rsidRPr="00602CE6" w:rsidRDefault="00DF756D" w:rsidP="00DF756D">
      <w:pPr>
        <w:pStyle w:val="Heading2"/>
        <w:spacing w:before="0" w:after="120"/>
        <w:rPr>
          <w:rFonts w:ascii="Arial" w:hAnsi="Arial" w:cs="Arial"/>
        </w:rPr>
      </w:pPr>
      <w:r w:rsidRPr="00602CE6">
        <w:rPr>
          <w:rFonts w:ascii="Arial" w:hAnsi="Arial" w:cs="Arial"/>
        </w:rPr>
        <w:lastRenderedPageBreak/>
        <w:t>12.0 Runtime Resilience</w:t>
      </w:r>
    </w:p>
    <w:p w14:paraId="48D0616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environment must be resilient to interruptions and failures. Long-running construction processes may be disrupted by system restarts, infrastructure changes, or unexpected errors.</w:t>
      </w:r>
    </w:p>
    <w:p w14:paraId="7D3503BA"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To maintain continuity, the runtime periodically records the current execution state within the platform’s memory model. If an interruption occurs, the runtime can reconstruct the task graph state and resume execution from the appropriate point.</w:t>
      </w:r>
    </w:p>
    <w:p w14:paraId="75DD04E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resilience ensures that autonomous construction processes remain reliable even in imperfect operational conditions.</w:t>
      </w:r>
    </w:p>
    <w:p w14:paraId="3B132329" w14:textId="77777777" w:rsidR="00DF756D" w:rsidRPr="00602CE6" w:rsidRDefault="00DF756D" w:rsidP="00DF756D">
      <w:pPr>
        <w:pStyle w:val="Heading2"/>
        <w:spacing w:before="0" w:after="120"/>
        <w:rPr>
          <w:rFonts w:ascii="Arial" w:hAnsi="Arial" w:cs="Arial"/>
        </w:rPr>
      </w:pPr>
      <w:r w:rsidRPr="00602CE6">
        <w:rPr>
          <w:rFonts w:ascii="Arial" w:hAnsi="Arial" w:cs="Arial"/>
        </w:rPr>
        <w:t>13.0 Runtime Governance Integration</w:t>
      </w:r>
    </w:p>
    <w:p w14:paraId="6838A9B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execution runtime operates under the governance constraints defined in ISL v1.7. Before certain tasks are executed, the runtime may consult the governance engine to determine whether approval is required or whether policy constraints apply.</w:t>
      </w:r>
    </w:p>
    <w:p w14:paraId="60D4D3A9"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integration ensures that autonomous construction remains compliant with organizational policies and approval workflows.</w:t>
      </w:r>
    </w:p>
    <w:p w14:paraId="5FC8DAFA"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Governance checks therefore form an integral part of the runtime execution pipeline.</w:t>
      </w:r>
    </w:p>
    <w:p w14:paraId="378587D5" w14:textId="77777777" w:rsidR="00DF756D" w:rsidRPr="00602CE6" w:rsidRDefault="00DF756D" w:rsidP="00DF756D">
      <w:pPr>
        <w:pStyle w:val="Heading2"/>
        <w:spacing w:before="0" w:after="120"/>
        <w:rPr>
          <w:rFonts w:ascii="Arial" w:hAnsi="Arial" w:cs="Arial"/>
        </w:rPr>
      </w:pPr>
      <w:r w:rsidRPr="00602CE6">
        <w:rPr>
          <w:rFonts w:ascii="Arial" w:hAnsi="Arial" w:cs="Arial"/>
        </w:rPr>
        <w:t>14.0 Runtime Configuration</w:t>
      </w:r>
    </w:p>
    <w:p w14:paraId="18B8B625"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environment may be configured to support different operational contexts. Configuration options may influence task scheduling strategies, agent model selection, tool integration behavior, and governance enforcement levels.</w:t>
      </w:r>
    </w:p>
    <w:p w14:paraId="01307306"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These configuration mechanisms allow organizations to tailor the platform to their operational environment while preserving the architectural principles of the ALETHEIA system.</w:t>
      </w:r>
    </w:p>
    <w:p w14:paraId="3AB96EE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Runtime configuration ensures that the platform remains flexible without compromising structural integrity.</w:t>
      </w:r>
    </w:p>
    <w:p w14:paraId="76E00621" w14:textId="77777777" w:rsidR="00DF756D" w:rsidRPr="00602CE6" w:rsidRDefault="00DF756D" w:rsidP="00DF756D">
      <w:pPr>
        <w:pStyle w:val="Heading2"/>
        <w:spacing w:before="0" w:after="120"/>
        <w:rPr>
          <w:rFonts w:ascii="Arial" w:hAnsi="Arial" w:cs="Arial"/>
        </w:rPr>
      </w:pPr>
      <w:r w:rsidRPr="00602CE6">
        <w:rPr>
          <w:rFonts w:ascii="Arial" w:hAnsi="Arial" w:cs="Arial"/>
        </w:rPr>
        <w:t>15.0 Runtime Lifecycle</w:t>
      </w:r>
    </w:p>
    <w:p w14:paraId="0B581B79"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 xml:space="preserve">The lifecycle of the execution runtime begins when a specification reaches the Autonomous-Ready </w:t>
      </w:r>
      <w:proofErr w:type="gramStart"/>
      <w:r w:rsidRPr="00602CE6">
        <w:rPr>
          <w:rFonts w:ascii="Arial" w:hAnsi="Arial" w:cs="Arial"/>
        </w:rPr>
        <w:t>stage</w:t>
      </w:r>
      <w:proofErr w:type="gramEnd"/>
      <w:r w:rsidRPr="00602CE6">
        <w:rPr>
          <w:rFonts w:ascii="Arial" w:hAnsi="Arial" w:cs="Arial"/>
        </w:rPr>
        <w:t xml:space="preserve"> and the construction planning model generates a task graph. The runtime then begins executing tasks according to the scheduling and collaboration mechanisms described above.</w:t>
      </w:r>
    </w:p>
    <w:p w14:paraId="4E22B19F"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Execution continues until all tasks have been completed successfully and validation confirms that the system satisfies the requirements defined in the specification. At this point the runtime prepares the artifacts for deployment and records the final state of the system.</w:t>
      </w:r>
    </w:p>
    <w:p w14:paraId="2404F13D"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lifecycle represents the operational completion of the autonomous software construction process.</w:t>
      </w:r>
    </w:p>
    <w:p w14:paraId="6CA767C8" w14:textId="77777777" w:rsidR="00DF756D" w:rsidRPr="00602CE6" w:rsidRDefault="00DF756D" w:rsidP="00DF756D">
      <w:pPr>
        <w:pStyle w:val="Heading2"/>
        <w:spacing w:before="0" w:after="120"/>
        <w:rPr>
          <w:rFonts w:ascii="Arial" w:hAnsi="Arial" w:cs="Arial"/>
        </w:rPr>
      </w:pPr>
      <w:r w:rsidRPr="00602CE6">
        <w:rPr>
          <w:rFonts w:ascii="Arial" w:hAnsi="Arial" w:cs="Arial"/>
        </w:rPr>
        <w:lastRenderedPageBreak/>
        <w:t>16.0 The Runtime as the Construction Engine of ALETHEIA</w:t>
      </w:r>
    </w:p>
    <w:p w14:paraId="6D454D7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Within the architectural metaphor that inspires the ALETHEIA project, the execution runtime can be understood as the machinery of the construction site. While the blueprint defines the intended structure and the planning model organizes the work, the runtime provides the mechanisms that allow the work to proceed.</w:t>
      </w:r>
    </w:p>
    <w:p w14:paraId="16B9474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schedules tasks, coordinates agents, invokes tools, validates artifacts, and guides the system through iterative repair cycles until the structure described in the specification becomes a functioning software system.</w:t>
      </w:r>
    </w:p>
    <w:p w14:paraId="5CEFB360"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Through the execution runtime model, ALETHEIA transforms architectural intent into operational reality.</w:t>
      </w:r>
    </w:p>
    <w:p w14:paraId="4278B75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2390F"/>
    <w:multiLevelType w:val="multilevel"/>
    <w:tmpl w:val="556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327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56D"/>
    <w:rsid w:val="00223A5B"/>
    <w:rsid w:val="005F714F"/>
    <w:rsid w:val="006A7C31"/>
    <w:rsid w:val="006F4208"/>
    <w:rsid w:val="00984106"/>
    <w:rsid w:val="00997A3E"/>
    <w:rsid w:val="00C2250B"/>
    <w:rsid w:val="00CA38A3"/>
    <w:rsid w:val="00CF673E"/>
    <w:rsid w:val="00DF756D"/>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D0E3EF"/>
  <w15:chartTrackingRefBased/>
  <w15:docId w15:val="{9D5A1D3F-B33E-C847-B746-FEBF5153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7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7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56D"/>
    <w:rPr>
      <w:rFonts w:eastAsiaTheme="majorEastAsia" w:cstheme="majorBidi"/>
      <w:color w:val="272727" w:themeColor="text1" w:themeTint="D8"/>
    </w:rPr>
  </w:style>
  <w:style w:type="paragraph" w:styleId="Title">
    <w:name w:val="Title"/>
    <w:basedOn w:val="Normal"/>
    <w:next w:val="Normal"/>
    <w:link w:val="TitleChar"/>
    <w:uiPriority w:val="10"/>
    <w:qFormat/>
    <w:rsid w:val="00DF7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56D"/>
    <w:pPr>
      <w:spacing w:before="160"/>
      <w:jc w:val="center"/>
    </w:pPr>
    <w:rPr>
      <w:i/>
      <w:iCs/>
      <w:color w:val="404040" w:themeColor="text1" w:themeTint="BF"/>
    </w:rPr>
  </w:style>
  <w:style w:type="character" w:customStyle="1" w:styleId="QuoteChar">
    <w:name w:val="Quote Char"/>
    <w:basedOn w:val="DefaultParagraphFont"/>
    <w:link w:val="Quote"/>
    <w:uiPriority w:val="29"/>
    <w:rsid w:val="00DF756D"/>
    <w:rPr>
      <w:i/>
      <w:iCs/>
      <w:color w:val="404040" w:themeColor="text1" w:themeTint="BF"/>
    </w:rPr>
  </w:style>
  <w:style w:type="paragraph" w:styleId="ListParagraph">
    <w:name w:val="List Paragraph"/>
    <w:basedOn w:val="Normal"/>
    <w:uiPriority w:val="34"/>
    <w:qFormat/>
    <w:rsid w:val="00DF756D"/>
    <w:pPr>
      <w:ind w:left="720"/>
      <w:contextualSpacing/>
    </w:pPr>
  </w:style>
  <w:style w:type="character" w:styleId="IntenseEmphasis">
    <w:name w:val="Intense Emphasis"/>
    <w:basedOn w:val="DefaultParagraphFont"/>
    <w:uiPriority w:val="21"/>
    <w:qFormat/>
    <w:rsid w:val="00DF756D"/>
    <w:rPr>
      <w:i/>
      <w:iCs/>
      <w:color w:val="0F4761" w:themeColor="accent1" w:themeShade="BF"/>
    </w:rPr>
  </w:style>
  <w:style w:type="paragraph" w:styleId="IntenseQuote">
    <w:name w:val="Intense Quote"/>
    <w:basedOn w:val="Normal"/>
    <w:next w:val="Normal"/>
    <w:link w:val="IntenseQuoteChar"/>
    <w:uiPriority w:val="30"/>
    <w:qFormat/>
    <w:rsid w:val="00DF7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56D"/>
    <w:rPr>
      <w:i/>
      <w:iCs/>
      <w:color w:val="0F4761" w:themeColor="accent1" w:themeShade="BF"/>
    </w:rPr>
  </w:style>
  <w:style w:type="character" w:styleId="IntenseReference">
    <w:name w:val="Intense Reference"/>
    <w:basedOn w:val="DefaultParagraphFont"/>
    <w:uiPriority w:val="32"/>
    <w:qFormat/>
    <w:rsid w:val="00DF756D"/>
    <w:rPr>
      <w:b/>
      <w:bCs/>
      <w:smallCaps/>
      <w:color w:val="0F4761" w:themeColor="accent1" w:themeShade="BF"/>
      <w:spacing w:val="5"/>
    </w:rPr>
  </w:style>
  <w:style w:type="paragraph" w:styleId="NormalWeb">
    <w:name w:val="Normal (Web)"/>
    <w:basedOn w:val="Normal"/>
    <w:uiPriority w:val="99"/>
    <w:semiHidden/>
    <w:unhideWhenUsed/>
    <w:rsid w:val="00DF75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2026-03-18T19:31:00Z</dcterms:created>
  <dcterms:modified xsi:type="dcterms:W3CDTF">2026-03-18T19:32:00Z</dcterms:modified>
</cp:coreProperties>
</file>