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409D7" w14:textId="77777777" w:rsidR="008516A5" w:rsidRPr="00470B17" w:rsidRDefault="008516A5" w:rsidP="008516A5">
      <w:pPr>
        <w:pStyle w:val="Title"/>
        <w:spacing w:after="120"/>
        <w:rPr>
          <w:rFonts w:ascii="Arial" w:hAnsi="Arial" w:cs="Arial"/>
          <w:sz w:val="44"/>
          <w:szCs w:val="44"/>
        </w:rPr>
      </w:pPr>
      <w:r w:rsidRPr="00470B17">
        <w:rPr>
          <w:rFonts w:ascii="Arial" w:hAnsi="Arial" w:cs="Arial"/>
          <w:sz w:val="44"/>
          <w:szCs w:val="44"/>
        </w:rPr>
        <w:t>ALETHEIA Specification Language (ISL) v2.5</w:t>
      </w:r>
    </w:p>
    <w:p w14:paraId="0CEA6FE6" w14:textId="77777777" w:rsidR="008516A5" w:rsidRPr="00470B17" w:rsidRDefault="008516A5" w:rsidP="008516A5">
      <w:pPr>
        <w:pStyle w:val="Heading1"/>
        <w:spacing w:before="0" w:after="120"/>
        <w:rPr>
          <w:rFonts w:ascii="Arial" w:hAnsi="Arial" w:cs="Arial"/>
        </w:rPr>
      </w:pPr>
      <w:r>
        <w:rPr>
          <w:rFonts w:ascii="Arial" w:hAnsi="Arial" w:cs="Arial"/>
        </w:rPr>
        <w:t xml:space="preserve">ISL v2.5 </w:t>
      </w:r>
      <w:r w:rsidRPr="00470B17">
        <w:rPr>
          <w:rFonts w:ascii="Arial" w:hAnsi="Arial" w:cs="Arial"/>
        </w:rPr>
        <w:t>The Model Integration and Abstraction Layer</w:t>
      </w:r>
    </w:p>
    <w:p w14:paraId="18D38886" w14:textId="77777777" w:rsidR="008516A5" w:rsidRPr="00470B17" w:rsidRDefault="008516A5" w:rsidP="008516A5">
      <w:pPr>
        <w:pStyle w:val="Heading2"/>
        <w:spacing w:before="0" w:after="120"/>
        <w:rPr>
          <w:rFonts w:ascii="Arial" w:hAnsi="Arial" w:cs="Arial"/>
        </w:rPr>
      </w:pPr>
      <w:r w:rsidRPr="00470B17">
        <w:rPr>
          <w:rFonts w:ascii="Arial" w:hAnsi="Arial" w:cs="Arial"/>
        </w:rPr>
        <w:t>1.0 Purpose of the Model Integration Layer</w:t>
      </w:r>
    </w:p>
    <w:p w14:paraId="0629387A"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 xml:space="preserve">The Model Integration and Abstraction Layer </w:t>
      </w:r>
      <w:proofErr w:type="gramStart"/>
      <w:r w:rsidRPr="00470B17">
        <w:rPr>
          <w:rFonts w:ascii="Arial" w:hAnsi="Arial" w:cs="Arial"/>
        </w:rPr>
        <w:t>defines</w:t>
      </w:r>
      <w:proofErr w:type="gramEnd"/>
      <w:r w:rsidRPr="00470B17">
        <w:rPr>
          <w:rFonts w:ascii="Arial" w:hAnsi="Arial" w:cs="Arial"/>
        </w:rPr>
        <w:t xml:space="preserve"> how the ALETHEIA platform interacts with artificial intelligence models used by its reasoning agents. While the Agent Collaboration Model describes the conceptual roles performed by agents and the Execution Runtime Model defines how tasks are executed, this layer defines how those agents obtain reasoning capabilities from underlying AI models.</w:t>
      </w:r>
    </w:p>
    <w:p w14:paraId="766851D8"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 primary purpose of this layer is to allow the platform to operate independently of any specific model provider or model technology. By abstracting model interactions behind a standardized interface, ALETHEIA ensures that reasoning agents can operate using locally hosted models, remote cloud models, or hybrid configurations without requiring architectural changes.</w:t>
      </w:r>
    </w:p>
    <w:p w14:paraId="1B18CE25"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This abstraction enables the platform to remain adaptable as AI technologies evolve.</w:t>
      </w:r>
    </w:p>
    <w:p w14:paraId="21A932E4" w14:textId="77777777" w:rsidR="008516A5" w:rsidRPr="00470B17" w:rsidRDefault="008516A5" w:rsidP="008516A5">
      <w:pPr>
        <w:pStyle w:val="Heading2"/>
        <w:spacing w:before="0" w:after="120"/>
        <w:rPr>
          <w:rFonts w:ascii="Arial" w:hAnsi="Arial" w:cs="Arial"/>
        </w:rPr>
      </w:pPr>
      <w:r w:rsidRPr="00470B17">
        <w:rPr>
          <w:rFonts w:ascii="Arial" w:hAnsi="Arial" w:cs="Arial"/>
        </w:rPr>
        <w:t>2.0 Local-First Model Strategy</w:t>
      </w:r>
    </w:p>
    <w:p w14:paraId="7312194F"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 xml:space="preserve">A fundamental principle of the ALETHEIA platform is the </w:t>
      </w:r>
      <w:r w:rsidRPr="00470B17">
        <w:rPr>
          <w:rStyle w:val="Strong"/>
          <w:rFonts w:ascii="Arial" w:hAnsi="Arial" w:cs="Arial"/>
        </w:rPr>
        <w:t>local-first execution model</w:t>
      </w:r>
      <w:r w:rsidRPr="00470B17">
        <w:rPr>
          <w:rFonts w:ascii="Arial" w:hAnsi="Arial" w:cs="Arial"/>
        </w:rPr>
        <w:t>. The system must be capable of operating entirely within a local environment using locally hosted models and infrastructure. This capability allows organizations to run the platform in environments where external network access is restricted or where data confidentiality requirements prohibit the use of external services.</w:t>
      </w:r>
    </w:p>
    <w:p w14:paraId="1861ECA7"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Local models provide control, privacy, and operational independence. They allow the platform to function even in disconnected environments and reduce reliance on external service providers.</w:t>
      </w:r>
    </w:p>
    <w:p w14:paraId="7FC08D5E"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At the same time, the architecture must remain capable of integrating remote models when additional reasoning capabilities or computational resources are required.</w:t>
      </w:r>
    </w:p>
    <w:p w14:paraId="18FC5306" w14:textId="77777777" w:rsidR="008516A5" w:rsidRPr="00470B17" w:rsidRDefault="008516A5" w:rsidP="008516A5">
      <w:pPr>
        <w:pStyle w:val="Heading2"/>
        <w:spacing w:before="0" w:after="120"/>
        <w:rPr>
          <w:rFonts w:ascii="Arial" w:hAnsi="Arial" w:cs="Arial"/>
        </w:rPr>
      </w:pPr>
      <w:r w:rsidRPr="00470B17">
        <w:rPr>
          <w:rFonts w:ascii="Arial" w:hAnsi="Arial" w:cs="Arial"/>
        </w:rPr>
        <w:t>3.0 Model Abstraction Interface</w:t>
      </w:r>
    </w:p>
    <w:p w14:paraId="2309DB08"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 model integration layer defines a standardized interface through which reasoning agents interact with AI models. This interface encapsulates the details of model invocation, input formatting, output parsing, and error handling.</w:t>
      </w:r>
    </w:p>
    <w:p w14:paraId="4C24912E"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By interacting with models through this interface, agents remain independent of the specific models being used. The platform can therefore replace or upgrade models without modifying the logic of the agents themselves.</w:t>
      </w:r>
    </w:p>
    <w:p w14:paraId="31E2724B"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 abstraction interface also allows the platform to enforce structured interaction formats that improve the reliability and predictability of agent outputs.</w:t>
      </w:r>
    </w:p>
    <w:p w14:paraId="57478641" w14:textId="77777777" w:rsidR="008516A5" w:rsidRPr="00470B17" w:rsidRDefault="008516A5" w:rsidP="008516A5">
      <w:pPr>
        <w:pStyle w:val="Heading2"/>
        <w:spacing w:before="0" w:after="120"/>
        <w:rPr>
          <w:rFonts w:ascii="Arial" w:hAnsi="Arial" w:cs="Arial"/>
        </w:rPr>
      </w:pPr>
      <w:r w:rsidRPr="00470B17">
        <w:rPr>
          <w:rFonts w:ascii="Arial" w:hAnsi="Arial" w:cs="Arial"/>
        </w:rPr>
        <w:lastRenderedPageBreak/>
        <w:t>4.0 Model Providers</w:t>
      </w:r>
    </w:p>
    <w:p w14:paraId="6DF651BD"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Within the ALETHEIA platform, models may be supplied by a variety of providers. These providers may include locally hosted model runtimes, enterprise AI services, or external cloud-based APIs.</w:t>
      </w:r>
    </w:p>
    <w:p w14:paraId="1DAAAF9B"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Each provider is integrated into the platform through a provider adapter that implements the model abstraction interface. The adapter translates the platform’s standardized request format into the format expected by the specific model provider and converts the model’s response back into the structured output format required by the platform.</w:t>
      </w:r>
    </w:p>
    <w:p w14:paraId="381F8F2C"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This adapter-based approach ensures that the platform can support multiple model providers simultaneously.</w:t>
      </w:r>
    </w:p>
    <w:p w14:paraId="2DC457DD" w14:textId="77777777" w:rsidR="008516A5" w:rsidRPr="00470B17" w:rsidRDefault="008516A5" w:rsidP="008516A5">
      <w:pPr>
        <w:pStyle w:val="Heading2"/>
        <w:spacing w:before="0" w:after="120"/>
        <w:rPr>
          <w:rFonts w:ascii="Arial" w:hAnsi="Arial" w:cs="Arial"/>
        </w:rPr>
      </w:pPr>
      <w:r w:rsidRPr="00470B17">
        <w:rPr>
          <w:rFonts w:ascii="Arial" w:hAnsi="Arial" w:cs="Arial"/>
        </w:rPr>
        <w:t>5.0 Capability-Based Model Selection</w:t>
      </w:r>
    </w:p>
    <w:p w14:paraId="606B7AB2"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Different reasoning tasks require different capabilities from AI models. Some tasks require strong reasoning and architectural interpretation, while others require specialized code generation or structured output capabilities.</w:t>
      </w:r>
    </w:p>
    <w:p w14:paraId="164EEE76"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 ALETHEIA platform therefore selects models based on their capabilities rather than assigning a single model to all tasks. The agent orchestrator may select different models for different roles depending on the nature of the task being performed.</w:t>
      </w:r>
    </w:p>
    <w:p w14:paraId="6D1ED8A4"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Capability-based selection allows the platform to match reasoning tasks with the most appropriate models available within the environment.</w:t>
      </w:r>
    </w:p>
    <w:p w14:paraId="5369F91F" w14:textId="77777777" w:rsidR="008516A5" w:rsidRPr="00470B17" w:rsidRDefault="008516A5" w:rsidP="008516A5">
      <w:pPr>
        <w:pStyle w:val="Heading2"/>
        <w:spacing w:before="0" w:after="120"/>
        <w:rPr>
          <w:rFonts w:ascii="Arial" w:hAnsi="Arial" w:cs="Arial"/>
        </w:rPr>
      </w:pPr>
      <w:r w:rsidRPr="00470B17">
        <w:rPr>
          <w:rFonts w:ascii="Arial" w:hAnsi="Arial" w:cs="Arial"/>
        </w:rPr>
        <w:t>6.0 Model Routing and Orchestration</w:t>
      </w:r>
    </w:p>
    <w:p w14:paraId="238709AF"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 model integration layer works closely with the agent orchestrator to route requests to the appropriate model providers. When an agent requires reasoning capabilities, the orchestrator determines which model should handle the request based on the task requirements and the configuration of the environment.</w:t>
      </w:r>
    </w:p>
    <w:p w14:paraId="0E8B35E0"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Routing decisions may consider factors such as model capabilities, computational cost, latency, or availability. In local environments the platform may prioritize locally hosted models, while hybrid deployments may choose between local and remote models depending on the context.</w:t>
      </w:r>
    </w:p>
    <w:p w14:paraId="0D9E87CD"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This routing mechanism allows the platform to adapt dynamically to the resources available in the environment.</w:t>
      </w:r>
    </w:p>
    <w:p w14:paraId="15CC8A82" w14:textId="77777777" w:rsidR="008516A5" w:rsidRPr="00470B17" w:rsidRDefault="008516A5" w:rsidP="008516A5">
      <w:pPr>
        <w:pStyle w:val="Heading2"/>
        <w:spacing w:before="0" w:after="120"/>
        <w:rPr>
          <w:rFonts w:ascii="Arial" w:hAnsi="Arial" w:cs="Arial"/>
        </w:rPr>
      </w:pPr>
      <w:r w:rsidRPr="00470B17">
        <w:rPr>
          <w:rFonts w:ascii="Arial" w:hAnsi="Arial" w:cs="Arial"/>
        </w:rPr>
        <w:t>7.0 Structured Interaction Formats</w:t>
      </w:r>
    </w:p>
    <w:p w14:paraId="62EA5831"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Reliable interaction with AI models requires structured communication formats that constrain the shape of inputs and outputs. The model integration layer therefore supports structured prompt formats that guide model responses toward predictable and machine-readable outputs.</w:t>
      </w:r>
    </w:p>
    <w:p w14:paraId="53464E21"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 xml:space="preserve">Structured interaction formats improve the reliability of the autonomous construction process by ensuring that model responses conform to expected schemas. This is </w:t>
      </w:r>
      <w:r w:rsidRPr="00470B17">
        <w:rPr>
          <w:rFonts w:ascii="Arial" w:hAnsi="Arial" w:cs="Arial"/>
        </w:rPr>
        <w:lastRenderedPageBreak/>
        <w:t>particularly important when agent outputs must be interpreted automatically by downstream components of the platform.</w:t>
      </w:r>
    </w:p>
    <w:p w14:paraId="4B302B45"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 use of structured interaction formats also supports the traceability and auditing requirements of the system.</w:t>
      </w:r>
    </w:p>
    <w:p w14:paraId="11F8C365" w14:textId="77777777" w:rsidR="008516A5" w:rsidRPr="00470B17" w:rsidRDefault="008516A5" w:rsidP="008516A5">
      <w:pPr>
        <w:pStyle w:val="Heading2"/>
        <w:spacing w:before="0" w:after="120"/>
        <w:rPr>
          <w:rFonts w:ascii="Arial" w:hAnsi="Arial" w:cs="Arial"/>
        </w:rPr>
      </w:pPr>
      <w:r w:rsidRPr="00470B17">
        <w:rPr>
          <w:rFonts w:ascii="Arial" w:hAnsi="Arial" w:cs="Arial"/>
        </w:rPr>
        <w:t>8.0 Model Context Management</w:t>
      </w:r>
    </w:p>
    <w:p w14:paraId="0F6CBE8E"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Many reasoning tasks require context from the platform’s state and memory model. The model integration layer is responsible for assembling the appropriate context before invoking a model.</w:t>
      </w:r>
    </w:p>
    <w:p w14:paraId="59D6FE4A"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 xml:space="preserve">Context may include relevant portions of the specification, architectural interpretations, task definitions, prior agent outputs, and validation results. The integration layer determines which pieces of information should be included in the model request </w:t>
      </w:r>
      <w:proofErr w:type="gramStart"/>
      <w:r w:rsidRPr="00470B17">
        <w:rPr>
          <w:rFonts w:ascii="Arial" w:hAnsi="Arial" w:cs="Arial"/>
        </w:rPr>
        <w:t>in order to</w:t>
      </w:r>
      <w:proofErr w:type="gramEnd"/>
      <w:r w:rsidRPr="00470B17">
        <w:rPr>
          <w:rFonts w:ascii="Arial" w:hAnsi="Arial" w:cs="Arial"/>
        </w:rPr>
        <w:t xml:space="preserve"> support effective reasoning.</w:t>
      </w:r>
    </w:p>
    <w:p w14:paraId="27E63945"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This context management ensures that models operate with the information necessary to produce accurate and relevant outputs.</w:t>
      </w:r>
    </w:p>
    <w:p w14:paraId="462FE47B" w14:textId="77777777" w:rsidR="008516A5" w:rsidRPr="00470B17" w:rsidRDefault="008516A5" w:rsidP="008516A5">
      <w:pPr>
        <w:pStyle w:val="Heading2"/>
        <w:spacing w:before="0" w:after="120"/>
        <w:rPr>
          <w:rFonts w:ascii="Arial" w:hAnsi="Arial" w:cs="Arial"/>
        </w:rPr>
      </w:pPr>
      <w:r w:rsidRPr="00470B17">
        <w:rPr>
          <w:rFonts w:ascii="Arial" w:hAnsi="Arial" w:cs="Arial"/>
        </w:rPr>
        <w:t>9.0 Model Output Normalization</w:t>
      </w:r>
    </w:p>
    <w:p w14:paraId="365D2969"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AI models may produce responses in different formats depending on their architecture and training. The model integration layer therefore includes mechanisms for normalizing model outputs into a consistent structure that can be interpreted by the platform.</w:t>
      </w:r>
    </w:p>
    <w:p w14:paraId="2F0A7C1C"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Normalization may involve extracting structured data, validating output schemas, and removing extraneous content that does not contribute to the reasoning result.</w:t>
      </w:r>
    </w:p>
    <w:p w14:paraId="40480547"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By standardizing outputs, the platform ensures that downstream agents and subsystems can process model responses reliably.</w:t>
      </w:r>
    </w:p>
    <w:p w14:paraId="25FF5D18" w14:textId="77777777" w:rsidR="008516A5" w:rsidRPr="00470B17" w:rsidRDefault="008516A5" w:rsidP="008516A5">
      <w:pPr>
        <w:pStyle w:val="Heading2"/>
        <w:spacing w:before="0" w:after="120"/>
        <w:rPr>
          <w:rFonts w:ascii="Arial" w:hAnsi="Arial" w:cs="Arial"/>
        </w:rPr>
      </w:pPr>
      <w:r w:rsidRPr="00470B17">
        <w:rPr>
          <w:rFonts w:ascii="Arial" w:hAnsi="Arial" w:cs="Arial"/>
        </w:rPr>
        <w:t>10.0 Model Reliability and Error Handling</w:t>
      </w:r>
    </w:p>
    <w:p w14:paraId="50A33590"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Interactions with AI models may occasionally produce errors or outputs that do not meet the expected structure. The model integration layer includes error handling mechanisms that detect such conditions and attempt to recover gracefully.</w:t>
      </w:r>
    </w:p>
    <w:p w14:paraId="204AB8F8"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 xml:space="preserve">Recovery strategies may include retrying model requests, </w:t>
      </w:r>
      <w:proofErr w:type="gramStart"/>
      <w:r w:rsidRPr="00470B17">
        <w:rPr>
          <w:rFonts w:ascii="Arial" w:hAnsi="Arial" w:cs="Arial"/>
        </w:rPr>
        <w:t>invoking</w:t>
      </w:r>
      <w:proofErr w:type="gramEnd"/>
      <w:r w:rsidRPr="00470B17">
        <w:rPr>
          <w:rFonts w:ascii="Arial" w:hAnsi="Arial" w:cs="Arial"/>
        </w:rPr>
        <w:t xml:space="preserve"> alternative models, or requesting clarification through structured prompts. In cases where automated recovery is not possible, the platform may escalate the issue to the repair analysis process.</w:t>
      </w:r>
    </w:p>
    <w:p w14:paraId="6DA6CBE5"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These mechanisms help maintain the stability of the autonomous construction workflow.</w:t>
      </w:r>
    </w:p>
    <w:p w14:paraId="32E90D2C" w14:textId="77777777" w:rsidR="008516A5" w:rsidRPr="00470B17" w:rsidRDefault="008516A5" w:rsidP="008516A5">
      <w:pPr>
        <w:pStyle w:val="Heading2"/>
        <w:spacing w:before="0" w:after="120"/>
        <w:rPr>
          <w:rFonts w:ascii="Arial" w:hAnsi="Arial" w:cs="Arial"/>
        </w:rPr>
      </w:pPr>
      <w:r w:rsidRPr="00470B17">
        <w:rPr>
          <w:rFonts w:ascii="Arial" w:hAnsi="Arial" w:cs="Arial"/>
        </w:rPr>
        <w:t>11.0 Model Observability</w:t>
      </w:r>
    </w:p>
    <w:p w14:paraId="31AB29ED"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To maintain transparency and accountability, the ALETHEIA platform records metadata associated with model interactions. This metadata may include the model used, the input context provided, the structured output produced, and any normalization or error-handling actions applied.</w:t>
      </w:r>
    </w:p>
    <w:p w14:paraId="0E7433E1"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lastRenderedPageBreak/>
        <w:t>These records allow administrators and engineers to analyze how models contributed to the construction process and evaluate the effectiveness of different reasoning strategies.</w:t>
      </w:r>
    </w:p>
    <w:p w14:paraId="1AF6FCDB"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Observability of model interactions is essential for improving the platform over time.</w:t>
      </w:r>
    </w:p>
    <w:p w14:paraId="104F274B" w14:textId="77777777" w:rsidR="008516A5" w:rsidRPr="00470B17" w:rsidRDefault="008516A5" w:rsidP="008516A5">
      <w:pPr>
        <w:pStyle w:val="Heading2"/>
        <w:spacing w:before="0" w:after="120"/>
        <w:rPr>
          <w:rFonts w:ascii="Arial" w:hAnsi="Arial" w:cs="Arial"/>
        </w:rPr>
      </w:pPr>
      <w:r w:rsidRPr="00470B17">
        <w:rPr>
          <w:rFonts w:ascii="Arial" w:hAnsi="Arial" w:cs="Arial"/>
        </w:rPr>
        <w:t>12.0 Model Configuration and Policy Control</w:t>
      </w:r>
    </w:p>
    <w:p w14:paraId="47A31188"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Organizations may define policies governing which models may be used within their ALETHEIA deployment. For example, some environments may restrict the use of external model providers due to security or regulatory concerns.</w:t>
      </w:r>
    </w:p>
    <w:p w14:paraId="55E46B77"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 xml:space="preserve">The model integration layer enforces these policies by controlling which provider adapters are available to the agent orchestrator. Configuration mechanisms allow administrators to enable or disable model providers and to prioritize specific models for </w:t>
      </w:r>
      <w:proofErr w:type="gramStart"/>
      <w:r w:rsidRPr="00470B17">
        <w:rPr>
          <w:rFonts w:ascii="Arial" w:hAnsi="Arial" w:cs="Arial"/>
        </w:rPr>
        <w:t>particular tasks</w:t>
      </w:r>
      <w:proofErr w:type="gramEnd"/>
      <w:r w:rsidRPr="00470B17">
        <w:rPr>
          <w:rFonts w:ascii="Arial" w:hAnsi="Arial" w:cs="Arial"/>
        </w:rPr>
        <w:t>.</w:t>
      </w:r>
    </w:p>
    <w:p w14:paraId="36FBA500"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Policy control ensures that model usage remains aligned with organizational requirements.</w:t>
      </w:r>
    </w:p>
    <w:p w14:paraId="6EF5B2A2" w14:textId="77777777" w:rsidR="008516A5" w:rsidRPr="00470B17" w:rsidRDefault="008516A5" w:rsidP="008516A5">
      <w:pPr>
        <w:pStyle w:val="Heading2"/>
        <w:spacing w:before="0" w:after="120"/>
        <w:rPr>
          <w:rFonts w:ascii="Arial" w:hAnsi="Arial" w:cs="Arial"/>
        </w:rPr>
      </w:pPr>
      <w:r w:rsidRPr="00470B17">
        <w:rPr>
          <w:rFonts w:ascii="Arial" w:hAnsi="Arial" w:cs="Arial"/>
        </w:rPr>
        <w:t>13.0 Model Evolution</w:t>
      </w:r>
    </w:p>
    <w:p w14:paraId="62D2F58C"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AI model technology evolves rapidly, and the ALETHEIA platform must be able to incorporate improvements without disrupting its architecture. The abstraction layer allows new models to be introduced simply by implementing additional provider adapters.</w:t>
      </w:r>
    </w:p>
    <w:p w14:paraId="5222F013"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This approach allows the platform to benefit from advances in model capabilities while maintaining the stability of the agent collaboration and execution models.</w:t>
      </w:r>
    </w:p>
    <w:p w14:paraId="2160D82E"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Model evolution therefore becomes an operational concern rather than an architectural disruption.</w:t>
      </w:r>
    </w:p>
    <w:p w14:paraId="1B5216EF" w14:textId="77777777" w:rsidR="008516A5" w:rsidRPr="00470B17" w:rsidRDefault="008516A5" w:rsidP="008516A5">
      <w:pPr>
        <w:pStyle w:val="Heading2"/>
        <w:spacing w:before="0" w:after="120"/>
        <w:rPr>
          <w:rFonts w:ascii="Arial" w:hAnsi="Arial" w:cs="Arial"/>
        </w:rPr>
      </w:pPr>
      <w:r w:rsidRPr="00470B17">
        <w:rPr>
          <w:rFonts w:ascii="Arial" w:hAnsi="Arial" w:cs="Arial"/>
        </w:rPr>
        <w:t>14.0 The Model Layer as the Reasoning Engine</w:t>
      </w:r>
    </w:p>
    <w:p w14:paraId="37468779"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Within the architectural metaphor guiding the ALETHEIA project, the model integration layer represents the reasoning engine that empowers the agents responsible for planning, generation, and analysis. While the blueprint defines the structure and the runtime coordinates the work, the models provide the cognitive capability required to interpret complex specifications and produce meaningful implementation artifacts.</w:t>
      </w:r>
    </w:p>
    <w:p w14:paraId="27C7ECB9" w14:textId="77777777" w:rsidR="008516A5" w:rsidRPr="00470B17" w:rsidRDefault="008516A5" w:rsidP="008516A5">
      <w:pPr>
        <w:pStyle w:val="NormalWeb"/>
        <w:spacing w:before="0" w:beforeAutospacing="0" w:after="120" w:afterAutospacing="0"/>
        <w:rPr>
          <w:rFonts w:ascii="Arial" w:hAnsi="Arial" w:cs="Arial"/>
        </w:rPr>
      </w:pPr>
      <w:r w:rsidRPr="00470B17">
        <w:rPr>
          <w:rFonts w:ascii="Arial" w:hAnsi="Arial" w:cs="Arial"/>
        </w:rPr>
        <w:t>By abstracting model interactions behind a structured integration layer, ALETHEIA ensures that this reasoning capability remains adaptable, portable, and aligned with the broader architectural framework of the platform.</w:t>
      </w:r>
    </w:p>
    <w:p w14:paraId="2C6AB0D8"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A5"/>
    <w:rsid w:val="00223A5B"/>
    <w:rsid w:val="005F714F"/>
    <w:rsid w:val="006A7C31"/>
    <w:rsid w:val="006F4208"/>
    <w:rsid w:val="008516A5"/>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86680A"/>
  <w15:chartTrackingRefBased/>
  <w15:docId w15:val="{AD17DA38-F8C2-0D47-B732-C42D5CE64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6A5"/>
    <w:rPr>
      <w:rFonts w:eastAsiaTheme="majorEastAsia" w:cstheme="majorBidi"/>
      <w:color w:val="272727" w:themeColor="text1" w:themeTint="D8"/>
    </w:rPr>
  </w:style>
  <w:style w:type="paragraph" w:styleId="Title">
    <w:name w:val="Title"/>
    <w:basedOn w:val="Normal"/>
    <w:next w:val="Normal"/>
    <w:link w:val="TitleChar"/>
    <w:uiPriority w:val="10"/>
    <w:qFormat/>
    <w:rsid w:val="00851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6A5"/>
    <w:pPr>
      <w:spacing w:before="160"/>
      <w:jc w:val="center"/>
    </w:pPr>
    <w:rPr>
      <w:i/>
      <w:iCs/>
      <w:color w:val="404040" w:themeColor="text1" w:themeTint="BF"/>
    </w:rPr>
  </w:style>
  <w:style w:type="character" w:customStyle="1" w:styleId="QuoteChar">
    <w:name w:val="Quote Char"/>
    <w:basedOn w:val="DefaultParagraphFont"/>
    <w:link w:val="Quote"/>
    <w:uiPriority w:val="29"/>
    <w:rsid w:val="008516A5"/>
    <w:rPr>
      <w:i/>
      <w:iCs/>
      <w:color w:val="404040" w:themeColor="text1" w:themeTint="BF"/>
    </w:rPr>
  </w:style>
  <w:style w:type="paragraph" w:styleId="ListParagraph">
    <w:name w:val="List Paragraph"/>
    <w:basedOn w:val="Normal"/>
    <w:uiPriority w:val="34"/>
    <w:qFormat/>
    <w:rsid w:val="008516A5"/>
    <w:pPr>
      <w:ind w:left="720"/>
      <w:contextualSpacing/>
    </w:pPr>
  </w:style>
  <w:style w:type="character" w:styleId="IntenseEmphasis">
    <w:name w:val="Intense Emphasis"/>
    <w:basedOn w:val="DefaultParagraphFont"/>
    <w:uiPriority w:val="21"/>
    <w:qFormat/>
    <w:rsid w:val="008516A5"/>
    <w:rPr>
      <w:i/>
      <w:iCs/>
      <w:color w:val="0F4761" w:themeColor="accent1" w:themeShade="BF"/>
    </w:rPr>
  </w:style>
  <w:style w:type="paragraph" w:styleId="IntenseQuote">
    <w:name w:val="Intense Quote"/>
    <w:basedOn w:val="Normal"/>
    <w:next w:val="Normal"/>
    <w:link w:val="IntenseQuoteChar"/>
    <w:uiPriority w:val="30"/>
    <w:qFormat/>
    <w:rsid w:val="00851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6A5"/>
    <w:rPr>
      <w:i/>
      <w:iCs/>
      <w:color w:val="0F4761" w:themeColor="accent1" w:themeShade="BF"/>
    </w:rPr>
  </w:style>
  <w:style w:type="character" w:styleId="IntenseReference">
    <w:name w:val="Intense Reference"/>
    <w:basedOn w:val="DefaultParagraphFont"/>
    <w:uiPriority w:val="32"/>
    <w:qFormat/>
    <w:rsid w:val="008516A5"/>
    <w:rPr>
      <w:b/>
      <w:bCs/>
      <w:smallCaps/>
      <w:color w:val="0F4761" w:themeColor="accent1" w:themeShade="BF"/>
      <w:spacing w:val="5"/>
    </w:rPr>
  </w:style>
  <w:style w:type="paragraph" w:styleId="NormalWeb">
    <w:name w:val="Normal (Web)"/>
    <w:basedOn w:val="Normal"/>
    <w:uiPriority w:val="99"/>
    <w:semiHidden/>
    <w:unhideWhenUsed/>
    <w:rsid w:val="008516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16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1406</Words>
  <Characters>8020</Characters>
  <Application>Microsoft Office Word</Application>
  <DocSecurity>0</DocSecurity>
  <Lines>66</Lines>
  <Paragraphs>18</Paragraphs>
  <ScaleCrop>false</ScaleCrop>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2026-03-18T19:34:00Z</dcterms:created>
  <dcterms:modified xsi:type="dcterms:W3CDTF">2026-03-18T19:35:00Z</dcterms:modified>
</cp:coreProperties>
</file>