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CC91" w14:textId="77777777" w:rsidR="00AC1176" w:rsidRPr="000C267C" w:rsidRDefault="00AC1176" w:rsidP="00AC1176">
      <w:pPr>
        <w:pStyle w:val="Title"/>
        <w:rPr>
          <w:sz w:val="44"/>
          <w:szCs w:val="44"/>
        </w:rPr>
      </w:pPr>
      <w:r w:rsidRPr="000C267C">
        <w:rPr>
          <w:sz w:val="44"/>
          <w:szCs w:val="44"/>
        </w:rPr>
        <w:t>ALETHEIA Specification Language (ISL) v2.6</w:t>
      </w:r>
    </w:p>
    <w:p w14:paraId="7001D00F" w14:textId="77777777" w:rsidR="00AC1176" w:rsidRPr="000C267C" w:rsidRDefault="00AC1176" w:rsidP="00AC1176">
      <w:pPr>
        <w:pStyle w:val="Heading1"/>
        <w:spacing w:before="0" w:after="120"/>
        <w:rPr>
          <w:rFonts w:ascii="Arial" w:hAnsi="Arial" w:cs="Arial"/>
        </w:rPr>
      </w:pPr>
      <w:r w:rsidRPr="000C267C">
        <w:rPr>
          <w:rFonts w:ascii="Arial" w:hAnsi="Arial" w:cs="Arial"/>
        </w:rPr>
        <w:t>ISL v2.6 The Observability and Telemetry Model</w:t>
      </w:r>
    </w:p>
    <w:p w14:paraId="1097B32F" w14:textId="77777777" w:rsidR="00AC1176" w:rsidRPr="000C267C" w:rsidRDefault="00AC1176" w:rsidP="00AC1176">
      <w:pPr>
        <w:pStyle w:val="Heading2"/>
        <w:spacing w:before="0" w:after="120"/>
        <w:rPr>
          <w:rFonts w:ascii="Arial" w:hAnsi="Arial" w:cs="Arial"/>
        </w:rPr>
      </w:pPr>
      <w:r w:rsidRPr="000C267C">
        <w:rPr>
          <w:rFonts w:ascii="Arial" w:hAnsi="Arial" w:cs="Arial"/>
        </w:rPr>
        <w:t>1.0 Purpose of the Observability Model</w:t>
      </w:r>
    </w:p>
    <w:p w14:paraId="26C1BC8F"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 xml:space="preserve">The Observability and Telemetry Model </w:t>
      </w:r>
      <w:proofErr w:type="gramStart"/>
      <w:r w:rsidRPr="000C267C">
        <w:rPr>
          <w:rFonts w:ascii="Arial" w:hAnsi="Arial" w:cs="Arial"/>
        </w:rPr>
        <w:t>defines</w:t>
      </w:r>
      <w:proofErr w:type="gramEnd"/>
      <w:r w:rsidRPr="000C267C">
        <w:rPr>
          <w:rFonts w:ascii="Arial" w:hAnsi="Arial" w:cs="Arial"/>
        </w:rPr>
        <w:t xml:space="preserve"> how the ALETHEIA platform exposes operational visibility into its internal processes. Autonomous software construction involves complex interactions between specifications, planning systems, agents, deterministic tools, and governance policies. Without a structured observability framework, it would be difficult to understand how these components interact or diagnose issues when they occur.</w:t>
      </w:r>
    </w:p>
    <w:p w14:paraId="716B9369"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 purpose of this model is to ensure that every significant activity within the platform can be observed, measured, and analyzed. Observability allows administrators and engineers to understand how the system behaves during construction processes and provides the foundation for continuous improvement and operational reliability.</w:t>
      </w:r>
    </w:p>
    <w:p w14:paraId="47031EB4"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Through observability, ALETHEIA ensures that autonomous development remains transparent and manageable.</w:t>
      </w:r>
    </w:p>
    <w:p w14:paraId="5DBDA718" w14:textId="77777777" w:rsidR="00AC1176" w:rsidRPr="000C267C" w:rsidRDefault="00AC1176" w:rsidP="00AC1176">
      <w:pPr>
        <w:pStyle w:val="Heading2"/>
        <w:spacing w:before="0" w:after="120"/>
        <w:rPr>
          <w:rFonts w:ascii="Arial" w:hAnsi="Arial" w:cs="Arial"/>
        </w:rPr>
      </w:pPr>
      <w:r w:rsidRPr="000C267C">
        <w:rPr>
          <w:rFonts w:ascii="Arial" w:hAnsi="Arial" w:cs="Arial"/>
        </w:rPr>
        <w:t>2.0 Observability as a Platform Capability</w:t>
      </w:r>
    </w:p>
    <w:p w14:paraId="4FC03D67"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Observability is not treated as an optional diagnostic feature within ALETHEIA but as a core capability integrated into the architecture. Every subsystem within the platform—including the planning engine, execution runtime, agent orchestrator, and tool integration layer—contributes telemetry data describing its activity.</w:t>
      </w:r>
    </w:p>
    <w:p w14:paraId="1D0071A9"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This telemetry allows the platform to reconstruct the operational state of the system at any moment and provides a detailed record of how tasks were executed, how agents interacted, and how artifacts were generated.</w:t>
      </w:r>
    </w:p>
    <w:p w14:paraId="351520AF"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By embedding observability throughout the platform architecture, ALETHEIA ensures that autonomous processes remain explainable and controllable.</w:t>
      </w:r>
    </w:p>
    <w:p w14:paraId="0693AD93" w14:textId="77777777" w:rsidR="00AC1176" w:rsidRPr="000C267C" w:rsidRDefault="00AC1176" w:rsidP="00AC1176">
      <w:pPr>
        <w:pStyle w:val="Heading2"/>
        <w:spacing w:before="0" w:after="120"/>
        <w:rPr>
          <w:rFonts w:ascii="Arial" w:hAnsi="Arial" w:cs="Arial"/>
        </w:rPr>
      </w:pPr>
      <w:r w:rsidRPr="000C267C">
        <w:rPr>
          <w:rFonts w:ascii="Arial" w:hAnsi="Arial" w:cs="Arial"/>
        </w:rPr>
        <w:t>3.0 Categories of Telemetry</w:t>
      </w:r>
    </w:p>
    <w:p w14:paraId="6A768544"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 platform collects several categories of telemetry that together describe the behavior of the autonomous development process. These categories correspond to different aspects of the system’s operation.</w:t>
      </w:r>
    </w:p>
    <w:p w14:paraId="5FE369A1"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 primary categories of telemetry include:</w:t>
      </w:r>
    </w:p>
    <w:p w14:paraId="32581CDB" w14:textId="77777777" w:rsidR="00AC1176" w:rsidRPr="000C267C" w:rsidRDefault="00AC1176" w:rsidP="00AC1176">
      <w:pPr>
        <w:pStyle w:val="NormalWeb"/>
        <w:numPr>
          <w:ilvl w:val="0"/>
          <w:numId w:val="1"/>
        </w:numPr>
        <w:spacing w:before="0" w:beforeAutospacing="0" w:after="0" w:afterAutospacing="0"/>
        <w:rPr>
          <w:rFonts w:ascii="Arial" w:hAnsi="Arial" w:cs="Arial"/>
        </w:rPr>
      </w:pPr>
      <w:r w:rsidRPr="000C267C">
        <w:rPr>
          <w:rFonts w:ascii="Arial" w:hAnsi="Arial" w:cs="Arial"/>
        </w:rPr>
        <w:t>execution telemetry</w:t>
      </w:r>
    </w:p>
    <w:p w14:paraId="7957CF74" w14:textId="77777777" w:rsidR="00AC1176" w:rsidRPr="000C267C" w:rsidRDefault="00AC1176" w:rsidP="00AC1176">
      <w:pPr>
        <w:pStyle w:val="NormalWeb"/>
        <w:numPr>
          <w:ilvl w:val="0"/>
          <w:numId w:val="1"/>
        </w:numPr>
        <w:spacing w:before="0" w:beforeAutospacing="0" w:after="0" w:afterAutospacing="0"/>
        <w:rPr>
          <w:rFonts w:ascii="Arial" w:hAnsi="Arial" w:cs="Arial"/>
        </w:rPr>
      </w:pPr>
      <w:r w:rsidRPr="000C267C">
        <w:rPr>
          <w:rFonts w:ascii="Arial" w:hAnsi="Arial" w:cs="Arial"/>
        </w:rPr>
        <w:t>agent activity telemetry</w:t>
      </w:r>
    </w:p>
    <w:p w14:paraId="38BE8370" w14:textId="77777777" w:rsidR="00AC1176" w:rsidRPr="000C267C" w:rsidRDefault="00AC1176" w:rsidP="00AC1176">
      <w:pPr>
        <w:pStyle w:val="NormalWeb"/>
        <w:numPr>
          <w:ilvl w:val="0"/>
          <w:numId w:val="1"/>
        </w:numPr>
        <w:spacing w:before="0" w:beforeAutospacing="0" w:after="0" w:afterAutospacing="0"/>
        <w:rPr>
          <w:rFonts w:ascii="Arial" w:hAnsi="Arial" w:cs="Arial"/>
        </w:rPr>
      </w:pPr>
      <w:r w:rsidRPr="000C267C">
        <w:rPr>
          <w:rFonts w:ascii="Arial" w:hAnsi="Arial" w:cs="Arial"/>
        </w:rPr>
        <w:t>tool interaction telemetry</w:t>
      </w:r>
    </w:p>
    <w:p w14:paraId="7FC5218C" w14:textId="77777777" w:rsidR="00AC1176" w:rsidRPr="000C267C" w:rsidRDefault="00AC1176" w:rsidP="00AC1176">
      <w:pPr>
        <w:pStyle w:val="NormalWeb"/>
        <w:numPr>
          <w:ilvl w:val="0"/>
          <w:numId w:val="1"/>
        </w:numPr>
        <w:spacing w:before="0" w:beforeAutospacing="0" w:after="0" w:afterAutospacing="0"/>
        <w:rPr>
          <w:rFonts w:ascii="Arial" w:hAnsi="Arial" w:cs="Arial"/>
        </w:rPr>
      </w:pPr>
      <w:r w:rsidRPr="000C267C">
        <w:rPr>
          <w:rFonts w:ascii="Arial" w:hAnsi="Arial" w:cs="Arial"/>
        </w:rPr>
        <w:t>artifact lifecycle telemetry</w:t>
      </w:r>
    </w:p>
    <w:p w14:paraId="48A4EB19" w14:textId="77777777" w:rsidR="00AC1176" w:rsidRPr="000C267C" w:rsidRDefault="00AC1176" w:rsidP="00AC1176">
      <w:pPr>
        <w:pStyle w:val="NormalWeb"/>
        <w:numPr>
          <w:ilvl w:val="0"/>
          <w:numId w:val="1"/>
        </w:numPr>
        <w:spacing w:before="0" w:beforeAutospacing="0" w:after="0" w:afterAutospacing="0"/>
        <w:rPr>
          <w:rFonts w:ascii="Arial" w:hAnsi="Arial" w:cs="Arial"/>
        </w:rPr>
      </w:pPr>
      <w:r w:rsidRPr="000C267C">
        <w:rPr>
          <w:rFonts w:ascii="Arial" w:hAnsi="Arial" w:cs="Arial"/>
        </w:rPr>
        <w:t>governance and policy telemetry</w:t>
      </w:r>
    </w:p>
    <w:p w14:paraId="79DC0601" w14:textId="77777777" w:rsidR="00AC1176" w:rsidRPr="000C267C" w:rsidRDefault="00AC1176" w:rsidP="00AC1176">
      <w:pPr>
        <w:pStyle w:val="NormalWeb"/>
        <w:numPr>
          <w:ilvl w:val="0"/>
          <w:numId w:val="1"/>
        </w:numPr>
        <w:spacing w:before="0" w:beforeAutospacing="0" w:after="120" w:afterAutospacing="0"/>
        <w:rPr>
          <w:rFonts w:ascii="Arial" w:hAnsi="Arial" w:cs="Arial"/>
        </w:rPr>
      </w:pPr>
      <w:r w:rsidRPr="000C267C">
        <w:rPr>
          <w:rFonts w:ascii="Arial" w:hAnsi="Arial" w:cs="Arial"/>
        </w:rPr>
        <w:t>performance and resource telemetry</w:t>
      </w:r>
    </w:p>
    <w:p w14:paraId="08DF5219"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Each category captures a different dimension of the system’s operational behavior.</w:t>
      </w:r>
    </w:p>
    <w:p w14:paraId="7A5D34C3" w14:textId="77777777" w:rsidR="00AC1176" w:rsidRPr="000C267C" w:rsidRDefault="00AC1176" w:rsidP="00AC1176">
      <w:pPr>
        <w:pStyle w:val="Heading2"/>
        <w:spacing w:before="0" w:after="120"/>
        <w:rPr>
          <w:rFonts w:ascii="Arial" w:hAnsi="Arial" w:cs="Arial"/>
        </w:rPr>
      </w:pPr>
      <w:r w:rsidRPr="000C267C">
        <w:rPr>
          <w:rFonts w:ascii="Arial" w:hAnsi="Arial" w:cs="Arial"/>
        </w:rPr>
        <w:lastRenderedPageBreak/>
        <w:t>4.0 Execution Telemetry</w:t>
      </w:r>
    </w:p>
    <w:p w14:paraId="64BE1912"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Execution telemetry records the progress of construction tasks within the execution runtime. It includes information about task creation, scheduling, execution status, completion outcomes, and repair cycles.</w:t>
      </w:r>
    </w:p>
    <w:p w14:paraId="6BD4A7AB"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This telemetry allows administrators to monitor the overall progress of the construction process and identify areas where tasks may be blocked or repeatedly failing.</w:t>
      </w:r>
    </w:p>
    <w:p w14:paraId="58314D0C"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Execution telemetry provides a high-level view of how the autonomous development workflow is progressing.</w:t>
      </w:r>
    </w:p>
    <w:p w14:paraId="76659DFF" w14:textId="77777777" w:rsidR="00AC1176" w:rsidRPr="000C267C" w:rsidRDefault="00AC1176" w:rsidP="00AC1176">
      <w:pPr>
        <w:pStyle w:val="Heading2"/>
        <w:spacing w:before="0" w:after="120"/>
        <w:rPr>
          <w:rFonts w:ascii="Arial" w:hAnsi="Arial" w:cs="Arial"/>
        </w:rPr>
      </w:pPr>
      <w:r w:rsidRPr="000C267C">
        <w:rPr>
          <w:rFonts w:ascii="Arial" w:hAnsi="Arial" w:cs="Arial"/>
        </w:rPr>
        <w:t>5.0 Agent Activity Telemetry</w:t>
      </w:r>
    </w:p>
    <w:p w14:paraId="336B3B45"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Agent activity telemetry records the behavior of reasoning agents during the construction process. This includes the invocation of agents, the tasks assigned to them, the context provided as input, and the outputs generated.</w:t>
      </w:r>
    </w:p>
    <w:p w14:paraId="33CD94D1"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This information allows operators to understand how agents contribute to the construction process and to evaluate the effectiveness of different agent roles.</w:t>
      </w:r>
    </w:p>
    <w:p w14:paraId="70D2EC17"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Agent telemetry also supports analysis of collaboration patterns between agents and helps identify opportunities for improving reasoning strategies.</w:t>
      </w:r>
    </w:p>
    <w:p w14:paraId="66B82A36" w14:textId="77777777" w:rsidR="00AC1176" w:rsidRPr="000C267C" w:rsidRDefault="00AC1176" w:rsidP="00AC1176">
      <w:pPr>
        <w:pStyle w:val="Heading2"/>
        <w:spacing w:before="0" w:after="120"/>
        <w:rPr>
          <w:rFonts w:ascii="Arial" w:hAnsi="Arial" w:cs="Arial"/>
        </w:rPr>
      </w:pPr>
      <w:r w:rsidRPr="000C267C">
        <w:rPr>
          <w:rFonts w:ascii="Arial" w:hAnsi="Arial" w:cs="Arial"/>
        </w:rPr>
        <w:t>6.0 Tool Interaction Telemetry</w:t>
      </w:r>
    </w:p>
    <w:p w14:paraId="42383D32"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 ALETHEIA platform interacts with numerous deterministic tools during the construction process. Tool interaction telemetry records the invocation of these tools and the results they produce.</w:t>
      </w:r>
    </w:p>
    <w:p w14:paraId="0290905E"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Examples of such telemetry include compilation results, test execution outcomes, static analysis findings, infrastructure validation reports, and deployment preparation steps.</w:t>
      </w:r>
    </w:p>
    <w:p w14:paraId="7EFF1A85"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By recording these interactions, the platform can analyze how external tools influence the construction workflow and detect recurring issues within the development environment.</w:t>
      </w:r>
    </w:p>
    <w:p w14:paraId="1BA95F40" w14:textId="77777777" w:rsidR="00AC1176" w:rsidRPr="000C267C" w:rsidRDefault="00AC1176" w:rsidP="00AC1176">
      <w:pPr>
        <w:pStyle w:val="Heading2"/>
        <w:spacing w:before="0" w:after="120"/>
        <w:rPr>
          <w:rFonts w:ascii="Arial" w:hAnsi="Arial" w:cs="Arial"/>
        </w:rPr>
      </w:pPr>
      <w:r w:rsidRPr="000C267C">
        <w:rPr>
          <w:rFonts w:ascii="Arial" w:hAnsi="Arial" w:cs="Arial"/>
        </w:rPr>
        <w:t>7.0 Artifact Lifecycle Telemetry</w:t>
      </w:r>
    </w:p>
    <w:p w14:paraId="4BB7D944"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Artifact lifecycle telemetry records the creation, modification, validation, and packaging of artifacts within the artifact repository. This telemetry allows administrators to track how artifacts evolve during the construction process.</w:t>
      </w:r>
    </w:p>
    <w:p w14:paraId="6716D653"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Lifecycle telemetry also records the relationship between artifacts and the construction tasks that produced them, reinforcing the traceability framework defined in earlier sections.</w:t>
      </w:r>
    </w:p>
    <w:p w14:paraId="72291913"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This information provides insight into the evolution of the system implementation over time.</w:t>
      </w:r>
    </w:p>
    <w:p w14:paraId="2DB3CF76" w14:textId="77777777" w:rsidR="00AC1176" w:rsidRPr="000C267C" w:rsidRDefault="00AC1176" w:rsidP="00AC1176">
      <w:pPr>
        <w:pStyle w:val="Heading2"/>
        <w:spacing w:before="0" w:after="120"/>
        <w:rPr>
          <w:rFonts w:ascii="Arial" w:hAnsi="Arial" w:cs="Arial"/>
        </w:rPr>
      </w:pPr>
      <w:r w:rsidRPr="000C267C">
        <w:rPr>
          <w:rFonts w:ascii="Arial" w:hAnsi="Arial" w:cs="Arial"/>
        </w:rPr>
        <w:lastRenderedPageBreak/>
        <w:t>8.0 Governance Telemetry</w:t>
      </w:r>
    </w:p>
    <w:p w14:paraId="662AA886"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Governance telemetry records policy evaluations, approval decisions, and compliance checks performed during the construction process. This telemetry provides a record of how governance policies influenced the behavior of the platform.</w:t>
      </w:r>
    </w:p>
    <w:p w14:paraId="0D900189"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Governance telemetry may include approval events, policy enforcement actions, exception handling, and compliance validation results.</w:t>
      </w:r>
    </w:p>
    <w:p w14:paraId="6897AAFA"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These records support auditing and demonstrate that the autonomous construction process adheres to organizational policies and regulatory requirements.</w:t>
      </w:r>
    </w:p>
    <w:p w14:paraId="1D871A3B" w14:textId="77777777" w:rsidR="00AC1176" w:rsidRPr="000C267C" w:rsidRDefault="00AC1176" w:rsidP="00AC1176">
      <w:pPr>
        <w:pStyle w:val="Heading2"/>
        <w:spacing w:before="0" w:after="120"/>
        <w:rPr>
          <w:rFonts w:ascii="Arial" w:hAnsi="Arial" w:cs="Arial"/>
        </w:rPr>
      </w:pPr>
      <w:r w:rsidRPr="000C267C">
        <w:rPr>
          <w:rFonts w:ascii="Arial" w:hAnsi="Arial" w:cs="Arial"/>
        </w:rPr>
        <w:t>9.0 Performance and Resource Telemetry</w:t>
      </w:r>
    </w:p>
    <w:p w14:paraId="63060201"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Performance telemetry measures the computational resources used by the platform during the construction process. This includes metrics related to processing time, model invocation latency, tool execution duration, and system resource utilization.</w:t>
      </w:r>
    </w:p>
    <w:p w14:paraId="7887BF85"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Resource telemetry allows operators to understand how efficiently the platform uses available computational resources and helps identify opportunities for performance optimization.</w:t>
      </w:r>
    </w:p>
    <w:p w14:paraId="0ACB4562"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This information is especially important when the platform operates in distributed or resource-constrained environments.</w:t>
      </w:r>
    </w:p>
    <w:p w14:paraId="33318204" w14:textId="77777777" w:rsidR="00AC1176" w:rsidRPr="000C267C" w:rsidRDefault="00AC1176" w:rsidP="00AC1176">
      <w:pPr>
        <w:pStyle w:val="Heading2"/>
        <w:spacing w:before="0" w:after="120"/>
        <w:rPr>
          <w:rFonts w:ascii="Arial" w:hAnsi="Arial" w:cs="Arial"/>
        </w:rPr>
      </w:pPr>
      <w:r w:rsidRPr="000C267C">
        <w:rPr>
          <w:rFonts w:ascii="Arial" w:hAnsi="Arial" w:cs="Arial"/>
        </w:rPr>
        <w:t>10.0 Telemetry Storage and Retention</w:t>
      </w:r>
    </w:p>
    <w:p w14:paraId="0D559CE3"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 telemetry generated by the platform must be stored in a structured and persistent manner so that it can be analyzed both during and after execution. The observability model assumes the existence of a telemetry storage system capable of retaining event logs, metrics, and structured records of platform activity.</w:t>
      </w:r>
    </w:p>
    <w:p w14:paraId="2870643E"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Retention policies may vary depending on organizational requirements. Some environments may retain telemetry for extended periods to support auditing and regulatory compliance, while others may maintain shorter retention windows focused on operational diagnostics.</w:t>
      </w:r>
    </w:p>
    <w:p w14:paraId="7AC265B4"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Proper storage and retention policies ensure that telemetry remains useful without overwhelming system resources.</w:t>
      </w:r>
    </w:p>
    <w:p w14:paraId="0EC499AA" w14:textId="77777777" w:rsidR="00AC1176" w:rsidRPr="000C267C" w:rsidRDefault="00AC1176" w:rsidP="00AC1176">
      <w:pPr>
        <w:pStyle w:val="Heading2"/>
        <w:spacing w:before="0" w:after="120"/>
        <w:rPr>
          <w:rFonts w:ascii="Arial" w:hAnsi="Arial" w:cs="Arial"/>
        </w:rPr>
      </w:pPr>
      <w:r w:rsidRPr="000C267C">
        <w:rPr>
          <w:rFonts w:ascii="Arial" w:hAnsi="Arial" w:cs="Arial"/>
        </w:rPr>
        <w:t>11.0 Monitoring and Alerting</w:t>
      </w:r>
    </w:p>
    <w:p w14:paraId="2747B832"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 observability model supports monitoring systems that analyze telemetry data in real time. Monitoring tools may detect abnormal patterns such as repeated task failures, excessive repair cycles, or unexpected performance degradation.</w:t>
      </w:r>
    </w:p>
    <w:p w14:paraId="05721ACD"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When such conditions are detected, the monitoring system can generate alerts that notify administrators or governance authorities. These alerts allow human operators to intervene when necessary and ensure that autonomous construction processes remain stable.</w:t>
      </w:r>
    </w:p>
    <w:p w14:paraId="057AECA3"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Monitoring therefore acts as an early warning system for operational issues.</w:t>
      </w:r>
    </w:p>
    <w:p w14:paraId="57D4EB9A" w14:textId="77777777" w:rsidR="00AC1176" w:rsidRPr="000C267C" w:rsidRDefault="00AC1176" w:rsidP="00AC1176">
      <w:pPr>
        <w:pStyle w:val="Heading2"/>
        <w:spacing w:before="0" w:after="120"/>
        <w:rPr>
          <w:rFonts w:ascii="Arial" w:hAnsi="Arial" w:cs="Arial"/>
        </w:rPr>
      </w:pPr>
      <w:r w:rsidRPr="000C267C">
        <w:rPr>
          <w:rFonts w:ascii="Arial" w:hAnsi="Arial" w:cs="Arial"/>
        </w:rPr>
        <w:lastRenderedPageBreak/>
        <w:t>12.0 Visualization and Operational Dashboards</w:t>
      </w:r>
    </w:p>
    <w:p w14:paraId="1E5F4A3D"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To make telemetry data accessible to human operators, the platform provides visualization mechanisms that present key metrics and operational information through dashboards. These dashboards may display task progress, agent activity, artifact evolution, and governance status.</w:t>
      </w:r>
    </w:p>
    <w:p w14:paraId="48AFD117"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 xml:space="preserve">Visual representations of the system’s activity allow administrators to understand the state of the construction process </w:t>
      </w:r>
      <w:proofErr w:type="gramStart"/>
      <w:r w:rsidRPr="000C267C">
        <w:rPr>
          <w:rFonts w:ascii="Arial" w:hAnsi="Arial" w:cs="Arial"/>
        </w:rPr>
        <w:t>at a glance</w:t>
      </w:r>
      <w:proofErr w:type="gramEnd"/>
      <w:r w:rsidRPr="000C267C">
        <w:rPr>
          <w:rFonts w:ascii="Arial" w:hAnsi="Arial" w:cs="Arial"/>
        </w:rPr>
        <w:t xml:space="preserve"> and identify areas that require attention.</w:t>
      </w:r>
    </w:p>
    <w:p w14:paraId="1BF52B69"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Operational dashboards therefore serve as the primary interface through which human operators observe the behavior of the platform.</w:t>
      </w:r>
    </w:p>
    <w:p w14:paraId="278F1CA2" w14:textId="77777777" w:rsidR="00AC1176" w:rsidRPr="000C267C" w:rsidRDefault="00AC1176" w:rsidP="00AC1176">
      <w:pPr>
        <w:pStyle w:val="Heading2"/>
        <w:spacing w:before="0" w:after="120"/>
        <w:rPr>
          <w:rFonts w:ascii="Arial" w:hAnsi="Arial" w:cs="Arial"/>
        </w:rPr>
      </w:pPr>
      <w:r w:rsidRPr="000C267C">
        <w:rPr>
          <w:rFonts w:ascii="Arial" w:hAnsi="Arial" w:cs="Arial"/>
        </w:rPr>
        <w:t>13.0 Telemetry for Continuous Improvement</w:t>
      </w:r>
    </w:p>
    <w:p w14:paraId="384A4340"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Observability data can also be used to improve the performance and reliability of the platform itself. By analyzing historical telemetry, engineers can identify patterns that indicate inefficiencies, recurring failures, or suboptimal reasoning strategies.</w:t>
      </w:r>
    </w:p>
    <w:p w14:paraId="1402C445"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This analysis may lead to improvements in task planning algorithms, agent collaboration strategies, or tool integration workflows.</w:t>
      </w:r>
    </w:p>
    <w:p w14:paraId="4930529F"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Telemetry therefore contributes not only to operational monitoring but also to the long-term evolution of the ALETHEIA platform.</w:t>
      </w:r>
    </w:p>
    <w:p w14:paraId="5DDE8982" w14:textId="77777777" w:rsidR="00AC1176" w:rsidRPr="000C267C" w:rsidRDefault="00AC1176" w:rsidP="00AC1176">
      <w:pPr>
        <w:pStyle w:val="Heading2"/>
        <w:spacing w:before="0" w:after="120"/>
        <w:rPr>
          <w:rFonts w:ascii="Arial" w:hAnsi="Arial" w:cs="Arial"/>
        </w:rPr>
      </w:pPr>
      <w:r w:rsidRPr="000C267C">
        <w:rPr>
          <w:rFonts w:ascii="Arial" w:hAnsi="Arial" w:cs="Arial"/>
        </w:rPr>
        <w:t>14.0 Observability and Transparency</w:t>
      </w:r>
    </w:p>
    <w:p w14:paraId="3D4E21B5"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One of the most important roles of the observability model is to ensure transparency in the behavior of autonomous systems. Organizations must be able to understand how decisions were made, how artifacts were generated, and how governance policies influenced the construction process.</w:t>
      </w:r>
    </w:p>
    <w:p w14:paraId="797002A7"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 telemetry framework preserves this information in a structured and accessible form, enabling the platform’s behavior to be analyzed and explained when necessary.</w:t>
      </w:r>
    </w:p>
    <w:p w14:paraId="5922C211"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Transparency is essential for building trust in autonomous development systems.</w:t>
      </w:r>
    </w:p>
    <w:p w14:paraId="257BFAB1" w14:textId="77777777" w:rsidR="00AC1176" w:rsidRPr="000C267C" w:rsidRDefault="00AC1176" w:rsidP="00AC1176">
      <w:pPr>
        <w:pStyle w:val="Heading2"/>
        <w:spacing w:before="0" w:after="120"/>
        <w:rPr>
          <w:rFonts w:ascii="Arial" w:hAnsi="Arial" w:cs="Arial"/>
        </w:rPr>
      </w:pPr>
      <w:r w:rsidRPr="000C267C">
        <w:rPr>
          <w:rFonts w:ascii="Arial" w:hAnsi="Arial" w:cs="Arial"/>
        </w:rPr>
        <w:t>15.0 Observability as the Window into the Construction Process</w:t>
      </w:r>
    </w:p>
    <w:p w14:paraId="204D1D16"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Within the architectural metaphor of the ALETHEIA project, the observability model can be understood as the observation tower overlooking the construction site. From this vantage point, operators can observe the progress of the work, the behavior of the workforce, and the movement of materials across the site.</w:t>
      </w:r>
    </w:p>
    <w:p w14:paraId="4961A517"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By providing this window into the autonomous construction process, the observability model ensures that the platform remains accountable, understandable, and continuously improvable.</w:t>
      </w:r>
    </w:p>
    <w:p w14:paraId="420743DD"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Through structured telemetry and monitoring capabilities, ALETHEIA transforms autonomous development from a hidden process into an observable and governable system.</w:t>
      </w:r>
    </w:p>
    <w:p w14:paraId="3C640587"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3375A"/>
    <w:multiLevelType w:val="multilevel"/>
    <w:tmpl w:val="75EE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06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176"/>
    <w:rsid w:val="00223A5B"/>
    <w:rsid w:val="005F714F"/>
    <w:rsid w:val="006A7C31"/>
    <w:rsid w:val="006F4208"/>
    <w:rsid w:val="00984106"/>
    <w:rsid w:val="00997A3E"/>
    <w:rsid w:val="00AC1176"/>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ECC425"/>
  <w15:chartTrackingRefBased/>
  <w15:docId w15:val="{2BDCB747-AA4E-F142-9B5C-4995BBB13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1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1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176"/>
    <w:rPr>
      <w:rFonts w:eastAsiaTheme="majorEastAsia" w:cstheme="majorBidi"/>
      <w:color w:val="272727" w:themeColor="text1" w:themeTint="D8"/>
    </w:rPr>
  </w:style>
  <w:style w:type="paragraph" w:styleId="Title">
    <w:name w:val="Title"/>
    <w:basedOn w:val="Normal"/>
    <w:next w:val="Normal"/>
    <w:link w:val="TitleChar"/>
    <w:uiPriority w:val="10"/>
    <w:qFormat/>
    <w:rsid w:val="00AC1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176"/>
    <w:pPr>
      <w:spacing w:before="160"/>
      <w:jc w:val="center"/>
    </w:pPr>
    <w:rPr>
      <w:i/>
      <w:iCs/>
      <w:color w:val="404040" w:themeColor="text1" w:themeTint="BF"/>
    </w:rPr>
  </w:style>
  <w:style w:type="character" w:customStyle="1" w:styleId="QuoteChar">
    <w:name w:val="Quote Char"/>
    <w:basedOn w:val="DefaultParagraphFont"/>
    <w:link w:val="Quote"/>
    <w:uiPriority w:val="29"/>
    <w:rsid w:val="00AC1176"/>
    <w:rPr>
      <w:i/>
      <w:iCs/>
      <w:color w:val="404040" w:themeColor="text1" w:themeTint="BF"/>
    </w:rPr>
  </w:style>
  <w:style w:type="paragraph" w:styleId="ListParagraph">
    <w:name w:val="List Paragraph"/>
    <w:basedOn w:val="Normal"/>
    <w:uiPriority w:val="34"/>
    <w:qFormat/>
    <w:rsid w:val="00AC1176"/>
    <w:pPr>
      <w:ind w:left="720"/>
      <w:contextualSpacing/>
    </w:pPr>
  </w:style>
  <w:style w:type="character" w:styleId="IntenseEmphasis">
    <w:name w:val="Intense Emphasis"/>
    <w:basedOn w:val="DefaultParagraphFont"/>
    <w:uiPriority w:val="21"/>
    <w:qFormat/>
    <w:rsid w:val="00AC1176"/>
    <w:rPr>
      <w:i/>
      <w:iCs/>
      <w:color w:val="0F4761" w:themeColor="accent1" w:themeShade="BF"/>
    </w:rPr>
  </w:style>
  <w:style w:type="paragraph" w:styleId="IntenseQuote">
    <w:name w:val="Intense Quote"/>
    <w:basedOn w:val="Normal"/>
    <w:next w:val="Normal"/>
    <w:link w:val="IntenseQuoteChar"/>
    <w:uiPriority w:val="30"/>
    <w:qFormat/>
    <w:rsid w:val="00AC1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176"/>
    <w:rPr>
      <w:i/>
      <w:iCs/>
      <w:color w:val="0F4761" w:themeColor="accent1" w:themeShade="BF"/>
    </w:rPr>
  </w:style>
  <w:style w:type="character" w:styleId="IntenseReference">
    <w:name w:val="Intense Reference"/>
    <w:basedOn w:val="DefaultParagraphFont"/>
    <w:uiPriority w:val="32"/>
    <w:qFormat/>
    <w:rsid w:val="00AC1176"/>
    <w:rPr>
      <w:b/>
      <w:bCs/>
      <w:smallCaps/>
      <w:color w:val="0F4761" w:themeColor="accent1" w:themeShade="BF"/>
      <w:spacing w:val="5"/>
    </w:rPr>
  </w:style>
  <w:style w:type="paragraph" w:styleId="NormalWeb">
    <w:name w:val="Normal (Web)"/>
    <w:basedOn w:val="Normal"/>
    <w:uiPriority w:val="99"/>
    <w:semiHidden/>
    <w:unhideWhenUsed/>
    <w:rsid w:val="00AC117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1400</Words>
  <Characters>7986</Characters>
  <Application>Microsoft Office Word</Application>
  <DocSecurity>0</DocSecurity>
  <Lines>66</Lines>
  <Paragraphs>18</Paragraphs>
  <ScaleCrop>false</ScaleCrop>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2026-03-18T19:35:00Z</dcterms:created>
  <dcterms:modified xsi:type="dcterms:W3CDTF">2026-03-18T19:37:00Z</dcterms:modified>
</cp:coreProperties>
</file>