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CD9A" w14:textId="77777777" w:rsidR="005C5699" w:rsidRPr="008C5358" w:rsidRDefault="005C5699" w:rsidP="005C5699">
      <w:pPr>
        <w:pStyle w:val="Title"/>
        <w:rPr>
          <w:sz w:val="44"/>
          <w:szCs w:val="44"/>
        </w:rPr>
      </w:pPr>
      <w:r w:rsidRPr="008C5358">
        <w:rPr>
          <w:sz w:val="44"/>
          <w:szCs w:val="44"/>
        </w:rPr>
        <w:t>ALETHEIA Specification Language (ISL) v3.6</w:t>
      </w:r>
    </w:p>
    <w:p w14:paraId="144C6D89" w14:textId="77777777" w:rsidR="005C5699" w:rsidRPr="008C5358" w:rsidRDefault="005C5699" w:rsidP="005C5699">
      <w:pPr>
        <w:pStyle w:val="Heading1"/>
        <w:spacing w:before="0" w:after="120"/>
        <w:rPr>
          <w:rFonts w:ascii="Arial" w:hAnsi="Arial" w:cs="Arial"/>
        </w:rPr>
      </w:pPr>
      <w:r w:rsidRPr="008C5358">
        <w:rPr>
          <w:rFonts w:ascii="Arial" w:hAnsi="Arial" w:cs="Arial"/>
        </w:rPr>
        <w:t>ISL v3.6 The Autonomous Development Loop</w:t>
      </w:r>
    </w:p>
    <w:p w14:paraId="5312CA0E" w14:textId="77777777" w:rsidR="005C5699" w:rsidRPr="008C5358" w:rsidRDefault="005C5699" w:rsidP="005C5699">
      <w:pPr>
        <w:pStyle w:val="Heading2"/>
        <w:spacing w:before="0" w:after="120"/>
        <w:rPr>
          <w:rFonts w:ascii="Arial" w:hAnsi="Arial" w:cs="Arial"/>
        </w:rPr>
      </w:pPr>
      <w:r w:rsidRPr="008C5358">
        <w:rPr>
          <w:rFonts w:ascii="Arial" w:hAnsi="Arial" w:cs="Arial"/>
        </w:rPr>
        <w:t>1.0 Purpose of the Autonomous Development Loop</w:t>
      </w:r>
    </w:p>
    <w:p w14:paraId="12DE5826"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Autonomous Development Loop defines the core operational cycle through which the ALETHEIA platform constructs software systems from formal specifications. While previous sections describe the architecture, runtime orchestration, and reasoning agents of the platform, this section establishes the continuous development cycle that drives the system from specification to deployable artifact.</w:t>
      </w:r>
    </w:p>
    <w:p w14:paraId="76E87435"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loop represents the fundamental mechanism through which the platform iteratively refines generated artifacts until they satisfy the requirements defined in the specification. Through this cycle, ALETHEIA performs the essential activities traditionally associated with the software development lifecycle.</w:t>
      </w:r>
    </w:p>
    <w:p w14:paraId="4EBEFD41"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Autonomous Development Loop therefore functions as the operational heart of the ALETHEIA platform.</w:t>
      </w:r>
    </w:p>
    <w:p w14:paraId="100684F4" w14:textId="77777777" w:rsidR="005C5699" w:rsidRPr="008C5358" w:rsidRDefault="005C5699" w:rsidP="005C5699">
      <w:pPr>
        <w:pStyle w:val="Heading2"/>
        <w:spacing w:before="0" w:after="120"/>
        <w:rPr>
          <w:rFonts w:ascii="Arial" w:hAnsi="Arial" w:cs="Arial"/>
        </w:rPr>
      </w:pPr>
      <w:r w:rsidRPr="008C5358">
        <w:rPr>
          <w:rFonts w:ascii="Arial" w:hAnsi="Arial" w:cs="Arial"/>
        </w:rPr>
        <w:t>2.0 Structure of the Development Loop</w:t>
      </w:r>
    </w:p>
    <w:p w14:paraId="65272C0D"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development loop consists of a sequence of stages that collectively transform a specification into a validated implementation. These stages are executed repeatedly until the system reaches a stable state that satisfies all validation criteria.</w:t>
      </w:r>
    </w:p>
    <w:p w14:paraId="2AD1DD65"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primary stages of the loop include specification interpretation, construction planning, artifact generation, deterministic validation, automated repair, artifact packaging, and deployment preparation.</w:t>
      </w:r>
    </w:p>
    <w:p w14:paraId="50272A0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Each stage represents a transformation within the construction workflow and contributes to the gradual convergence of the system toward a correct and stable implementation.</w:t>
      </w:r>
    </w:p>
    <w:p w14:paraId="0984538B" w14:textId="77777777" w:rsidR="005C5699" w:rsidRPr="008C5358" w:rsidRDefault="005C5699" w:rsidP="005C5699">
      <w:pPr>
        <w:pStyle w:val="Heading2"/>
        <w:spacing w:before="0" w:after="120"/>
        <w:rPr>
          <w:rFonts w:ascii="Arial" w:hAnsi="Arial" w:cs="Arial"/>
        </w:rPr>
      </w:pPr>
      <w:r w:rsidRPr="008C5358">
        <w:rPr>
          <w:rFonts w:ascii="Arial" w:hAnsi="Arial" w:cs="Arial"/>
        </w:rPr>
        <w:t>3.0 Specification Interpretation</w:t>
      </w:r>
    </w:p>
    <w:p w14:paraId="3485BEC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development cycle begins with the interpretation of a system specification written using the ALETHEIA Specification Language. The specification engine parses the document and transforms it into the canonical semantic model that represents the architecture of the system.</w:t>
      </w:r>
    </w:p>
    <w:p w14:paraId="09F4DCD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During this stage the platform verifies that the specification is structurally valid and identifies the architectural entities that will guide the construction process.</w:t>
      </w:r>
    </w:p>
    <w:p w14:paraId="11C90A50"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resulting semantic model becomes the primary source of truth for subsequent planning and execution activities.</w:t>
      </w:r>
    </w:p>
    <w:p w14:paraId="689D493F" w14:textId="77777777" w:rsidR="005C5699" w:rsidRPr="008C5358" w:rsidRDefault="005C5699" w:rsidP="005C5699">
      <w:pPr>
        <w:pStyle w:val="Heading2"/>
        <w:spacing w:before="0" w:after="120"/>
        <w:rPr>
          <w:rFonts w:ascii="Arial" w:hAnsi="Arial" w:cs="Arial"/>
        </w:rPr>
      </w:pPr>
      <w:r w:rsidRPr="008C5358">
        <w:rPr>
          <w:rFonts w:ascii="Arial" w:hAnsi="Arial" w:cs="Arial"/>
        </w:rPr>
        <w:t>4.0 Construction Planning</w:t>
      </w:r>
    </w:p>
    <w:p w14:paraId="750FD9D7"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Once the semantic model has been established, the planning engine analyzes the specification and produces a task graph describing the activities required to construct the system.</w:t>
      </w:r>
    </w:p>
    <w:p w14:paraId="7C24F2C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lastRenderedPageBreak/>
        <w:t>The task graph identifies the sequence of tasks necessary to implement the specified components and resolves dependencies between those tasks. Planning may include activities such as creating project structures, generating service implementations, producing data models, defining test suites, and configuring deployment infrastructure.</w:t>
      </w:r>
    </w:p>
    <w:p w14:paraId="3082CF3B"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planning stage converts the static specification into a dynamic construction workflow.</w:t>
      </w:r>
    </w:p>
    <w:p w14:paraId="2554C58E" w14:textId="77777777" w:rsidR="005C5699" w:rsidRPr="008C5358" w:rsidRDefault="005C5699" w:rsidP="005C5699">
      <w:pPr>
        <w:pStyle w:val="Heading2"/>
        <w:spacing w:before="0" w:after="120"/>
        <w:rPr>
          <w:rFonts w:ascii="Arial" w:hAnsi="Arial" w:cs="Arial"/>
        </w:rPr>
      </w:pPr>
      <w:r w:rsidRPr="008C5358">
        <w:rPr>
          <w:rFonts w:ascii="Arial" w:hAnsi="Arial" w:cs="Arial"/>
        </w:rPr>
        <w:t>5.0 Artifact Generation</w:t>
      </w:r>
    </w:p>
    <w:p w14:paraId="402B9820"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After the construction plan has been created, the execution runtime begins generating artifacts required to implement the system. Reasoning agents are invoked to produce source code, configuration files, test definitions, and other implementation elements.</w:t>
      </w:r>
    </w:p>
    <w:p w14:paraId="6377DEA9"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generated artifacts are written to the artifact repository and become part of the evolving system implementation. Artifact generation represents the primary creative activity of the platform.</w:t>
      </w:r>
    </w:p>
    <w:p w14:paraId="08A5EDD6"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stage translates the architectural blueprint of the system into tangible software components.</w:t>
      </w:r>
    </w:p>
    <w:p w14:paraId="60A1E88E" w14:textId="77777777" w:rsidR="005C5699" w:rsidRPr="008C5358" w:rsidRDefault="005C5699" w:rsidP="005C5699">
      <w:pPr>
        <w:pStyle w:val="Heading2"/>
        <w:spacing w:before="0" w:after="120"/>
        <w:rPr>
          <w:rFonts w:ascii="Arial" w:hAnsi="Arial" w:cs="Arial"/>
        </w:rPr>
      </w:pPr>
      <w:r w:rsidRPr="008C5358">
        <w:rPr>
          <w:rFonts w:ascii="Arial" w:hAnsi="Arial" w:cs="Arial"/>
        </w:rPr>
        <w:t>6.0 Deterministic Validation</w:t>
      </w:r>
    </w:p>
    <w:p w14:paraId="3E638A2B"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Following artifact generation, the platform performs deterministic validation using established engineering tools. These tools may include compilers, automated testing frameworks, static analysis systems, and security scanners.</w:t>
      </w:r>
    </w:p>
    <w:p w14:paraId="0BB873C2"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validation process determines whether the generated artifacts satisfy both the structural constraints of the programming environment and the functional expectations defined in the specification.</w:t>
      </w:r>
    </w:p>
    <w:p w14:paraId="3E3D8EAD"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Validation results provide the feedback necessary for the next stage of the development loop.</w:t>
      </w:r>
    </w:p>
    <w:p w14:paraId="5A975B56" w14:textId="77777777" w:rsidR="005C5699" w:rsidRPr="008C5358" w:rsidRDefault="005C5699" w:rsidP="005C5699">
      <w:pPr>
        <w:pStyle w:val="Heading2"/>
        <w:spacing w:before="0" w:after="120"/>
        <w:rPr>
          <w:rFonts w:ascii="Arial" w:hAnsi="Arial" w:cs="Arial"/>
        </w:rPr>
      </w:pPr>
      <w:r w:rsidRPr="008C5358">
        <w:rPr>
          <w:rFonts w:ascii="Arial" w:hAnsi="Arial" w:cs="Arial"/>
        </w:rPr>
        <w:t>7.0 Automated Repair</w:t>
      </w:r>
    </w:p>
    <w:p w14:paraId="7B97DFEF"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When validation detects errors or inconsistencies in generated artifacts, the development loop initiates a repair cycle. The repair analysis agent examines validation results and determines the modifications required to resolve the detected issues.</w:t>
      </w:r>
    </w:p>
    <w:p w14:paraId="0C76D10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implementation generator then produces revised artifacts incorporating the proposed corrections. These revised artifacts are again subjected to deterministic validation.</w:t>
      </w:r>
    </w:p>
    <w:p w14:paraId="453DE776"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repair cycle continues until the system passes all validation checks.</w:t>
      </w:r>
    </w:p>
    <w:p w14:paraId="72E5859C" w14:textId="77777777" w:rsidR="005C5699" w:rsidRPr="008C5358" w:rsidRDefault="005C5699" w:rsidP="005C5699">
      <w:pPr>
        <w:pStyle w:val="Heading2"/>
        <w:spacing w:before="0" w:after="120"/>
        <w:rPr>
          <w:rFonts w:ascii="Arial" w:hAnsi="Arial" w:cs="Arial"/>
        </w:rPr>
      </w:pPr>
      <w:r w:rsidRPr="008C5358">
        <w:rPr>
          <w:rFonts w:ascii="Arial" w:hAnsi="Arial" w:cs="Arial"/>
        </w:rPr>
        <w:t>8.0 Convergence of the Construction Process</w:t>
      </w:r>
    </w:p>
    <w:p w14:paraId="6A43B984"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development loop repeats the generation, validation, and repair stages until the platform converges on a stable implementation. Convergence occurs when the generated system compiles successfully, passes all automated tests, and satisfies the constraints defined in the specification.</w:t>
      </w:r>
    </w:p>
    <w:p w14:paraId="4330E2EE"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lastRenderedPageBreak/>
        <w:t>At this point the platform considers the implementation to be complete for the current specification state.</w:t>
      </w:r>
    </w:p>
    <w:p w14:paraId="457EA678"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Convergence represents the successful completion of the autonomous construction process.</w:t>
      </w:r>
    </w:p>
    <w:p w14:paraId="26C5138D" w14:textId="77777777" w:rsidR="005C5699" w:rsidRPr="008C5358" w:rsidRDefault="005C5699" w:rsidP="005C5699">
      <w:pPr>
        <w:pStyle w:val="Heading2"/>
        <w:spacing w:before="0" w:after="120"/>
        <w:rPr>
          <w:rFonts w:ascii="Arial" w:hAnsi="Arial" w:cs="Arial"/>
        </w:rPr>
      </w:pPr>
      <w:r w:rsidRPr="008C5358">
        <w:rPr>
          <w:rFonts w:ascii="Arial" w:hAnsi="Arial" w:cs="Arial"/>
        </w:rPr>
        <w:t>9.0 Artifact Packaging</w:t>
      </w:r>
    </w:p>
    <w:p w14:paraId="718BC669"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Once convergence has been achieved, the platform prepares the generated artifacts for distribution and deployment. Packaging may involve compiling the system into executable binaries, building container images, or producing deployment manifests.</w:t>
      </w:r>
    </w:p>
    <w:p w14:paraId="1A47A135"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packaging process ensures that the generated system can be deployed consistently across different environments.</w:t>
      </w:r>
    </w:p>
    <w:p w14:paraId="490039DB"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Packaged artifacts represent the deliverable outputs of the autonomous development cycle.</w:t>
      </w:r>
    </w:p>
    <w:p w14:paraId="28B86AF7" w14:textId="77777777" w:rsidR="005C5699" w:rsidRPr="008C5358" w:rsidRDefault="005C5699" w:rsidP="005C5699">
      <w:pPr>
        <w:pStyle w:val="Heading2"/>
        <w:spacing w:before="0" w:after="120"/>
        <w:rPr>
          <w:rFonts w:ascii="Arial" w:hAnsi="Arial" w:cs="Arial"/>
        </w:rPr>
      </w:pPr>
      <w:r w:rsidRPr="008C5358">
        <w:rPr>
          <w:rFonts w:ascii="Arial" w:hAnsi="Arial" w:cs="Arial"/>
        </w:rPr>
        <w:t>10.0 Deployment Preparation</w:t>
      </w:r>
    </w:p>
    <w:p w14:paraId="45EC487E"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 xml:space="preserve">After packaging, the platform prepares the system for deployment. This stage may include generating infrastructure configuration files, </w:t>
      </w:r>
      <w:proofErr w:type="gramStart"/>
      <w:r w:rsidRPr="008C5358">
        <w:rPr>
          <w:rFonts w:ascii="Arial" w:hAnsi="Arial" w:cs="Arial"/>
        </w:rPr>
        <w:t>defining</w:t>
      </w:r>
      <w:proofErr w:type="gramEnd"/>
      <w:r w:rsidRPr="008C5358">
        <w:rPr>
          <w:rFonts w:ascii="Arial" w:hAnsi="Arial" w:cs="Arial"/>
        </w:rPr>
        <w:t xml:space="preserve"> deployment pipelines, and verifying compatibility with target runtime environments.</w:t>
      </w:r>
    </w:p>
    <w:p w14:paraId="14A5DD8C"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Deployment preparation ensures that the system produced by the platform can be integrated into operational environments without manual intervention.</w:t>
      </w:r>
    </w:p>
    <w:p w14:paraId="3A30FA2F"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stage bridges the gap between software construction and operational deployment.</w:t>
      </w:r>
    </w:p>
    <w:p w14:paraId="03FAAB01" w14:textId="77777777" w:rsidR="005C5699" w:rsidRPr="008C5358" w:rsidRDefault="005C5699" w:rsidP="005C5699">
      <w:pPr>
        <w:pStyle w:val="Heading2"/>
        <w:spacing w:before="0" w:after="120"/>
        <w:rPr>
          <w:rFonts w:ascii="Arial" w:hAnsi="Arial" w:cs="Arial"/>
        </w:rPr>
      </w:pPr>
      <w:r w:rsidRPr="008C5358">
        <w:rPr>
          <w:rFonts w:ascii="Arial" w:hAnsi="Arial" w:cs="Arial"/>
        </w:rPr>
        <w:t>11.0 Continuous Development</w:t>
      </w:r>
    </w:p>
    <w:p w14:paraId="427EF53E"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Autonomous Development Loop is not limited to a single execution cycle. As specifications evolve or new requirements are introduced, the platform may re-enter the development loop and construct updated implementations.</w:t>
      </w:r>
    </w:p>
    <w:p w14:paraId="1B9327FD"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Because the platform maintains traceability between specifications and artifacts, it can identify which components of the system must be regenerated when the specification changes.</w:t>
      </w:r>
    </w:p>
    <w:p w14:paraId="7771CDED"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capability allows the platform to support continuous evolution of software systems.</w:t>
      </w:r>
    </w:p>
    <w:p w14:paraId="63F60611" w14:textId="77777777" w:rsidR="005C5699" w:rsidRPr="008C5358" w:rsidRDefault="005C5699" w:rsidP="005C5699">
      <w:pPr>
        <w:pStyle w:val="Heading2"/>
        <w:spacing w:before="0" w:after="120"/>
        <w:rPr>
          <w:rFonts w:ascii="Arial" w:hAnsi="Arial" w:cs="Arial"/>
        </w:rPr>
      </w:pPr>
      <w:r w:rsidRPr="008C5358">
        <w:rPr>
          <w:rFonts w:ascii="Arial" w:hAnsi="Arial" w:cs="Arial"/>
        </w:rPr>
        <w:t>12.0 Observability Within the Development Loop</w:t>
      </w:r>
    </w:p>
    <w:p w14:paraId="70539583"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Throughout the execution of the development loop, the platform records telemetry describing the behavior of each stage. This telemetry includes task execution events, agent activity, validation outcomes, repair cycles, and artifact generation activities.</w:t>
      </w:r>
    </w:p>
    <w:p w14:paraId="519BAC8A"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Observability enables administrators and engineers to monitor the progress of the development process and analyze the effectiveness of the platform’s reasoning and planning mechanisms.</w:t>
      </w:r>
    </w:p>
    <w:p w14:paraId="5C36FDFA"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transparency is essential for maintaining trust in the autonomous development system.</w:t>
      </w:r>
    </w:p>
    <w:p w14:paraId="44BA437A" w14:textId="77777777" w:rsidR="005C5699" w:rsidRPr="008C5358" w:rsidRDefault="005C5699" w:rsidP="005C5699">
      <w:pPr>
        <w:pStyle w:val="Heading2"/>
        <w:spacing w:before="0" w:after="120"/>
        <w:rPr>
          <w:rFonts w:ascii="Arial" w:hAnsi="Arial" w:cs="Arial"/>
        </w:rPr>
      </w:pPr>
      <w:r w:rsidRPr="008C5358">
        <w:rPr>
          <w:rFonts w:ascii="Arial" w:hAnsi="Arial" w:cs="Arial"/>
        </w:rPr>
        <w:lastRenderedPageBreak/>
        <w:t>13.0 Governance and Policy Enforcement</w:t>
      </w:r>
    </w:p>
    <w:p w14:paraId="38BB6920"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development loop operates within the governance framework defined earlier in the specification. Certain stages of the loop may be subject to policy validation or approval workflows depending on organizational requirements.</w:t>
      </w:r>
    </w:p>
    <w:p w14:paraId="08BCC73F"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Governance mechanisms ensure that autonomous development activities remain compliant with security policies, regulatory requirements, and organizational standards.</w:t>
      </w:r>
    </w:p>
    <w:p w14:paraId="4D346E76"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integration ensures that the autonomy of the platform does not compromise accountability or compliance.</w:t>
      </w:r>
    </w:p>
    <w:p w14:paraId="6F7E9602" w14:textId="77777777" w:rsidR="005C5699" w:rsidRPr="008C5358" w:rsidRDefault="005C5699" w:rsidP="005C5699">
      <w:pPr>
        <w:pStyle w:val="Heading2"/>
        <w:spacing w:before="0" w:after="120"/>
        <w:rPr>
          <w:rFonts w:ascii="Arial" w:hAnsi="Arial" w:cs="Arial"/>
        </w:rPr>
      </w:pPr>
      <w:r w:rsidRPr="008C5358">
        <w:rPr>
          <w:rFonts w:ascii="Arial" w:hAnsi="Arial" w:cs="Arial"/>
        </w:rPr>
        <w:t>14.0 Evolution of the Development Loop</w:t>
      </w:r>
    </w:p>
    <w:p w14:paraId="664DAF34"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As the ALETHEIA platform evolves, additional stages may be incorporated into the development loop. These stages may include advanced architectural optimization, performance analysis, infrastructure orchestration, and operational monitoring.</w:t>
      </w:r>
    </w:p>
    <w:p w14:paraId="4D474E0F"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The development loop is therefore designed to be extensible while preserving the fundamental cycle of generation, validation, and repair that defines autonomous construction.</w:t>
      </w:r>
    </w:p>
    <w:p w14:paraId="438A6C11"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This flexibility allows the platform to adapt to emerging technologies and development practices.</w:t>
      </w:r>
    </w:p>
    <w:p w14:paraId="3060A11E" w14:textId="77777777" w:rsidR="005C5699" w:rsidRPr="008C5358" w:rsidRDefault="005C5699" w:rsidP="005C5699">
      <w:pPr>
        <w:pStyle w:val="Heading2"/>
        <w:spacing w:before="0" w:after="120"/>
        <w:rPr>
          <w:rFonts w:ascii="Arial" w:hAnsi="Arial" w:cs="Arial"/>
        </w:rPr>
      </w:pPr>
      <w:r w:rsidRPr="008C5358">
        <w:rPr>
          <w:rFonts w:ascii="Arial" w:hAnsi="Arial" w:cs="Arial"/>
        </w:rPr>
        <w:t>15.0 The Autonomous Cycle of Construction</w:t>
      </w:r>
    </w:p>
    <w:p w14:paraId="0611C6AE"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Within the architectural narrative of Project ALETHEIA, the Autonomous Development Loop represents the continuous rhythm of construction activity on the worksite. The blueprint guides the work, the planners organize the tasks, the workforce builds the structure, and inspectors verify that the work meets the design.</w:t>
      </w:r>
    </w:p>
    <w:p w14:paraId="72FFBF53"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Through repeated cycles of construction and inspection, the structure gradually takes form until it reflects the vision defined in the blueprint.</w:t>
      </w:r>
    </w:p>
    <w:p w14:paraId="585BC33E" w14:textId="77777777" w:rsidR="005C5699" w:rsidRPr="008C5358" w:rsidRDefault="005C5699" w:rsidP="005C5699">
      <w:pPr>
        <w:pStyle w:val="NormalWeb"/>
        <w:spacing w:before="0" w:beforeAutospacing="0" w:after="120" w:afterAutospacing="0"/>
        <w:rPr>
          <w:rFonts w:ascii="Arial" w:hAnsi="Arial" w:cs="Arial"/>
        </w:rPr>
      </w:pPr>
      <w:r w:rsidRPr="008C5358">
        <w:rPr>
          <w:rFonts w:ascii="Arial" w:hAnsi="Arial" w:cs="Arial"/>
        </w:rPr>
        <w:t>In the same way, the ALETHEIA platform uses the autonomous development loop to transform formal specifications into functioning software systems.</w:t>
      </w:r>
    </w:p>
    <w:p w14:paraId="535E1789" w14:textId="77777777" w:rsidR="005C5699" w:rsidRDefault="005C5699" w:rsidP="005C5699">
      <w:pPr>
        <w:pStyle w:val="NormalWeb"/>
        <w:spacing w:before="0" w:beforeAutospacing="0" w:after="120" w:afterAutospacing="0"/>
        <w:rPr>
          <w:rFonts w:ascii="Arial" w:hAnsi="Arial" w:cs="Arial"/>
        </w:rPr>
      </w:pPr>
    </w:p>
    <w:p w14:paraId="5BB9BFD4" w14:textId="77777777" w:rsidR="005C5699" w:rsidRDefault="005C5699" w:rsidP="005C5699">
      <w:pPr>
        <w:pStyle w:val="NormalWeb"/>
        <w:spacing w:before="0" w:beforeAutospacing="0" w:after="120" w:afterAutospacing="0"/>
        <w:rPr>
          <w:rFonts w:ascii="Arial" w:hAnsi="Arial" w:cs="Arial"/>
        </w:rPr>
      </w:pPr>
    </w:p>
    <w:p w14:paraId="000118C9" w14:textId="77777777" w:rsidR="005C5699" w:rsidRDefault="005C5699" w:rsidP="005C5699">
      <w:pPr>
        <w:pStyle w:val="NormalWeb"/>
        <w:spacing w:before="0" w:beforeAutospacing="0" w:after="120" w:afterAutospacing="0"/>
        <w:rPr>
          <w:rFonts w:ascii="Arial" w:hAnsi="Arial" w:cs="Arial"/>
        </w:rPr>
      </w:pPr>
    </w:p>
    <w:p w14:paraId="0E5BAE30"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99"/>
    <w:rsid w:val="00223A5B"/>
    <w:rsid w:val="005C5699"/>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B8C3D3"/>
  <w15:chartTrackingRefBased/>
  <w15:docId w15:val="{AA52A495-5F9E-DF42-B5A8-D60B0D46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5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5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99"/>
    <w:rPr>
      <w:rFonts w:eastAsiaTheme="majorEastAsia" w:cstheme="majorBidi"/>
      <w:color w:val="272727" w:themeColor="text1" w:themeTint="D8"/>
    </w:rPr>
  </w:style>
  <w:style w:type="paragraph" w:styleId="Title">
    <w:name w:val="Title"/>
    <w:basedOn w:val="Normal"/>
    <w:next w:val="Normal"/>
    <w:link w:val="TitleChar"/>
    <w:uiPriority w:val="10"/>
    <w:qFormat/>
    <w:rsid w:val="005C5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699"/>
    <w:pPr>
      <w:spacing w:before="160"/>
      <w:jc w:val="center"/>
    </w:pPr>
    <w:rPr>
      <w:i/>
      <w:iCs/>
      <w:color w:val="404040" w:themeColor="text1" w:themeTint="BF"/>
    </w:rPr>
  </w:style>
  <w:style w:type="character" w:customStyle="1" w:styleId="QuoteChar">
    <w:name w:val="Quote Char"/>
    <w:basedOn w:val="DefaultParagraphFont"/>
    <w:link w:val="Quote"/>
    <w:uiPriority w:val="29"/>
    <w:rsid w:val="005C5699"/>
    <w:rPr>
      <w:i/>
      <w:iCs/>
      <w:color w:val="404040" w:themeColor="text1" w:themeTint="BF"/>
    </w:rPr>
  </w:style>
  <w:style w:type="paragraph" w:styleId="ListParagraph">
    <w:name w:val="List Paragraph"/>
    <w:basedOn w:val="Normal"/>
    <w:uiPriority w:val="34"/>
    <w:qFormat/>
    <w:rsid w:val="005C5699"/>
    <w:pPr>
      <w:ind w:left="720"/>
      <w:contextualSpacing/>
    </w:pPr>
  </w:style>
  <w:style w:type="character" w:styleId="IntenseEmphasis">
    <w:name w:val="Intense Emphasis"/>
    <w:basedOn w:val="DefaultParagraphFont"/>
    <w:uiPriority w:val="21"/>
    <w:qFormat/>
    <w:rsid w:val="005C5699"/>
    <w:rPr>
      <w:i/>
      <w:iCs/>
      <w:color w:val="0F4761" w:themeColor="accent1" w:themeShade="BF"/>
    </w:rPr>
  </w:style>
  <w:style w:type="paragraph" w:styleId="IntenseQuote">
    <w:name w:val="Intense Quote"/>
    <w:basedOn w:val="Normal"/>
    <w:next w:val="Normal"/>
    <w:link w:val="IntenseQuoteChar"/>
    <w:uiPriority w:val="30"/>
    <w:qFormat/>
    <w:rsid w:val="005C5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699"/>
    <w:rPr>
      <w:i/>
      <w:iCs/>
      <w:color w:val="0F4761" w:themeColor="accent1" w:themeShade="BF"/>
    </w:rPr>
  </w:style>
  <w:style w:type="character" w:styleId="IntenseReference">
    <w:name w:val="Intense Reference"/>
    <w:basedOn w:val="DefaultParagraphFont"/>
    <w:uiPriority w:val="32"/>
    <w:qFormat/>
    <w:rsid w:val="005C5699"/>
    <w:rPr>
      <w:b/>
      <w:bCs/>
      <w:smallCaps/>
      <w:color w:val="0F4761" w:themeColor="accent1" w:themeShade="BF"/>
      <w:spacing w:val="5"/>
    </w:rPr>
  </w:style>
  <w:style w:type="paragraph" w:styleId="NormalWeb">
    <w:name w:val="Normal (Web)"/>
    <w:basedOn w:val="Normal"/>
    <w:uiPriority w:val="99"/>
    <w:semiHidden/>
    <w:unhideWhenUsed/>
    <w:rsid w:val="005C569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1313</Words>
  <Characters>7489</Characters>
  <Application>Microsoft Office Word</Application>
  <DocSecurity>0</DocSecurity>
  <Lines>62</Lines>
  <Paragraphs>17</Paragraphs>
  <ScaleCrop>false</ScaleCrop>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2026-03-18T20:03:00Z</dcterms:created>
  <dcterms:modified xsi:type="dcterms:W3CDTF">2026-03-18T20:03:00Z</dcterms:modified>
</cp:coreProperties>
</file>