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741FB" w14:textId="77777777" w:rsidR="002B694C" w:rsidRPr="003C0CC5" w:rsidRDefault="002B694C" w:rsidP="002B694C">
      <w:pPr>
        <w:pStyle w:val="Title"/>
        <w:rPr>
          <w:sz w:val="44"/>
          <w:szCs w:val="44"/>
        </w:rPr>
      </w:pPr>
      <w:r w:rsidRPr="003C0CC5">
        <w:rPr>
          <w:sz w:val="44"/>
          <w:szCs w:val="44"/>
        </w:rPr>
        <w:t>ALETHEIA Specification Language (ISL) v3.9</w:t>
      </w:r>
    </w:p>
    <w:p w14:paraId="337B3CDC" w14:textId="77777777" w:rsidR="002B694C" w:rsidRPr="003C0CC5" w:rsidRDefault="002B694C" w:rsidP="002B694C">
      <w:pPr>
        <w:pStyle w:val="Heading1"/>
        <w:spacing w:before="0" w:after="120"/>
        <w:rPr>
          <w:rFonts w:ascii="Arial" w:hAnsi="Arial" w:cs="Arial"/>
        </w:rPr>
      </w:pPr>
      <w:r w:rsidRPr="003C0CC5">
        <w:rPr>
          <w:rFonts w:ascii="Arial" w:hAnsi="Arial" w:cs="Arial"/>
        </w:rPr>
        <w:t>ISL v3.9 The Tool Plugin Architecture</w:t>
      </w:r>
    </w:p>
    <w:p w14:paraId="19DA955F" w14:textId="77777777" w:rsidR="002B694C" w:rsidRPr="003C0CC5" w:rsidRDefault="002B694C" w:rsidP="002B694C">
      <w:pPr>
        <w:pStyle w:val="Heading2"/>
        <w:spacing w:before="0" w:after="120"/>
        <w:rPr>
          <w:rFonts w:ascii="Arial" w:hAnsi="Arial" w:cs="Arial"/>
        </w:rPr>
      </w:pPr>
      <w:r w:rsidRPr="003C0CC5">
        <w:rPr>
          <w:rFonts w:ascii="Arial" w:hAnsi="Arial" w:cs="Arial"/>
        </w:rPr>
        <w:t>1.0 Purpose of the Tool Plugin Architecture</w:t>
      </w:r>
    </w:p>
    <w:p w14:paraId="71A121FE"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The Tool Plugin Architecture defines how the ALETHEIA platform integrates deterministic engineering tools into the autonomous construction process. While reasoning agents perform interpretive and generative tasks, the reliability of software construction ultimately depends on deterministic validation provided by established development tools.</w:t>
      </w:r>
    </w:p>
    <w:p w14:paraId="4DA20E39"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These tools include compilers, testing frameworks, security scanners, infrastructure managers, package builders, and deployment systems. Integrating such tools into the autonomous construction workflow requires a structured architecture that allows them to be invoked, managed, and governed consistently.</w:t>
      </w:r>
    </w:p>
    <w:p w14:paraId="5D0891C6"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The purpose of the Tool Plugin Architecture is therefore to provide a standardized mechanism through which external tools can be connected to the platform while preserving security, traceability, and operational control.</w:t>
      </w:r>
    </w:p>
    <w:p w14:paraId="2CCD3671" w14:textId="77777777" w:rsidR="002B694C" w:rsidRPr="003C0CC5" w:rsidRDefault="002B694C" w:rsidP="002B694C">
      <w:pPr>
        <w:pStyle w:val="Heading2"/>
        <w:spacing w:before="0" w:after="120"/>
        <w:rPr>
          <w:rFonts w:ascii="Arial" w:hAnsi="Arial" w:cs="Arial"/>
        </w:rPr>
      </w:pPr>
      <w:r w:rsidRPr="003C0CC5">
        <w:rPr>
          <w:rFonts w:ascii="Arial" w:hAnsi="Arial" w:cs="Arial"/>
        </w:rPr>
        <w:t>2.0 Deterministic Tools in the ALETHEIA Platform</w:t>
      </w:r>
    </w:p>
    <w:p w14:paraId="57AE5AE6"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Deterministic tools represent a critical component of the ALETHEIA architecture. Unlike reasoning models, deterministic tools operate according to predictable rules and produce repeatable results. These characteristics make them essential for validating artifacts generated by reasoning agents.</w:t>
      </w:r>
    </w:p>
    <w:p w14:paraId="56E21F31"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Examples of deterministic tools used within the platform include compilers that verify source code correctness, testing frameworks that validate functional behavior, static analysis tools that detect code quality issues, and infrastructure tools that validate deployment configurations.</w:t>
      </w:r>
    </w:p>
    <w:p w14:paraId="3BD37B62"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The Tool Plugin Architecture ensures that these tools can participate in the autonomous development workflow without requiring custom integration for each individual tool.</w:t>
      </w:r>
    </w:p>
    <w:p w14:paraId="3B313D9C" w14:textId="77777777" w:rsidR="002B694C" w:rsidRPr="003C0CC5" w:rsidRDefault="002B694C" w:rsidP="002B694C">
      <w:pPr>
        <w:pStyle w:val="Heading2"/>
        <w:spacing w:before="0" w:after="120"/>
        <w:rPr>
          <w:rFonts w:ascii="Arial" w:hAnsi="Arial" w:cs="Arial"/>
        </w:rPr>
      </w:pPr>
      <w:r w:rsidRPr="003C0CC5">
        <w:rPr>
          <w:rFonts w:ascii="Arial" w:hAnsi="Arial" w:cs="Arial"/>
        </w:rPr>
        <w:t>3.0 Plugin-Based Integration Model</w:t>
      </w:r>
    </w:p>
    <w:p w14:paraId="6B156FCC"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To support extensibility and maintain architectural clarity, ALETHEIA integrates external tools using a plugin-based model. Each tool is connected to the platform through a plugin that implements a standardized interface defined by the platform.</w:t>
      </w:r>
    </w:p>
    <w:p w14:paraId="306ED50E"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The plugin acts as an adapter between the ALETHEIA runtime and the external tool. It translates requests generated by the runtime into commands understood by the tool and converts the results of tool execution into structured outputs that can be processed by the platform.</w:t>
      </w:r>
    </w:p>
    <w:p w14:paraId="26F03BF3"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This architecture allows new tools to be integrated simply by implementing additional plugins.</w:t>
      </w:r>
    </w:p>
    <w:p w14:paraId="6938A627" w14:textId="77777777" w:rsidR="002B694C" w:rsidRPr="003C0CC5" w:rsidRDefault="002B694C" w:rsidP="002B694C">
      <w:pPr>
        <w:pStyle w:val="Heading2"/>
        <w:spacing w:before="0" w:after="120"/>
        <w:rPr>
          <w:rFonts w:ascii="Arial" w:hAnsi="Arial" w:cs="Arial"/>
        </w:rPr>
      </w:pPr>
      <w:r w:rsidRPr="003C0CC5">
        <w:rPr>
          <w:rFonts w:ascii="Arial" w:hAnsi="Arial" w:cs="Arial"/>
        </w:rPr>
        <w:lastRenderedPageBreak/>
        <w:t>4.0 Tool Plugin Lifecycle</w:t>
      </w:r>
    </w:p>
    <w:p w14:paraId="3D4B0DF2"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Every tool plugin follows a defined lifecycle within the platform. The lifecycle begins with plugin registration, during which the plugin declares the capabilities of the tool it represents.</w:t>
      </w:r>
    </w:p>
    <w:p w14:paraId="0362C659"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Once registered, the plugin becomes available to the runtime orchestration system. When the execution runtime encounters a task that requires a specific capability, it selects the appropriate plugin and invokes it.</w:t>
      </w:r>
    </w:p>
    <w:p w14:paraId="7F5FF81B"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After execution, the plugin returns structured results describing the outcome of the tool operation. These results are then evaluated by the runtime to determine the next stage of the construction workflow.</w:t>
      </w:r>
    </w:p>
    <w:p w14:paraId="1FBE115B"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The plugin lifecycle ensures that tool interactions remain predictable and traceable.</w:t>
      </w:r>
    </w:p>
    <w:p w14:paraId="59AC991D" w14:textId="77777777" w:rsidR="002B694C" w:rsidRPr="003C0CC5" w:rsidRDefault="002B694C" w:rsidP="002B694C">
      <w:pPr>
        <w:pStyle w:val="Heading2"/>
        <w:spacing w:before="0" w:after="120"/>
        <w:rPr>
          <w:rFonts w:ascii="Arial" w:hAnsi="Arial" w:cs="Arial"/>
        </w:rPr>
      </w:pPr>
      <w:r w:rsidRPr="003C0CC5">
        <w:rPr>
          <w:rFonts w:ascii="Arial" w:hAnsi="Arial" w:cs="Arial"/>
        </w:rPr>
        <w:t>5.0 Tool Capability Declaration</w:t>
      </w:r>
    </w:p>
    <w:p w14:paraId="4D7ACB32"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When a plugin is registered with the platform, it must declare the capabilities of the tool it represents. These capabilities describe the types of operations the tool can perform and the contexts in which it can be used.</w:t>
      </w:r>
    </w:p>
    <w:p w14:paraId="7AD218F3"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Examples of tool capabilities may include compiling source code, executing automated tests, performing security analysis, validating configuration files, packaging artifacts, or deploying services.</w:t>
      </w:r>
    </w:p>
    <w:p w14:paraId="69140FAC"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By declaring capabilities explicitly, the platform can select appropriate tools during task execution without requiring hardcoded knowledge of individual tool implementations.</w:t>
      </w:r>
    </w:p>
    <w:p w14:paraId="41AA1AD1" w14:textId="77777777" w:rsidR="002B694C" w:rsidRPr="003C0CC5" w:rsidRDefault="002B694C" w:rsidP="002B694C">
      <w:pPr>
        <w:pStyle w:val="Heading2"/>
        <w:spacing w:before="0" w:after="120"/>
        <w:rPr>
          <w:rFonts w:ascii="Arial" w:hAnsi="Arial" w:cs="Arial"/>
        </w:rPr>
      </w:pPr>
      <w:r w:rsidRPr="003C0CC5">
        <w:rPr>
          <w:rFonts w:ascii="Arial" w:hAnsi="Arial" w:cs="Arial"/>
        </w:rPr>
        <w:t>6.0 Tool Invocation Interface</w:t>
      </w:r>
    </w:p>
    <w:p w14:paraId="35D39BE4"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The Tool Plugin Architecture defines a standardized invocation interface that allows the runtime orchestration system to execute tools through their plugins.</w:t>
      </w:r>
    </w:p>
    <w:p w14:paraId="12105D1C"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When the runtime invokes a tool plugin, it provides structured input describing the task to be performed. This input may include artifact paths, configuration parameters, validation targets, or execution options.</w:t>
      </w:r>
    </w:p>
    <w:p w14:paraId="18D0C880"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The plugin executes the requested operation using the underlying tool and returns structured results describing the outcome. These results may include success indicators, error messages, validation findings, and execution metadata.</w:t>
      </w:r>
    </w:p>
    <w:p w14:paraId="1CA89B5D"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The standardized invocation interface ensures consistent communication between the runtime and external tools.</w:t>
      </w:r>
    </w:p>
    <w:p w14:paraId="0B5CEF7E" w14:textId="77777777" w:rsidR="002B694C" w:rsidRPr="003C0CC5" w:rsidRDefault="002B694C" w:rsidP="002B694C">
      <w:pPr>
        <w:pStyle w:val="Heading2"/>
        <w:spacing w:before="0" w:after="120"/>
        <w:rPr>
          <w:rFonts w:ascii="Arial" w:hAnsi="Arial" w:cs="Arial"/>
        </w:rPr>
      </w:pPr>
      <w:r w:rsidRPr="003C0CC5">
        <w:rPr>
          <w:rFonts w:ascii="Arial" w:hAnsi="Arial" w:cs="Arial"/>
        </w:rPr>
        <w:t>7.0 Tool Output Structure</w:t>
      </w:r>
    </w:p>
    <w:p w14:paraId="075C6ACD"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Results produced by tool plugins must conform to structured output formats defined by the platform. These outputs may include validation results, compilation errors, test reports, security findings, or deployment status information.</w:t>
      </w:r>
    </w:p>
    <w:p w14:paraId="7F79EC85"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lastRenderedPageBreak/>
        <w:t>The platform interprets these outputs as part of the deterministic validation process. Depending on the results, the runtime may advance the construction workflow, trigger repair cycles, or invoke additional validation steps.</w:t>
      </w:r>
    </w:p>
    <w:p w14:paraId="0373B769"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Structured outputs allow deterministic tool results to be integrated seamlessly into the autonomous development loop.</w:t>
      </w:r>
    </w:p>
    <w:p w14:paraId="094FEBD3" w14:textId="77777777" w:rsidR="002B694C" w:rsidRPr="003C0CC5" w:rsidRDefault="002B694C" w:rsidP="002B694C">
      <w:pPr>
        <w:pStyle w:val="Heading2"/>
        <w:spacing w:before="0" w:after="120"/>
        <w:rPr>
          <w:rFonts w:ascii="Arial" w:hAnsi="Arial" w:cs="Arial"/>
        </w:rPr>
      </w:pPr>
      <w:r w:rsidRPr="003C0CC5">
        <w:rPr>
          <w:rFonts w:ascii="Arial" w:hAnsi="Arial" w:cs="Arial"/>
        </w:rPr>
        <w:t>8.0 Tool Discovery and Registration</w:t>
      </w:r>
    </w:p>
    <w:p w14:paraId="5A16A55D"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Tool plugins are discovered and registered with the platform during initialization of the runtime environment. The platform may scan predefined plugin directories, configuration files, or service registries to identify available plugins.</w:t>
      </w:r>
    </w:p>
    <w:p w14:paraId="31D2C4F7"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Once discovered, each plugin registers itself with the runtime by declaring its capabilities and operational requirements. This registration process allows the platform to build a catalog of available tools that can be used during task execution.</w:t>
      </w:r>
    </w:p>
    <w:p w14:paraId="7DDB0BF2"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Tool discovery ensures that the platform remains flexible and adaptable to different development environments.</w:t>
      </w:r>
    </w:p>
    <w:p w14:paraId="57664969" w14:textId="77777777" w:rsidR="002B694C" w:rsidRPr="003C0CC5" w:rsidRDefault="002B694C" w:rsidP="002B694C">
      <w:pPr>
        <w:pStyle w:val="Heading2"/>
        <w:spacing w:before="0" w:after="120"/>
        <w:rPr>
          <w:rFonts w:ascii="Arial" w:hAnsi="Arial" w:cs="Arial"/>
        </w:rPr>
      </w:pPr>
      <w:r w:rsidRPr="003C0CC5">
        <w:rPr>
          <w:rFonts w:ascii="Arial" w:hAnsi="Arial" w:cs="Arial"/>
        </w:rPr>
        <w:t>9.0 Security Boundaries for Tool Execution</w:t>
      </w:r>
    </w:p>
    <w:p w14:paraId="0A1B1CC9"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Because external tools may interact with system resources, the Tool Plugin Architecture must enforce security boundaries to protect the integrity of the platform environment.</w:t>
      </w:r>
    </w:p>
    <w:p w14:paraId="4D2C041D"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Plugins operate within controlled execution environments that limit their access to system resources. These controls may include file system restrictions, network access limitations, and sandboxed execution contexts.</w:t>
      </w:r>
    </w:p>
    <w:p w14:paraId="2CA6B61C"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Security boundaries ensure that tool integrations cannot compromise the stability or security of the ALETHEIA platform.</w:t>
      </w:r>
    </w:p>
    <w:p w14:paraId="12A52764" w14:textId="77777777" w:rsidR="002B694C" w:rsidRPr="003C0CC5" w:rsidRDefault="002B694C" w:rsidP="002B694C">
      <w:pPr>
        <w:pStyle w:val="Heading2"/>
        <w:spacing w:before="0" w:after="120"/>
        <w:rPr>
          <w:rFonts w:ascii="Arial" w:hAnsi="Arial" w:cs="Arial"/>
        </w:rPr>
      </w:pPr>
      <w:r w:rsidRPr="003C0CC5">
        <w:rPr>
          <w:rFonts w:ascii="Arial" w:hAnsi="Arial" w:cs="Arial"/>
        </w:rPr>
        <w:t>10.0 Tool Execution Isolation</w:t>
      </w:r>
    </w:p>
    <w:p w14:paraId="64E4EB49"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To further enhance reliability and security, tool plugins may execute tools within isolated runtime environments such as containers or restricted process environments.</w:t>
      </w:r>
    </w:p>
    <w:p w14:paraId="3D23460E"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Isolation ensures that tool failures or unexpected behavior do not affect other components of the platform. It also allows multiple tool versions to coexist within the same environment without conflict.</w:t>
      </w:r>
    </w:p>
    <w:p w14:paraId="0D436E91"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This isolation model is particularly important when integrating complex toolchains within enterprise environments.</w:t>
      </w:r>
    </w:p>
    <w:p w14:paraId="6EF55E3B" w14:textId="77777777" w:rsidR="002B694C" w:rsidRPr="003C0CC5" w:rsidRDefault="002B694C" w:rsidP="002B694C">
      <w:pPr>
        <w:pStyle w:val="Heading2"/>
        <w:spacing w:before="0" w:after="120"/>
        <w:rPr>
          <w:rFonts w:ascii="Arial" w:hAnsi="Arial" w:cs="Arial"/>
        </w:rPr>
      </w:pPr>
      <w:r w:rsidRPr="003C0CC5">
        <w:rPr>
          <w:rFonts w:ascii="Arial" w:hAnsi="Arial" w:cs="Arial"/>
        </w:rPr>
        <w:t>11.0 Traceability of Tool Activity</w:t>
      </w:r>
    </w:p>
    <w:p w14:paraId="562CE80E"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Every invocation of a tool plugin is recorded within the platform’s traceability system. The runtime records the task that triggered the tool invocation, the plugin used, the parameters provided, and the results produced by the tool.</w:t>
      </w:r>
    </w:p>
    <w:p w14:paraId="13CF4D36"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These records allow engineers and administrators to reconstruct the validation history of generated artifacts and understand how deterministic tools influenced the construction process.</w:t>
      </w:r>
    </w:p>
    <w:p w14:paraId="12D1C838"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lastRenderedPageBreak/>
        <w:t>Traceability ensures that tool activity remains transparent and auditable.</w:t>
      </w:r>
    </w:p>
    <w:p w14:paraId="14FAB748" w14:textId="77777777" w:rsidR="002B694C" w:rsidRPr="003C0CC5" w:rsidRDefault="002B694C" w:rsidP="002B694C">
      <w:pPr>
        <w:pStyle w:val="Heading2"/>
        <w:spacing w:before="0" w:after="120"/>
        <w:rPr>
          <w:rFonts w:ascii="Arial" w:hAnsi="Arial" w:cs="Arial"/>
        </w:rPr>
      </w:pPr>
      <w:r w:rsidRPr="003C0CC5">
        <w:rPr>
          <w:rFonts w:ascii="Arial" w:hAnsi="Arial" w:cs="Arial"/>
        </w:rPr>
        <w:t>12.0 Observability of Tool Performance</w:t>
      </w:r>
    </w:p>
    <w:p w14:paraId="7155FBB4"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The Tool Plugin Architecture integrates with the observability framework defined earlier in the specification. Telemetry describing tool execution duration, resource consumption, success rates, and failure patterns is collected during runtime.</w:t>
      </w:r>
    </w:p>
    <w:p w14:paraId="0AA60B3A"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This telemetry provides valuable insight into the performance and reliability of integrated tools and may guide optimization of the construction workflow.</w:t>
      </w:r>
    </w:p>
    <w:p w14:paraId="1F0953AA"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Observability also helps administrators identify misconfigured tools or inefficient validation processes.</w:t>
      </w:r>
    </w:p>
    <w:p w14:paraId="43DB5EF3" w14:textId="77777777" w:rsidR="002B694C" w:rsidRPr="003C0CC5" w:rsidRDefault="002B694C" w:rsidP="002B694C">
      <w:pPr>
        <w:pStyle w:val="Heading2"/>
        <w:spacing w:before="0" w:after="120"/>
        <w:rPr>
          <w:rFonts w:ascii="Arial" w:hAnsi="Arial" w:cs="Arial"/>
        </w:rPr>
      </w:pPr>
      <w:r w:rsidRPr="003C0CC5">
        <w:rPr>
          <w:rFonts w:ascii="Arial" w:hAnsi="Arial" w:cs="Arial"/>
        </w:rPr>
        <w:t>13.0 Extensibility of the Tool Ecosystem</w:t>
      </w:r>
    </w:p>
    <w:p w14:paraId="51D660F9"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One of the primary advantages of the plugin architecture is its extensibility. As new engineering tools become available, they can be integrated into the platform by developing corresponding plugins.</w:t>
      </w:r>
    </w:p>
    <w:p w14:paraId="2853225A"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This capability allows the ALETHEIA platform to evolve alongside the broader software engineering ecosystem. Organizations may integrate their preferred development tools while maintaining compatibility with the platform architecture.</w:t>
      </w:r>
    </w:p>
    <w:p w14:paraId="18598DC5"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The extensibility of the tool ecosystem ensures that ALETHEIA remains adaptable to changing development practices.</w:t>
      </w:r>
    </w:p>
    <w:p w14:paraId="3EA08573" w14:textId="77777777" w:rsidR="002B694C" w:rsidRPr="003C0CC5" w:rsidRDefault="002B694C" w:rsidP="002B694C">
      <w:pPr>
        <w:pStyle w:val="Heading2"/>
        <w:spacing w:before="0" w:after="120"/>
        <w:rPr>
          <w:rFonts w:ascii="Arial" w:hAnsi="Arial" w:cs="Arial"/>
        </w:rPr>
      </w:pPr>
      <w:r w:rsidRPr="003C0CC5">
        <w:rPr>
          <w:rFonts w:ascii="Arial" w:hAnsi="Arial" w:cs="Arial"/>
        </w:rPr>
        <w:t>14.0 Governance of Tool Usage</w:t>
      </w:r>
    </w:p>
    <w:p w14:paraId="2F2C602D"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The governance framework defined elsewhere in the specification also applies to tool execution. Policies may restrict the use of certain tools, require approval for specific operations, or enforce compliance checks before artifacts are accepted.</w:t>
      </w:r>
    </w:p>
    <w:p w14:paraId="54725831"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The Tool Plugin Architecture integrates with the governance system to ensure that tool execution remains aligned with organizational policies.</w:t>
      </w:r>
    </w:p>
    <w:p w14:paraId="41AE3255"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This integration ensures that autonomous construction activities remain accountable and compliant.</w:t>
      </w:r>
    </w:p>
    <w:p w14:paraId="52CDBB3F" w14:textId="77777777" w:rsidR="002B694C" w:rsidRPr="003C0CC5" w:rsidRDefault="002B694C" w:rsidP="002B694C">
      <w:pPr>
        <w:pStyle w:val="Heading2"/>
        <w:spacing w:before="0" w:after="120"/>
        <w:rPr>
          <w:rFonts w:ascii="Arial" w:hAnsi="Arial" w:cs="Arial"/>
        </w:rPr>
      </w:pPr>
      <w:r w:rsidRPr="003C0CC5">
        <w:rPr>
          <w:rFonts w:ascii="Arial" w:hAnsi="Arial" w:cs="Arial"/>
        </w:rPr>
        <w:t>15.0 The Tool Layer as the Engineering Workshop</w:t>
      </w:r>
    </w:p>
    <w:p w14:paraId="39954DF5"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Within the architectural narrative of Project ALETHEIA, the Tool Plugin Architecture represents the engineering workshop in which specialized instruments are used to shape, measure, and validate the materials of construction. While the reasoning agents interpret the blueprint and guide the work, the tools provide the precise instruments required to verify that the structure meets its design.</w:t>
      </w:r>
    </w:p>
    <w:p w14:paraId="2FDC8353"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Through the plugin architecture, these tools become an integrated part of the autonomous construction system.</w:t>
      </w:r>
    </w:p>
    <w:p w14:paraId="39A6E065" w14:textId="77777777" w:rsidR="002B694C" w:rsidRPr="003C0CC5" w:rsidRDefault="002B694C" w:rsidP="002B694C">
      <w:pPr>
        <w:pStyle w:val="NormalWeb"/>
        <w:spacing w:before="0" w:beforeAutospacing="0" w:after="120" w:afterAutospacing="0"/>
        <w:rPr>
          <w:rFonts w:ascii="Arial" w:hAnsi="Arial" w:cs="Arial"/>
        </w:rPr>
      </w:pPr>
      <w:r w:rsidRPr="003C0CC5">
        <w:rPr>
          <w:rFonts w:ascii="Arial" w:hAnsi="Arial" w:cs="Arial"/>
        </w:rPr>
        <w:t>By combining reasoning agents with deterministic engineering tools, the ALETHEIA platform achieves both creative generation and reliable validation within a unified architecture.</w:t>
      </w:r>
    </w:p>
    <w:p w14:paraId="3E9676E8"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94C"/>
    <w:rsid w:val="00223A5B"/>
    <w:rsid w:val="002B694C"/>
    <w:rsid w:val="005F714F"/>
    <w:rsid w:val="006A7C31"/>
    <w:rsid w:val="006F4208"/>
    <w:rsid w:val="00984106"/>
    <w:rsid w:val="00997A3E"/>
    <w:rsid w:val="00C2250B"/>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0D07F07"/>
  <w15:chartTrackingRefBased/>
  <w15:docId w15:val="{45EB85AB-E6DD-8346-A395-BD58840D0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69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69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69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69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69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69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9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9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9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9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69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69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69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9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9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9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9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94C"/>
    <w:rPr>
      <w:rFonts w:eastAsiaTheme="majorEastAsia" w:cstheme="majorBidi"/>
      <w:color w:val="272727" w:themeColor="text1" w:themeTint="D8"/>
    </w:rPr>
  </w:style>
  <w:style w:type="paragraph" w:styleId="Title">
    <w:name w:val="Title"/>
    <w:basedOn w:val="Normal"/>
    <w:next w:val="Normal"/>
    <w:link w:val="TitleChar"/>
    <w:uiPriority w:val="10"/>
    <w:qFormat/>
    <w:rsid w:val="002B69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9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9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9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94C"/>
    <w:pPr>
      <w:spacing w:before="160"/>
      <w:jc w:val="center"/>
    </w:pPr>
    <w:rPr>
      <w:i/>
      <w:iCs/>
      <w:color w:val="404040" w:themeColor="text1" w:themeTint="BF"/>
    </w:rPr>
  </w:style>
  <w:style w:type="character" w:customStyle="1" w:styleId="QuoteChar">
    <w:name w:val="Quote Char"/>
    <w:basedOn w:val="DefaultParagraphFont"/>
    <w:link w:val="Quote"/>
    <w:uiPriority w:val="29"/>
    <w:rsid w:val="002B694C"/>
    <w:rPr>
      <w:i/>
      <w:iCs/>
      <w:color w:val="404040" w:themeColor="text1" w:themeTint="BF"/>
    </w:rPr>
  </w:style>
  <w:style w:type="paragraph" w:styleId="ListParagraph">
    <w:name w:val="List Paragraph"/>
    <w:basedOn w:val="Normal"/>
    <w:uiPriority w:val="34"/>
    <w:qFormat/>
    <w:rsid w:val="002B694C"/>
    <w:pPr>
      <w:ind w:left="720"/>
      <w:contextualSpacing/>
    </w:pPr>
  </w:style>
  <w:style w:type="character" w:styleId="IntenseEmphasis">
    <w:name w:val="Intense Emphasis"/>
    <w:basedOn w:val="DefaultParagraphFont"/>
    <w:uiPriority w:val="21"/>
    <w:qFormat/>
    <w:rsid w:val="002B694C"/>
    <w:rPr>
      <w:i/>
      <w:iCs/>
      <w:color w:val="0F4761" w:themeColor="accent1" w:themeShade="BF"/>
    </w:rPr>
  </w:style>
  <w:style w:type="paragraph" w:styleId="IntenseQuote">
    <w:name w:val="Intense Quote"/>
    <w:basedOn w:val="Normal"/>
    <w:next w:val="Normal"/>
    <w:link w:val="IntenseQuoteChar"/>
    <w:uiPriority w:val="30"/>
    <w:qFormat/>
    <w:rsid w:val="002B69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694C"/>
    <w:rPr>
      <w:i/>
      <w:iCs/>
      <w:color w:val="0F4761" w:themeColor="accent1" w:themeShade="BF"/>
    </w:rPr>
  </w:style>
  <w:style w:type="character" w:styleId="IntenseReference">
    <w:name w:val="Intense Reference"/>
    <w:basedOn w:val="DefaultParagraphFont"/>
    <w:uiPriority w:val="32"/>
    <w:qFormat/>
    <w:rsid w:val="002B694C"/>
    <w:rPr>
      <w:b/>
      <w:bCs/>
      <w:smallCaps/>
      <w:color w:val="0F4761" w:themeColor="accent1" w:themeShade="BF"/>
      <w:spacing w:val="5"/>
    </w:rPr>
  </w:style>
  <w:style w:type="paragraph" w:styleId="NormalWeb">
    <w:name w:val="Normal (Web)"/>
    <w:basedOn w:val="Normal"/>
    <w:uiPriority w:val="99"/>
    <w:semiHidden/>
    <w:unhideWhenUsed/>
    <w:rsid w:val="002B694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1456</Words>
  <Characters>8300</Characters>
  <Application>Microsoft Office Word</Application>
  <DocSecurity>0</DocSecurity>
  <Lines>69</Lines>
  <Paragraphs>19</Paragraphs>
  <ScaleCrop>false</ScaleCrop>
  <Company/>
  <LinksUpToDate>false</LinksUpToDate>
  <CharactersWithSpaces>9737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2026-03-18T20:07:00Z</dcterms:created>
  <dcterms:modified xsi:type="dcterms:W3CDTF">2026-03-18T20:07:00Z</dcterms:modified>
</cp:coreProperties>
</file>