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DF5C3C" w14:textId="3B68D86A" w:rsidR="00FC66CD" w:rsidRPr="00FA37D7" w:rsidRDefault="001865FA" w:rsidP="000F0D00">
      <w:pPr>
        <w:pStyle w:val="ISO20022Heading"/>
      </w:pPr>
      <w:r>
        <w:t>ISO 20022</w:t>
      </w:r>
    </w:p>
    <w:p w14:paraId="05DF5C3D" w14:textId="30572BA9" w:rsidR="00FC66CD" w:rsidRPr="00FA37D7" w:rsidRDefault="00755342" w:rsidP="005A6353">
      <w:pPr>
        <w:pStyle w:val="ProductName"/>
      </w:pPr>
      <w:r w:rsidRPr="00755342">
        <w:t>CSDR Buy In Reporting</w:t>
      </w:r>
      <w:bookmarkStart w:id="0" w:name="_GoBack"/>
      <w:bookmarkEnd w:id="0"/>
    </w:p>
    <w:p w14:paraId="05DF5C3F" w14:textId="6086C76D" w:rsidR="00FC66CD" w:rsidRPr="00FA37D7" w:rsidRDefault="00FC66CD" w:rsidP="005A6353">
      <w:pPr>
        <w:pStyle w:val="Productvariant"/>
      </w:pPr>
    </w:p>
    <w:p w14:paraId="34362B97" w14:textId="77777777" w:rsidR="001865FA" w:rsidRDefault="001865FA" w:rsidP="001865FA">
      <w:pPr>
        <w:pStyle w:val="DocumentTitle"/>
      </w:pPr>
      <w:r w:rsidRPr="00516F3F">
        <w:t>Message Definition Report Part 1</w:t>
      </w:r>
    </w:p>
    <w:p w14:paraId="6A711505" w14:textId="77777777" w:rsidR="006F7972" w:rsidRDefault="006F7972" w:rsidP="001865FA">
      <w:pPr>
        <w:pStyle w:val="Titlepagetext"/>
      </w:pPr>
    </w:p>
    <w:p w14:paraId="4CDDAE4B" w14:textId="64E7BDE8" w:rsidR="001865FA" w:rsidRPr="00516F3F" w:rsidRDefault="001865FA" w:rsidP="001865FA">
      <w:pPr>
        <w:pStyle w:val="Titlepagetext"/>
      </w:pPr>
      <w:r w:rsidRPr="00516F3F">
        <w:t xml:space="preserve">This document provides information about the use of the messages for </w:t>
      </w:r>
      <w:r w:rsidR="00B57D0B">
        <w:t>buy-in</w:t>
      </w:r>
      <w:r w:rsidR="006F7972">
        <w:t xml:space="preserve"> regulatory reporting</w:t>
      </w:r>
      <w:r w:rsidRPr="00516F3F">
        <w:t xml:space="preserve"> and includes, for example, business scenarios and messages flows.</w:t>
      </w:r>
    </w:p>
    <w:p w14:paraId="05DF5C44" w14:textId="5470D58D" w:rsidR="00903BF6" w:rsidRPr="00FA37D7" w:rsidRDefault="003723D1" w:rsidP="005A6353">
      <w:pPr>
        <w:pStyle w:val="Releasedate"/>
      </w:pPr>
      <w:r>
        <w:t>November</w:t>
      </w:r>
      <w:r w:rsidR="001C20B2">
        <w:t xml:space="preserve"> </w:t>
      </w:r>
      <w:r w:rsidR="00BB3D52">
        <w:t>20</w:t>
      </w:r>
      <w:r w:rsidR="001C20B2">
        <w:t>20</w:t>
      </w:r>
    </w:p>
    <w:p w14:paraId="05DF5C45" w14:textId="77777777" w:rsidR="00FC66CD" w:rsidRPr="00FA37D7" w:rsidRDefault="00FC66CD" w:rsidP="005A6353">
      <w:pPr>
        <w:rPr>
          <w:snapToGrid w:val="0"/>
        </w:rPr>
        <w:sectPr w:rsidR="00FC66CD" w:rsidRPr="00FA37D7" w:rsidSect="006E0076">
          <w:headerReference w:type="even" r:id="rId14"/>
          <w:headerReference w:type="default" r:id="rId15"/>
          <w:footerReference w:type="even" r:id="rId16"/>
          <w:footerReference w:type="default" r:id="rId17"/>
          <w:headerReference w:type="first" r:id="rId18"/>
          <w:footerReference w:type="first" r:id="rId19"/>
          <w:type w:val="oddPage"/>
          <w:pgSz w:w="11909" w:h="15840" w:code="9"/>
          <w:pgMar w:top="1021" w:right="1304" w:bottom="1701" w:left="1304" w:header="567" w:footer="567" w:gutter="0"/>
          <w:cols w:space="720"/>
          <w:titlePg/>
        </w:sectPr>
      </w:pPr>
    </w:p>
    <w:p w14:paraId="05DF5C46" w14:textId="77777777" w:rsidR="00FC66CD" w:rsidRPr="00FA37D7" w:rsidRDefault="00FC66CD" w:rsidP="00A8050C">
      <w:pPr>
        <w:pStyle w:val="IntroHeading"/>
      </w:pPr>
      <w:bookmarkStart w:id="1" w:name="_Toc314668488"/>
      <w:bookmarkStart w:id="2" w:name="_Toc315438490"/>
      <w:bookmarkStart w:id="3" w:name="_Toc45097620"/>
      <w:r w:rsidRPr="00FA37D7">
        <w:lastRenderedPageBreak/>
        <w:t>Table of Contents</w:t>
      </w:r>
      <w:bookmarkEnd w:id="1"/>
      <w:bookmarkEnd w:id="2"/>
      <w:bookmarkEnd w:id="3"/>
    </w:p>
    <w:p w14:paraId="2D253984" w14:textId="797FEA34" w:rsidR="006547FE" w:rsidRDefault="00F45CD3">
      <w:pPr>
        <w:pStyle w:val="TOC1"/>
        <w:rPr>
          <w:rFonts w:asciiTheme="minorHAnsi" w:eastAsiaTheme="minorEastAsia" w:hAnsiTheme="minorHAnsi" w:cstheme="minorBidi"/>
          <w:b w:val="0"/>
          <w:sz w:val="22"/>
          <w:szCs w:val="22"/>
          <w:lang w:eastAsia="en-GB"/>
        </w:rPr>
      </w:pPr>
      <w:r w:rsidRPr="00FA37D7">
        <w:rPr>
          <w:b w:val="0"/>
        </w:rPr>
        <w:fldChar w:fldCharType="begin"/>
      </w:r>
      <w:r w:rsidRPr="00FA37D7">
        <w:rPr>
          <w:b w:val="0"/>
        </w:rPr>
        <w:instrText xml:space="preserve"> TOC \o "1-2" \h \z \u </w:instrText>
      </w:r>
      <w:r w:rsidRPr="00FA37D7">
        <w:rPr>
          <w:b w:val="0"/>
        </w:rPr>
        <w:fldChar w:fldCharType="separate"/>
      </w:r>
      <w:hyperlink w:anchor="_Toc45097620" w:history="1">
        <w:r w:rsidR="006547FE" w:rsidRPr="00C21503">
          <w:rPr>
            <w:rStyle w:val="Hyperlink"/>
          </w:rPr>
          <w:t>Table of Contents</w:t>
        </w:r>
        <w:r w:rsidR="006547FE">
          <w:rPr>
            <w:webHidden/>
          </w:rPr>
          <w:tab/>
        </w:r>
        <w:r w:rsidR="006547FE">
          <w:rPr>
            <w:webHidden/>
          </w:rPr>
          <w:fldChar w:fldCharType="begin"/>
        </w:r>
        <w:r w:rsidR="006547FE">
          <w:rPr>
            <w:webHidden/>
          </w:rPr>
          <w:instrText xml:space="preserve"> PAGEREF _Toc45097620 \h </w:instrText>
        </w:r>
        <w:r w:rsidR="006547FE">
          <w:rPr>
            <w:webHidden/>
          </w:rPr>
        </w:r>
        <w:r w:rsidR="006547FE">
          <w:rPr>
            <w:webHidden/>
          </w:rPr>
          <w:fldChar w:fldCharType="separate"/>
        </w:r>
        <w:r w:rsidR="006547FE">
          <w:rPr>
            <w:webHidden/>
          </w:rPr>
          <w:t>2</w:t>
        </w:r>
        <w:r w:rsidR="006547FE">
          <w:rPr>
            <w:webHidden/>
          </w:rPr>
          <w:fldChar w:fldCharType="end"/>
        </w:r>
      </w:hyperlink>
    </w:p>
    <w:p w14:paraId="081C3F58" w14:textId="2BE4BF89" w:rsidR="006547FE" w:rsidRDefault="00755342">
      <w:pPr>
        <w:pStyle w:val="TOC1"/>
        <w:rPr>
          <w:rFonts w:asciiTheme="minorHAnsi" w:eastAsiaTheme="minorEastAsia" w:hAnsiTheme="minorHAnsi" w:cstheme="minorBidi"/>
          <w:b w:val="0"/>
          <w:sz w:val="22"/>
          <w:szCs w:val="22"/>
          <w:lang w:eastAsia="en-GB"/>
        </w:rPr>
      </w:pPr>
      <w:hyperlink w:anchor="_Toc45097621" w:history="1">
        <w:r w:rsidR="006547FE" w:rsidRPr="00C21503">
          <w:rPr>
            <w:rStyle w:val="Hyperlink"/>
          </w:rPr>
          <w:t>1</w:t>
        </w:r>
        <w:r w:rsidR="006547FE">
          <w:rPr>
            <w:rFonts w:asciiTheme="minorHAnsi" w:eastAsiaTheme="minorEastAsia" w:hAnsiTheme="minorHAnsi" w:cstheme="minorBidi"/>
            <w:b w:val="0"/>
            <w:sz w:val="22"/>
            <w:szCs w:val="22"/>
            <w:lang w:eastAsia="en-GB"/>
          </w:rPr>
          <w:tab/>
        </w:r>
        <w:r w:rsidR="006547FE" w:rsidRPr="00C21503">
          <w:rPr>
            <w:rStyle w:val="Hyperlink"/>
          </w:rPr>
          <w:t>Introduction</w:t>
        </w:r>
        <w:r w:rsidR="006547FE">
          <w:rPr>
            <w:webHidden/>
          </w:rPr>
          <w:tab/>
        </w:r>
        <w:r w:rsidR="006547FE">
          <w:rPr>
            <w:webHidden/>
          </w:rPr>
          <w:fldChar w:fldCharType="begin"/>
        </w:r>
        <w:r w:rsidR="006547FE">
          <w:rPr>
            <w:webHidden/>
          </w:rPr>
          <w:instrText xml:space="preserve"> PAGEREF _Toc45097621 \h </w:instrText>
        </w:r>
        <w:r w:rsidR="006547FE">
          <w:rPr>
            <w:webHidden/>
          </w:rPr>
        </w:r>
        <w:r w:rsidR="006547FE">
          <w:rPr>
            <w:webHidden/>
          </w:rPr>
          <w:fldChar w:fldCharType="separate"/>
        </w:r>
        <w:r w:rsidR="006547FE">
          <w:rPr>
            <w:webHidden/>
          </w:rPr>
          <w:t>3</w:t>
        </w:r>
        <w:r w:rsidR="006547FE">
          <w:rPr>
            <w:webHidden/>
          </w:rPr>
          <w:fldChar w:fldCharType="end"/>
        </w:r>
      </w:hyperlink>
    </w:p>
    <w:p w14:paraId="3EB6C3E6" w14:textId="23426507" w:rsidR="006547FE" w:rsidRDefault="00755342">
      <w:pPr>
        <w:pStyle w:val="TOC2"/>
        <w:rPr>
          <w:rFonts w:asciiTheme="minorHAnsi" w:eastAsiaTheme="minorEastAsia" w:hAnsiTheme="minorHAnsi" w:cstheme="minorBidi"/>
          <w:snapToGrid/>
          <w:sz w:val="22"/>
          <w:szCs w:val="22"/>
          <w:lang w:eastAsia="en-GB"/>
        </w:rPr>
      </w:pPr>
      <w:hyperlink w:anchor="_Toc45097622" w:history="1">
        <w:r w:rsidR="006547FE" w:rsidRPr="00C21503">
          <w:rPr>
            <w:rStyle w:val="Hyperlink"/>
          </w:rPr>
          <w:t>1.1</w:t>
        </w:r>
        <w:r w:rsidR="006547FE">
          <w:rPr>
            <w:rFonts w:asciiTheme="minorHAnsi" w:eastAsiaTheme="minorEastAsia" w:hAnsiTheme="minorHAnsi" w:cstheme="minorBidi"/>
            <w:snapToGrid/>
            <w:sz w:val="22"/>
            <w:szCs w:val="22"/>
            <w:lang w:eastAsia="en-GB"/>
          </w:rPr>
          <w:tab/>
        </w:r>
        <w:r w:rsidR="006547FE" w:rsidRPr="00C21503">
          <w:rPr>
            <w:rStyle w:val="Hyperlink"/>
          </w:rPr>
          <w:t>Terms and Definitions</w:t>
        </w:r>
        <w:r w:rsidR="006547FE">
          <w:rPr>
            <w:webHidden/>
          </w:rPr>
          <w:tab/>
        </w:r>
        <w:r w:rsidR="006547FE">
          <w:rPr>
            <w:webHidden/>
          </w:rPr>
          <w:fldChar w:fldCharType="begin"/>
        </w:r>
        <w:r w:rsidR="006547FE">
          <w:rPr>
            <w:webHidden/>
          </w:rPr>
          <w:instrText xml:space="preserve"> PAGEREF _Toc45097622 \h </w:instrText>
        </w:r>
        <w:r w:rsidR="006547FE">
          <w:rPr>
            <w:webHidden/>
          </w:rPr>
        </w:r>
        <w:r w:rsidR="006547FE">
          <w:rPr>
            <w:webHidden/>
          </w:rPr>
          <w:fldChar w:fldCharType="separate"/>
        </w:r>
        <w:r w:rsidR="006547FE">
          <w:rPr>
            <w:webHidden/>
          </w:rPr>
          <w:t>3</w:t>
        </w:r>
        <w:r w:rsidR="006547FE">
          <w:rPr>
            <w:webHidden/>
          </w:rPr>
          <w:fldChar w:fldCharType="end"/>
        </w:r>
      </w:hyperlink>
    </w:p>
    <w:p w14:paraId="0486197D" w14:textId="32D505B2" w:rsidR="006547FE" w:rsidRDefault="00755342">
      <w:pPr>
        <w:pStyle w:val="TOC2"/>
        <w:rPr>
          <w:rFonts w:asciiTheme="minorHAnsi" w:eastAsiaTheme="minorEastAsia" w:hAnsiTheme="minorHAnsi" w:cstheme="minorBidi"/>
          <w:snapToGrid/>
          <w:sz w:val="22"/>
          <w:szCs w:val="22"/>
          <w:lang w:eastAsia="en-GB"/>
        </w:rPr>
      </w:pPr>
      <w:hyperlink w:anchor="_Toc45097623" w:history="1">
        <w:r w:rsidR="006547FE" w:rsidRPr="00C21503">
          <w:rPr>
            <w:rStyle w:val="Hyperlink"/>
          </w:rPr>
          <w:t>1.2</w:t>
        </w:r>
        <w:r w:rsidR="006547FE">
          <w:rPr>
            <w:rFonts w:asciiTheme="minorHAnsi" w:eastAsiaTheme="minorEastAsia" w:hAnsiTheme="minorHAnsi" w:cstheme="minorBidi"/>
            <w:snapToGrid/>
            <w:sz w:val="22"/>
            <w:szCs w:val="22"/>
            <w:lang w:eastAsia="en-GB"/>
          </w:rPr>
          <w:tab/>
        </w:r>
        <w:r w:rsidR="006547FE" w:rsidRPr="00C21503">
          <w:rPr>
            <w:rStyle w:val="Hyperlink"/>
          </w:rPr>
          <w:t>Abbreviations and Acronyms</w:t>
        </w:r>
        <w:r w:rsidR="006547FE">
          <w:rPr>
            <w:webHidden/>
          </w:rPr>
          <w:tab/>
        </w:r>
        <w:r w:rsidR="006547FE">
          <w:rPr>
            <w:webHidden/>
          </w:rPr>
          <w:fldChar w:fldCharType="begin"/>
        </w:r>
        <w:r w:rsidR="006547FE">
          <w:rPr>
            <w:webHidden/>
          </w:rPr>
          <w:instrText xml:space="preserve"> PAGEREF _Toc45097623 \h </w:instrText>
        </w:r>
        <w:r w:rsidR="006547FE">
          <w:rPr>
            <w:webHidden/>
          </w:rPr>
        </w:r>
        <w:r w:rsidR="006547FE">
          <w:rPr>
            <w:webHidden/>
          </w:rPr>
          <w:fldChar w:fldCharType="separate"/>
        </w:r>
        <w:r w:rsidR="006547FE">
          <w:rPr>
            <w:webHidden/>
          </w:rPr>
          <w:t>3</w:t>
        </w:r>
        <w:r w:rsidR="006547FE">
          <w:rPr>
            <w:webHidden/>
          </w:rPr>
          <w:fldChar w:fldCharType="end"/>
        </w:r>
      </w:hyperlink>
    </w:p>
    <w:p w14:paraId="278C761A" w14:textId="3FA3E598" w:rsidR="006547FE" w:rsidRDefault="00755342">
      <w:pPr>
        <w:pStyle w:val="TOC2"/>
        <w:rPr>
          <w:rFonts w:asciiTheme="minorHAnsi" w:eastAsiaTheme="minorEastAsia" w:hAnsiTheme="minorHAnsi" w:cstheme="minorBidi"/>
          <w:snapToGrid/>
          <w:sz w:val="22"/>
          <w:szCs w:val="22"/>
          <w:lang w:eastAsia="en-GB"/>
        </w:rPr>
      </w:pPr>
      <w:hyperlink w:anchor="_Toc45097624" w:history="1">
        <w:r w:rsidR="006547FE" w:rsidRPr="00C21503">
          <w:rPr>
            <w:rStyle w:val="Hyperlink"/>
          </w:rPr>
          <w:t>1.3</w:t>
        </w:r>
        <w:r w:rsidR="006547FE">
          <w:rPr>
            <w:rFonts w:asciiTheme="minorHAnsi" w:eastAsiaTheme="minorEastAsia" w:hAnsiTheme="minorHAnsi" w:cstheme="minorBidi"/>
            <w:snapToGrid/>
            <w:sz w:val="22"/>
            <w:szCs w:val="22"/>
            <w:lang w:eastAsia="en-GB"/>
          </w:rPr>
          <w:tab/>
        </w:r>
        <w:r w:rsidR="006547FE" w:rsidRPr="00C21503">
          <w:rPr>
            <w:rStyle w:val="Hyperlink"/>
          </w:rPr>
          <w:t>Document Scope and Objectives</w:t>
        </w:r>
        <w:r w:rsidR="006547FE">
          <w:rPr>
            <w:webHidden/>
          </w:rPr>
          <w:tab/>
        </w:r>
        <w:r w:rsidR="006547FE">
          <w:rPr>
            <w:webHidden/>
          </w:rPr>
          <w:fldChar w:fldCharType="begin"/>
        </w:r>
        <w:r w:rsidR="006547FE">
          <w:rPr>
            <w:webHidden/>
          </w:rPr>
          <w:instrText xml:space="preserve"> PAGEREF _Toc45097624 \h </w:instrText>
        </w:r>
        <w:r w:rsidR="006547FE">
          <w:rPr>
            <w:webHidden/>
          </w:rPr>
        </w:r>
        <w:r w:rsidR="006547FE">
          <w:rPr>
            <w:webHidden/>
          </w:rPr>
          <w:fldChar w:fldCharType="separate"/>
        </w:r>
        <w:r w:rsidR="006547FE">
          <w:rPr>
            <w:webHidden/>
          </w:rPr>
          <w:t>4</w:t>
        </w:r>
        <w:r w:rsidR="006547FE">
          <w:rPr>
            <w:webHidden/>
          </w:rPr>
          <w:fldChar w:fldCharType="end"/>
        </w:r>
      </w:hyperlink>
    </w:p>
    <w:p w14:paraId="529B84EF" w14:textId="66968430" w:rsidR="006547FE" w:rsidRDefault="00755342">
      <w:pPr>
        <w:pStyle w:val="TOC2"/>
        <w:rPr>
          <w:rFonts w:asciiTheme="minorHAnsi" w:eastAsiaTheme="minorEastAsia" w:hAnsiTheme="minorHAnsi" w:cstheme="minorBidi"/>
          <w:snapToGrid/>
          <w:sz w:val="22"/>
          <w:szCs w:val="22"/>
          <w:lang w:eastAsia="en-GB"/>
        </w:rPr>
      </w:pPr>
      <w:hyperlink w:anchor="_Toc45097625" w:history="1">
        <w:r w:rsidR="006547FE" w:rsidRPr="00C21503">
          <w:rPr>
            <w:rStyle w:val="Hyperlink"/>
          </w:rPr>
          <w:t>1.4</w:t>
        </w:r>
        <w:r w:rsidR="006547FE">
          <w:rPr>
            <w:rFonts w:asciiTheme="minorHAnsi" w:eastAsiaTheme="minorEastAsia" w:hAnsiTheme="minorHAnsi" w:cstheme="minorBidi"/>
            <w:snapToGrid/>
            <w:sz w:val="22"/>
            <w:szCs w:val="22"/>
            <w:lang w:eastAsia="en-GB"/>
          </w:rPr>
          <w:tab/>
        </w:r>
        <w:r w:rsidR="006547FE" w:rsidRPr="00C21503">
          <w:rPr>
            <w:rStyle w:val="Hyperlink"/>
          </w:rPr>
          <w:t>References</w:t>
        </w:r>
        <w:r w:rsidR="006547FE">
          <w:rPr>
            <w:webHidden/>
          </w:rPr>
          <w:tab/>
        </w:r>
        <w:r w:rsidR="006547FE">
          <w:rPr>
            <w:webHidden/>
          </w:rPr>
          <w:fldChar w:fldCharType="begin"/>
        </w:r>
        <w:r w:rsidR="006547FE">
          <w:rPr>
            <w:webHidden/>
          </w:rPr>
          <w:instrText xml:space="preserve"> PAGEREF _Toc45097625 \h </w:instrText>
        </w:r>
        <w:r w:rsidR="006547FE">
          <w:rPr>
            <w:webHidden/>
          </w:rPr>
        </w:r>
        <w:r w:rsidR="006547FE">
          <w:rPr>
            <w:webHidden/>
          </w:rPr>
          <w:fldChar w:fldCharType="separate"/>
        </w:r>
        <w:r w:rsidR="006547FE">
          <w:rPr>
            <w:webHidden/>
          </w:rPr>
          <w:t>4</w:t>
        </w:r>
        <w:r w:rsidR="006547FE">
          <w:rPr>
            <w:webHidden/>
          </w:rPr>
          <w:fldChar w:fldCharType="end"/>
        </w:r>
      </w:hyperlink>
    </w:p>
    <w:p w14:paraId="33479539" w14:textId="6A2AC30C" w:rsidR="006547FE" w:rsidRDefault="00755342">
      <w:pPr>
        <w:pStyle w:val="TOC1"/>
        <w:rPr>
          <w:rFonts w:asciiTheme="minorHAnsi" w:eastAsiaTheme="minorEastAsia" w:hAnsiTheme="minorHAnsi" w:cstheme="minorBidi"/>
          <w:b w:val="0"/>
          <w:sz w:val="22"/>
          <w:szCs w:val="22"/>
          <w:lang w:eastAsia="en-GB"/>
        </w:rPr>
      </w:pPr>
      <w:hyperlink w:anchor="_Toc45097626" w:history="1">
        <w:r w:rsidR="006547FE" w:rsidRPr="00C21503">
          <w:rPr>
            <w:rStyle w:val="Hyperlink"/>
          </w:rPr>
          <w:t>2</w:t>
        </w:r>
        <w:r w:rsidR="006547FE">
          <w:rPr>
            <w:rFonts w:asciiTheme="minorHAnsi" w:eastAsiaTheme="minorEastAsia" w:hAnsiTheme="minorHAnsi" w:cstheme="minorBidi"/>
            <w:b w:val="0"/>
            <w:sz w:val="22"/>
            <w:szCs w:val="22"/>
            <w:lang w:eastAsia="en-GB"/>
          </w:rPr>
          <w:tab/>
        </w:r>
        <w:r w:rsidR="006547FE" w:rsidRPr="00C21503">
          <w:rPr>
            <w:rStyle w:val="Hyperlink"/>
          </w:rPr>
          <w:t>Scope and Functionality</w:t>
        </w:r>
        <w:r w:rsidR="006547FE">
          <w:rPr>
            <w:webHidden/>
          </w:rPr>
          <w:tab/>
        </w:r>
        <w:r w:rsidR="006547FE">
          <w:rPr>
            <w:webHidden/>
          </w:rPr>
          <w:fldChar w:fldCharType="begin"/>
        </w:r>
        <w:r w:rsidR="006547FE">
          <w:rPr>
            <w:webHidden/>
          </w:rPr>
          <w:instrText xml:space="preserve"> PAGEREF _Toc45097626 \h </w:instrText>
        </w:r>
        <w:r w:rsidR="006547FE">
          <w:rPr>
            <w:webHidden/>
          </w:rPr>
        </w:r>
        <w:r w:rsidR="006547FE">
          <w:rPr>
            <w:webHidden/>
          </w:rPr>
          <w:fldChar w:fldCharType="separate"/>
        </w:r>
        <w:r w:rsidR="006547FE">
          <w:rPr>
            <w:webHidden/>
          </w:rPr>
          <w:t>5</w:t>
        </w:r>
        <w:r w:rsidR="006547FE">
          <w:rPr>
            <w:webHidden/>
          </w:rPr>
          <w:fldChar w:fldCharType="end"/>
        </w:r>
      </w:hyperlink>
    </w:p>
    <w:p w14:paraId="5C3481B9" w14:textId="1B8A60D2" w:rsidR="006547FE" w:rsidRDefault="00755342">
      <w:pPr>
        <w:pStyle w:val="TOC2"/>
        <w:rPr>
          <w:rFonts w:asciiTheme="minorHAnsi" w:eastAsiaTheme="minorEastAsia" w:hAnsiTheme="minorHAnsi" w:cstheme="minorBidi"/>
          <w:snapToGrid/>
          <w:sz w:val="22"/>
          <w:szCs w:val="22"/>
          <w:lang w:eastAsia="en-GB"/>
        </w:rPr>
      </w:pPr>
      <w:hyperlink w:anchor="_Toc45097627" w:history="1">
        <w:r w:rsidR="006547FE" w:rsidRPr="00C21503">
          <w:rPr>
            <w:rStyle w:val="Hyperlink"/>
          </w:rPr>
          <w:t>2.1</w:t>
        </w:r>
        <w:r w:rsidR="006547FE">
          <w:rPr>
            <w:rFonts w:asciiTheme="minorHAnsi" w:eastAsiaTheme="minorEastAsia" w:hAnsiTheme="minorHAnsi" w:cstheme="minorBidi"/>
            <w:snapToGrid/>
            <w:sz w:val="22"/>
            <w:szCs w:val="22"/>
            <w:lang w:eastAsia="en-GB"/>
          </w:rPr>
          <w:tab/>
        </w:r>
        <w:r w:rsidR="006547FE" w:rsidRPr="00C21503">
          <w:rPr>
            <w:rStyle w:val="Hyperlink"/>
          </w:rPr>
          <w:t>Background</w:t>
        </w:r>
        <w:r w:rsidR="006547FE">
          <w:rPr>
            <w:webHidden/>
          </w:rPr>
          <w:tab/>
        </w:r>
        <w:r w:rsidR="006547FE">
          <w:rPr>
            <w:webHidden/>
          </w:rPr>
          <w:fldChar w:fldCharType="begin"/>
        </w:r>
        <w:r w:rsidR="006547FE">
          <w:rPr>
            <w:webHidden/>
          </w:rPr>
          <w:instrText xml:space="preserve"> PAGEREF _Toc45097627 \h </w:instrText>
        </w:r>
        <w:r w:rsidR="006547FE">
          <w:rPr>
            <w:webHidden/>
          </w:rPr>
        </w:r>
        <w:r w:rsidR="006547FE">
          <w:rPr>
            <w:webHidden/>
          </w:rPr>
          <w:fldChar w:fldCharType="separate"/>
        </w:r>
        <w:r w:rsidR="006547FE">
          <w:rPr>
            <w:webHidden/>
          </w:rPr>
          <w:t>5</w:t>
        </w:r>
        <w:r w:rsidR="006547FE">
          <w:rPr>
            <w:webHidden/>
          </w:rPr>
          <w:fldChar w:fldCharType="end"/>
        </w:r>
      </w:hyperlink>
    </w:p>
    <w:p w14:paraId="65618420" w14:textId="557A5217" w:rsidR="006547FE" w:rsidRDefault="00755342">
      <w:pPr>
        <w:pStyle w:val="TOC2"/>
        <w:rPr>
          <w:rFonts w:asciiTheme="minorHAnsi" w:eastAsiaTheme="minorEastAsia" w:hAnsiTheme="minorHAnsi" w:cstheme="minorBidi"/>
          <w:snapToGrid/>
          <w:sz w:val="22"/>
          <w:szCs w:val="22"/>
          <w:lang w:eastAsia="en-GB"/>
        </w:rPr>
      </w:pPr>
      <w:hyperlink w:anchor="_Toc45097628" w:history="1">
        <w:r w:rsidR="006547FE" w:rsidRPr="00C21503">
          <w:rPr>
            <w:rStyle w:val="Hyperlink"/>
          </w:rPr>
          <w:t>2.2</w:t>
        </w:r>
        <w:r w:rsidR="006547FE">
          <w:rPr>
            <w:rFonts w:asciiTheme="minorHAnsi" w:eastAsiaTheme="minorEastAsia" w:hAnsiTheme="minorHAnsi" w:cstheme="minorBidi"/>
            <w:snapToGrid/>
            <w:sz w:val="22"/>
            <w:szCs w:val="22"/>
            <w:lang w:eastAsia="en-GB"/>
          </w:rPr>
          <w:tab/>
        </w:r>
        <w:r w:rsidR="006547FE" w:rsidRPr="00C21503">
          <w:rPr>
            <w:rStyle w:val="Hyperlink"/>
          </w:rPr>
          <w:t>Scope</w:t>
        </w:r>
        <w:r w:rsidR="006547FE">
          <w:rPr>
            <w:webHidden/>
          </w:rPr>
          <w:tab/>
        </w:r>
        <w:r w:rsidR="006547FE">
          <w:rPr>
            <w:webHidden/>
          </w:rPr>
          <w:fldChar w:fldCharType="begin"/>
        </w:r>
        <w:r w:rsidR="006547FE">
          <w:rPr>
            <w:webHidden/>
          </w:rPr>
          <w:instrText xml:space="preserve"> PAGEREF _Toc45097628 \h </w:instrText>
        </w:r>
        <w:r w:rsidR="006547FE">
          <w:rPr>
            <w:webHidden/>
          </w:rPr>
        </w:r>
        <w:r w:rsidR="006547FE">
          <w:rPr>
            <w:webHidden/>
          </w:rPr>
          <w:fldChar w:fldCharType="separate"/>
        </w:r>
        <w:r w:rsidR="006547FE">
          <w:rPr>
            <w:webHidden/>
          </w:rPr>
          <w:t>6</w:t>
        </w:r>
        <w:r w:rsidR="006547FE">
          <w:rPr>
            <w:webHidden/>
          </w:rPr>
          <w:fldChar w:fldCharType="end"/>
        </w:r>
      </w:hyperlink>
    </w:p>
    <w:p w14:paraId="6916AB5F" w14:textId="5F66C0E3" w:rsidR="006547FE" w:rsidRDefault="00755342">
      <w:pPr>
        <w:pStyle w:val="TOC2"/>
        <w:rPr>
          <w:rFonts w:asciiTheme="minorHAnsi" w:eastAsiaTheme="minorEastAsia" w:hAnsiTheme="minorHAnsi" w:cstheme="minorBidi"/>
          <w:snapToGrid/>
          <w:sz w:val="22"/>
          <w:szCs w:val="22"/>
          <w:lang w:eastAsia="en-GB"/>
        </w:rPr>
      </w:pPr>
      <w:hyperlink w:anchor="_Toc45097629" w:history="1">
        <w:r w:rsidR="006547FE" w:rsidRPr="00C21503">
          <w:rPr>
            <w:rStyle w:val="Hyperlink"/>
          </w:rPr>
          <w:t>2.3</w:t>
        </w:r>
        <w:r w:rsidR="006547FE">
          <w:rPr>
            <w:rFonts w:asciiTheme="minorHAnsi" w:eastAsiaTheme="minorEastAsia" w:hAnsiTheme="minorHAnsi" w:cstheme="minorBidi"/>
            <w:snapToGrid/>
            <w:sz w:val="22"/>
            <w:szCs w:val="22"/>
            <w:lang w:eastAsia="en-GB"/>
          </w:rPr>
          <w:tab/>
        </w:r>
        <w:r w:rsidR="006547FE" w:rsidRPr="00C21503">
          <w:rPr>
            <w:rStyle w:val="Hyperlink"/>
          </w:rPr>
          <w:t>MessageDefinitions and Functionality</w:t>
        </w:r>
        <w:r w:rsidR="006547FE">
          <w:rPr>
            <w:webHidden/>
          </w:rPr>
          <w:tab/>
        </w:r>
        <w:r w:rsidR="006547FE">
          <w:rPr>
            <w:webHidden/>
          </w:rPr>
          <w:fldChar w:fldCharType="begin"/>
        </w:r>
        <w:r w:rsidR="006547FE">
          <w:rPr>
            <w:webHidden/>
          </w:rPr>
          <w:instrText xml:space="preserve"> PAGEREF _Toc45097629 \h </w:instrText>
        </w:r>
        <w:r w:rsidR="006547FE">
          <w:rPr>
            <w:webHidden/>
          </w:rPr>
        </w:r>
        <w:r w:rsidR="006547FE">
          <w:rPr>
            <w:webHidden/>
          </w:rPr>
          <w:fldChar w:fldCharType="separate"/>
        </w:r>
        <w:r w:rsidR="006547FE">
          <w:rPr>
            <w:webHidden/>
          </w:rPr>
          <w:t>6</w:t>
        </w:r>
        <w:r w:rsidR="006547FE">
          <w:rPr>
            <w:webHidden/>
          </w:rPr>
          <w:fldChar w:fldCharType="end"/>
        </w:r>
      </w:hyperlink>
    </w:p>
    <w:p w14:paraId="25B93CFF" w14:textId="58200715" w:rsidR="006547FE" w:rsidRDefault="00755342">
      <w:pPr>
        <w:pStyle w:val="TOC1"/>
        <w:rPr>
          <w:rFonts w:asciiTheme="minorHAnsi" w:eastAsiaTheme="minorEastAsia" w:hAnsiTheme="minorHAnsi" w:cstheme="minorBidi"/>
          <w:b w:val="0"/>
          <w:sz w:val="22"/>
          <w:szCs w:val="22"/>
          <w:lang w:eastAsia="en-GB"/>
        </w:rPr>
      </w:pPr>
      <w:hyperlink w:anchor="_Toc45097630" w:history="1">
        <w:r w:rsidR="006547FE" w:rsidRPr="00C21503">
          <w:rPr>
            <w:rStyle w:val="Hyperlink"/>
          </w:rPr>
          <w:t>3</w:t>
        </w:r>
        <w:r w:rsidR="006547FE">
          <w:rPr>
            <w:rFonts w:asciiTheme="minorHAnsi" w:eastAsiaTheme="minorEastAsia" w:hAnsiTheme="minorHAnsi" w:cstheme="minorBidi"/>
            <w:b w:val="0"/>
            <w:sz w:val="22"/>
            <w:szCs w:val="22"/>
            <w:lang w:eastAsia="en-GB"/>
          </w:rPr>
          <w:tab/>
        </w:r>
        <w:r w:rsidR="006547FE" w:rsidRPr="00C21503">
          <w:rPr>
            <w:rStyle w:val="Hyperlink"/>
          </w:rPr>
          <w:t>BusinessRoles and Participants</w:t>
        </w:r>
        <w:r w:rsidR="006547FE">
          <w:rPr>
            <w:webHidden/>
          </w:rPr>
          <w:tab/>
        </w:r>
        <w:r w:rsidR="006547FE">
          <w:rPr>
            <w:webHidden/>
          </w:rPr>
          <w:fldChar w:fldCharType="begin"/>
        </w:r>
        <w:r w:rsidR="006547FE">
          <w:rPr>
            <w:webHidden/>
          </w:rPr>
          <w:instrText xml:space="preserve"> PAGEREF _Toc45097630 \h </w:instrText>
        </w:r>
        <w:r w:rsidR="006547FE">
          <w:rPr>
            <w:webHidden/>
          </w:rPr>
        </w:r>
        <w:r w:rsidR="006547FE">
          <w:rPr>
            <w:webHidden/>
          </w:rPr>
          <w:fldChar w:fldCharType="separate"/>
        </w:r>
        <w:r w:rsidR="006547FE">
          <w:rPr>
            <w:webHidden/>
          </w:rPr>
          <w:t>7</w:t>
        </w:r>
        <w:r w:rsidR="006547FE">
          <w:rPr>
            <w:webHidden/>
          </w:rPr>
          <w:fldChar w:fldCharType="end"/>
        </w:r>
      </w:hyperlink>
    </w:p>
    <w:p w14:paraId="4E65C22D" w14:textId="1C4D8243" w:rsidR="006547FE" w:rsidRDefault="00755342">
      <w:pPr>
        <w:pStyle w:val="TOC2"/>
        <w:rPr>
          <w:rFonts w:asciiTheme="minorHAnsi" w:eastAsiaTheme="minorEastAsia" w:hAnsiTheme="minorHAnsi" w:cstheme="minorBidi"/>
          <w:snapToGrid/>
          <w:sz w:val="22"/>
          <w:szCs w:val="22"/>
          <w:lang w:eastAsia="en-GB"/>
        </w:rPr>
      </w:pPr>
      <w:hyperlink w:anchor="_Toc45097631" w:history="1">
        <w:r w:rsidR="006547FE" w:rsidRPr="00C21503">
          <w:rPr>
            <w:rStyle w:val="Hyperlink"/>
          </w:rPr>
          <w:t>3.1</w:t>
        </w:r>
        <w:r w:rsidR="006547FE">
          <w:rPr>
            <w:rFonts w:asciiTheme="minorHAnsi" w:eastAsiaTheme="minorEastAsia" w:hAnsiTheme="minorHAnsi" w:cstheme="minorBidi"/>
            <w:snapToGrid/>
            <w:sz w:val="22"/>
            <w:szCs w:val="22"/>
            <w:lang w:eastAsia="en-GB"/>
          </w:rPr>
          <w:tab/>
        </w:r>
        <w:r w:rsidR="006547FE" w:rsidRPr="00C21503">
          <w:rPr>
            <w:rStyle w:val="Hyperlink"/>
          </w:rPr>
          <w:t>Participants and BusinessRoles Definitions</w:t>
        </w:r>
        <w:r w:rsidR="006547FE">
          <w:rPr>
            <w:webHidden/>
          </w:rPr>
          <w:tab/>
        </w:r>
        <w:r w:rsidR="006547FE">
          <w:rPr>
            <w:webHidden/>
          </w:rPr>
          <w:fldChar w:fldCharType="begin"/>
        </w:r>
        <w:r w:rsidR="006547FE">
          <w:rPr>
            <w:webHidden/>
          </w:rPr>
          <w:instrText xml:space="preserve"> PAGEREF _Toc45097631 \h </w:instrText>
        </w:r>
        <w:r w:rsidR="006547FE">
          <w:rPr>
            <w:webHidden/>
          </w:rPr>
        </w:r>
        <w:r w:rsidR="006547FE">
          <w:rPr>
            <w:webHidden/>
          </w:rPr>
          <w:fldChar w:fldCharType="separate"/>
        </w:r>
        <w:r w:rsidR="006547FE">
          <w:rPr>
            <w:webHidden/>
          </w:rPr>
          <w:t>7</w:t>
        </w:r>
        <w:r w:rsidR="006547FE">
          <w:rPr>
            <w:webHidden/>
          </w:rPr>
          <w:fldChar w:fldCharType="end"/>
        </w:r>
      </w:hyperlink>
    </w:p>
    <w:p w14:paraId="30D71363" w14:textId="08DFF5B5" w:rsidR="006547FE" w:rsidRDefault="00755342">
      <w:pPr>
        <w:pStyle w:val="TOC1"/>
        <w:rPr>
          <w:rFonts w:asciiTheme="minorHAnsi" w:eastAsiaTheme="minorEastAsia" w:hAnsiTheme="minorHAnsi" w:cstheme="minorBidi"/>
          <w:b w:val="0"/>
          <w:sz w:val="22"/>
          <w:szCs w:val="22"/>
          <w:lang w:eastAsia="en-GB"/>
        </w:rPr>
      </w:pPr>
      <w:hyperlink w:anchor="_Toc45097632" w:history="1">
        <w:r w:rsidR="006547FE" w:rsidRPr="00C21503">
          <w:rPr>
            <w:rStyle w:val="Hyperlink"/>
          </w:rPr>
          <w:t>4</w:t>
        </w:r>
        <w:r w:rsidR="006547FE">
          <w:rPr>
            <w:rFonts w:asciiTheme="minorHAnsi" w:eastAsiaTheme="minorEastAsia" w:hAnsiTheme="minorHAnsi" w:cstheme="minorBidi"/>
            <w:b w:val="0"/>
            <w:sz w:val="22"/>
            <w:szCs w:val="22"/>
            <w:lang w:eastAsia="en-GB"/>
          </w:rPr>
          <w:tab/>
        </w:r>
        <w:r w:rsidR="006547FE" w:rsidRPr="00C21503">
          <w:rPr>
            <w:rStyle w:val="Hyperlink"/>
          </w:rPr>
          <w:t>BusinessProcess Description</w:t>
        </w:r>
        <w:r w:rsidR="006547FE">
          <w:rPr>
            <w:webHidden/>
          </w:rPr>
          <w:tab/>
        </w:r>
        <w:r w:rsidR="006547FE">
          <w:rPr>
            <w:webHidden/>
          </w:rPr>
          <w:fldChar w:fldCharType="begin"/>
        </w:r>
        <w:r w:rsidR="006547FE">
          <w:rPr>
            <w:webHidden/>
          </w:rPr>
          <w:instrText xml:space="preserve"> PAGEREF _Toc45097632 \h </w:instrText>
        </w:r>
        <w:r w:rsidR="006547FE">
          <w:rPr>
            <w:webHidden/>
          </w:rPr>
        </w:r>
        <w:r w:rsidR="006547FE">
          <w:rPr>
            <w:webHidden/>
          </w:rPr>
          <w:fldChar w:fldCharType="separate"/>
        </w:r>
        <w:r w:rsidR="006547FE">
          <w:rPr>
            <w:webHidden/>
          </w:rPr>
          <w:t>9</w:t>
        </w:r>
        <w:r w:rsidR="006547FE">
          <w:rPr>
            <w:webHidden/>
          </w:rPr>
          <w:fldChar w:fldCharType="end"/>
        </w:r>
      </w:hyperlink>
    </w:p>
    <w:p w14:paraId="460F8B0A" w14:textId="707B0063" w:rsidR="006547FE" w:rsidRDefault="00755342">
      <w:pPr>
        <w:pStyle w:val="TOC2"/>
        <w:rPr>
          <w:rFonts w:asciiTheme="minorHAnsi" w:eastAsiaTheme="minorEastAsia" w:hAnsiTheme="minorHAnsi" w:cstheme="minorBidi"/>
          <w:snapToGrid/>
          <w:sz w:val="22"/>
          <w:szCs w:val="22"/>
          <w:lang w:eastAsia="en-GB"/>
        </w:rPr>
      </w:pPr>
      <w:hyperlink w:anchor="_Toc45097633" w:history="1">
        <w:r w:rsidR="006547FE" w:rsidRPr="00C21503">
          <w:rPr>
            <w:rStyle w:val="Hyperlink"/>
          </w:rPr>
          <w:t>4.1</w:t>
        </w:r>
        <w:r w:rsidR="006547FE">
          <w:rPr>
            <w:rFonts w:asciiTheme="minorHAnsi" w:eastAsiaTheme="minorEastAsia" w:hAnsiTheme="minorHAnsi" w:cstheme="minorBidi"/>
            <w:snapToGrid/>
            <w:sz w:val="22"/>
            <w:szCs w:val="22"/>
            <w:lang w:eastAsia="en-GB"/>
          </w:rPr>
          <w:tab/>
        </w:r>
        <w:r w:rsidR="006547FE" w:rsidRPr="00C21503">
          <w:rPr>
            <w:rStyle w:val="Hyperlink"/>
          </w:rPr>
          <w:t>Buy-in Regulatory Reporting</w:t>
        </w:r>
        <w:r w:rsidR="006547FE">
          <w:rPr>
            <w:webHidden/>
          </w:rPr>
          <w:tab/>
        </w:r>
        <w:r w:rsidR="006547FE">
          <w:rPr>
            <w:webHidden/>
          </w:rPr>
          <w:fldChar w:fldCharType="begin"/>
        </w:r>
        <w:r w:rsidR="006547FE">
          <w:rPr>
            <w:webHidden/>
          </w:rPr>
          <w:instrText xml:space="preserve"> PAGEREF _Toc45097633 \h </w:instrText>
        </w:r>
        <w:r w:rsidR="006547FE">
          <w:rPr>
            <w:webHidden/>
          </w:rPr>
        </w:r>
        <w:r w:rsidR="006547FE">
          <w:rPr>
            <w:webHidden/>
          </w:rPr>
          <w:fldChar w:fldCharType="separate"/>
        </w:r>
        <w:r w:rsidR="006547FE">
          <w:rPr>
            <w:webHidden/>
          </w:rPr>
          <w:t>9</w:t>
        </w:r>
        <w:r w:rsidR="006547FE">
          <w:rPr>
            <w:webHidden/>
          </w:rPr>
          <w:fldChar w:fldCharType="end"/>
        </w:r>
      </w:hyperlink>
    </w:p>
    <w:p w14:paraId="5D55E2CF" w14:textId="022B77FC" w:rsidR="006547FE" w:rsidRDefault="00755342">
      <w:pPr>
        <w:pStyle w:val="TOC1"/>
        <w:rPr>
          <w:rFonts w:asciiTheme="minorHAnsi" w:eastAsiaTheme="minorEastAsia" w:hAnsiTheme="minorHAnsi" w:cstheme="minorBidi"/>
          <w:b w:val="0"/>
          <w:sz w:val="22"/>
          <w:szCs w:val="22"/>
          <w:lang w:eastAsia="en-GB"/>
        </w:rPr>
      </w:pPr>
      <w:hyperlink w:anchor="_Toc45097634" w:history="1">
        <w:r w:rsidR="006547FE" w:rsidRPr="00C21503">
          <w:rPr>
            <w:rStyle w:val="Hyperlink"/>
          </w:rPr>
          <w:t>5</w:t>
        </w:r>
        <w:r w:rsidR="006547FE">
          <w:rPr>
            <w:rFonts w:asciiTheme="minorHAnsi" w:eastAsiaTheme="minorEastAsia" w:hAnsiTheme="minorHAnsi" w:cstheme="minorBidi"/>
            <w:b w:val="0"/>
            <w:sz w:val="22"/>
            <w:szCs w:val="22"/>
            <w:lang w:eastAsia="en-GB"/>
          </w:rPr>
          <w:tab/>
        </w:r>
        <w:r w:rsidR="006547FE" w:rsidRPr="00C21503">
          <w:rPr>
            <w:rStyle w:val="Hyperlink"/>
          </w:rPr>
          <w:t>Business Examples</w:t>
        </w:r>
        <w:r w:rsidR="006547FE">
          <w:rPr>
            <w:webHidden/>
          </w:rPr>
          <w:tab/>
        </w:r>
        <w:r w:rsidR="006547FE">
          <w:rPr>
            <w:webHidden/>
          </w:rPr>
          <w:fldChar w:fldCharType="begin"/>
        </w:r>
        <w:r w:rsidR="006547FE">
          <w:rPr>
            <w:webHidden/>
          </w:rPr>
          <w:instrText xml:space="preserve"> PAGEREF _Toc45097634 \h </w:instrText>
        </w:r>
        <w:r w:rsidR="006547FE">
          <w:rPr>
            <w:webHidden/>
          </w:rPr>
        </w:r>
        <w:r w:rsidR="006547FE">
          <w:rPr>
            <w:webHidden/>
          </w:rPr>
          <w:fldChar w:fldCharType="separate"/>
        </w:r>
        <w:r w:rsidR="006547FE">
          <w:rPr>
            <w:webHidden/>
          </w:rPr>
          <w:t>10</w:t>
        </w:r>
        <w:r w:rsidR="006547FE">
          <w:rPr>
            <w:webHidden/>
          </w:rPr>
          <w:fldChar w:fldCharType="end"/>
        </w:r>
      </w:hyperlink>
    </w:p>
    <w:p w14:paraId="42EB19C8" w14:textId="11F9BE97" w:rsidR="006547FE" w:rsidRDefault="00755342">
      <w:pPr>
        <w:pStyle w:val="TOC2"/>
        <w:rPr>
          <w:rFonts w:asciiTheme="minorHAnsi" w:eastAsiaTheme="minorEastAsia" w:hAnsiTheme="minorHAnsi" w:cstheme="minorBidi"/>
          <w:snapToGrid/>
          <w:sz w:val="22"/>
          <w:szCs w:val="22"/>
          <w:lang w:eastAsia="en-GB"/>
        </w:rPr>
      </w:pPr>
      <w:hyperlink w:anchor="_Toc45097635" w:history="1">
        <w:r w:rsidR="006547FE" w:rsidRPr="00C21503">
          <w:rPr>
            <w:rStyle w:val="Hyperlink"/>
          </w:rPr>
          <w:t>5.1</w:t>
        </w:r>
        <w:r w:rsidR="006547FE">
          <w:rPr>
            <w:rFonts w:asciiTheme="minorHAnsi" w:eastAsiaTheme="minorEastAsia" w:hAnsiTheme="minorHAnsi" w:cstheme="minorBidi"/>
            <w:snapToGrid/>
            <w:sz w:val="22"/>
            <w:szCs w:val="22"/>
            <w:lang w:eastAsia="en-GB"/>
          </w:rPr>
          <w:tab/>
        </w:r>
        <w:r w:rsidR="006547FE" w:rsidRPr="00C21503">
          <w:rPr>
            <w:rStyle w:val="Hyperlink"/>
          </w:rPr>
          <w:t>BuyInRegulatoryAdvice sese.041.001.01</w:t>
        </w:r>
        <w:r w:rsidR="006547FE">
          <w:rPr>
            <w:webHidden/>
          </w:rPr>
          <w:tab/>
        </w:r>
        <w:r w:rsidR="006547FE">
          <w:rPr>
            <w:webHidden/>
          </w:rPr>
          <w:fldChar w:fldCharType="begin"/>
        </w:r>
        <w:r w:rsidR="006547FE">
          <w:rPr>
            <w:webHidden/>
          </w:rPr>
          <w:instrText xml:space="preserve"> PAGEREF _Toc45097635 \h </w:instrText>
        </w:r>
        <w:r w:rsidR="006547FE">
          <w:rPr>
            <w:webHidden/>
          </w:rPr>
        </w:r>
        <w:r w:rsidR="006547FE">
          <w:rPr>
            <w:webHidden/>
          </w:rPr>
          <w:fldChar w:fldCharType="separate"/>
        </w:r>
        <w:r w:rsidR="006547FE">
          <w:rPr>
            <w:webHidden/>
          </w:rPr>
          <w:t>10</w:t>
        </w:r>
        <w:r w:rsidR="006547FE">
          <w:rPr>
            <w:webHidden/>
          </w:rPr>
          <w:fldChar w:fldCharType="end"/>
        </w:r>
      </w:hyperlink>
    </w:p>
    <w:p w14:paraId="5048EDCA" w14:textId="097B8DE0" w:rsidR="006547FE" w:rsidRDefault="00755342">
      <w:pPr>
        <w:pStyle w:val="TOC2"/>
        <w:rPr>
          <w:rFonts w:asciiTheme="minorHAnsi" w:eastAsiaTheme="minorEastAsia" w:hAnsiTheme="minorHAnsi" w:cstheme="minorBidi"/>
          <w:snapToGrid/>
          <w:sz w:val="22"/>
          <w:szCs w:val="22"/>
          <w:lang w:eastAsia="en-GB"/>
        </w:rPr>
      </w:pPr>
      <w:hyperlink w:anchor="_Toc45097636" w:history="1">
        <w:r w:rsidR="006547FE" w:rsidRPr="00C21503">
          <w:rPr>
            <w:rStyle w:val="Hyperlink"/>
          </w:rPr>
          <w:t>5.2</w:t>
        </w:r>
        <w:r w:rsidR="006547FE">
          <w:rPr>
            <w:rFonts w:asciiTheme="minorHAnsi" w:eastAsiaTheme="minorEastAsia" w:hAnsiTheme="minorHAnsi" w:cstheme="minorBidi"/>
            <w:snapToGrid/>
            <w:sz w:val="22"/>
            <w:szCs w:val="22"/>
            <w:lang w:eastAsia="en-GB"/>
          </w:rPr>
          <w:tab/>
        </w:r>
        <w:r w:rsidR="006547FE" w:rsidRPr="00C21503">
          <w:rPr>
            <w:rStyle w:val="Hyperlink"/>
          </w:rPr>
          <w:t>BuyInRegulatoryAdviceResponse sese.042.001.01</w:t>
        </w:r>
        <w:r w:rsidR="006547FE">
          <w:rPr>
            <w:webHidden/>
          </w:rPr>
          <w:tab/>
        </w:r>
        <w:r w:rsidR="006547FE">
          <w:rPr>
            <w:webHidden/>
          </w:rPr>
          <w:fldChar w:fldCharType="begin"/>
        </w:r>
        <w:r w:rsidR="006547FE">
          <w:rPr>
            <w:webHidden/>
          </w:rPr>
          <w:instrText xml:space="preserve"> PAGEREF _Toc45097636 \h </w:instrText>
        </w:r>
        <w:r w:rsidR="006547FE">
          <w:rPr>
            <w:webHidden/>
          </w:rPr>
        </w:r>
        <w:r w:rsidR="006547FE">
          <w:rPr>
            <w:webHidden/>
          </w:rPr>
          <w:fldChar w:fldCharType="separate"/>
        </w:r>
        <w:r w:rsidR="006547FE">
          <w:rPr>
            <w:webHidden/>
          </w:rPr>
          <w:t>12</w:t>
        </w:r>
        <w:r w:rsidR="006547FE">
          <w:rPr>
            <w:webHidden/>
          </w:rPr>
          <w:fldChar w:fldCharType="end"/>
        </w:r>
      </w:hyperlink>
    </w:p>
    <w:p w14:paraId="18D739F3" w14:textId="3C4C8719" w:rsidR="006547FE" w:rsidRDefault="00755342">
      <w:pPr>
        <w:pStyle w:val="TOC1"/>
        <w:rPr>
          <w:rFonts w:asciiTheme="minorHAnsi" w:eastAsiaTheme="minorEastAsia" w:hAnsiTheme="minorHAnsi" w:cstheme="minorBidi"/>
          <w:b w:val="0"/>
          <w:sz w:val="22"/>
          <w:szCs w:val="22"/>
          <w:lang w:eastAsia="en-GB"/>
        </w:rPr>
      </w:pPr>
      <w:hyperlink w:anchor="_Toc45097637" w:history="1">
        <w:r w:rsidR="006547FE" w:rsidRPr="00C21503">
          <w:rPr>
            <w:rStyle w:val="Hyperlink"/>
          </w:rPr>
          <w:t>Revision Record</w:t>
        </w:r>
        <w:r w:rsidR="006547FE">
          <w:rPr>
            <w:webHidden/>
          </w:rPr>
          <w:tab/>
        </w:r>
        <w:r w:rsidR="006547FE">
          <w:rPr>
            <w:webHidden/>
          </w:rPr>
          <w:fldChar w:fldCharType="begin"/>
        </w:r>
        <w:r w:rsidR="006547FE">
          <w:rPr>
            <w:webHidden/>
          </w:rPr>
          <w:instrText xml:space="preserve"> PAGEREF _Toc45097637 \h </w:instrText>
        </w:r>
        <w:r w:rsidR="006547FE">
          <w:rPr>
            <w:webHidden/>
          </w:rPr>
        </w:r>
        <w:r w:rsidR="006547FE">
          <w:rPr>
            <w:webHidden/>
          </w:rPr>
          <w:fldChar w:fldCharType="separate"/>
        </w:r>
        <w:r w:rsidR="006547FE">
          <w:rPr>
            <w:webHidden/>
          </w:rPr>
          <w:t>13</w:t>
        </w:r>
        <w:r w:rsidR="006547FE">
          <w:rPr>
            <w:webHidden/>
          </w:rPr>
          <w:fldChar w:fldCharType="end"/>
        </w:r>
      </w:hyperlink>
    </w:p>
    <w:p w14:paraId="12283706" w14:textId="048CEB22" w:rsidR="00F6486F" w:rsidRPr="00E17571" w:rsidRDefault="00F45CD3" w:rsidP="00F6486F">
      <w:pPr>
        <w:pStyle w:val="PreliminaryNote"/>
      </w:pPr>
      <w:r w:rsidRPr="00FA37D7">
        <w:rPr>
          <w:b w:val="0"/>
        </w:rPr>
        <w:fldChar w:fldCharType="end"/>
      </w:r>
      <w:r w:rsidR="00F6486F" w:rsidRPr="00E17571">
        <w:t>Preliminary note:</w:t>
      </w:r>
    </w:p>
    <w:p w14:paraId="2BD39748" w14:textId="77777777" w:rsidR="00F6486F" w:rsidRPr="00E17571" w:rsidRDefault="00F6486F" w:rsidP="00F6486F">
      <w:r w:rsidRPr="00E17571">
        <w:t>The Message Definition Report (MDR) is made of three parts:</w:t>
      </w:r>
    </w:p>
    <w:p w14:paraId="2CAA4477" w14:textId="77777777" w:rsidR="00B57D0B" w:rsidRDefault="00F6486F" w:rsidP="00B57D0B">
      <w:pPr>
        <w:pStyle w:val="BlockLabel"/>
      </w:pPr>
      <w:r w:rsidRPr="00E17571">
        <w:t xml:space="preserve">MDR - Part 1 </w:t>
      </w:r>
    </w:p>
    <w:p w14:paraId="6F5F5E2D" w14:textId="182BA41B" w:rsidR="00F6486F" w:rsidRDefault="00B57D0B" w:rsidP="00B57D0B">
      <w:pPr>
        <w:rPr>
          <w:rStyle w:val="Hyperlink"/>
        </w:rPr>
      </w:pPr>
      <w:r>
        <w:t xml:space="preserve">This </w:t>
      </w:r>
      <w:r w:rsidR="00F6486F" w:rsidRPr="00E17571">
        <w:t xml:space="preserve">describes the contextual background required to understand the functionality of the proposed message set. Part 1 </w:t>
      </w:r>
      <w:proofErr w:type="gramStart"/>
      <w:r w:rsidR="00F6486F" w:rsidRPr="00E17571">
        <w:t>is produced</w:t>
      </w:r>
      <w:proofErr w:type="gramEnd"/>
      <w:r w:rsidR="00F6486F" w:rsidRPr="00E17571">
        <w:t xml:space="preserve"> by the submitting organisation that developed or maintained the message set in line with a MDR Part1 template provided by the ISO 20022 Registration Authority (RA) on </w:t>
      </w:r>
      <w:hyperlink r:id="rId20" w:history="1">
        <w:r w:rsidR="00F6486F" w:rsidRPr="00E17571">
          <w:rPr>
            <w:rStyle w:val="Hyperlink"/>
          </w:rPr>
          <w:t>www.iso20022.org</w:t>
        </w:r>
      </w:hyperlink>
    </w:p>
    <w:p w14:paraId="09954E5B" w14:textId="77777777" w:rsidR="00B57D0B" w:rsidRDefault="00F6486F" w:rsidP="00B57D0B">
      <w:pPr>
        <w:pStyle w:val="BlockLabel"/>
      </w:pPr>
      <w:r w:rsidRPr="00E17571">
        <w:t xml:space="preserve">MDR – Part 2 </w:t>
      </w:r>
    </w:p>
    <w:p w14:paraId="38ACC6F4" w14:textId="28C9E4E0" w:rsidR="00F6486F" w:rsidRDefault="00B57D0B" w:rsidP="00B57D0B">
      <w:r>
        <w:t xml:space="preserve">This </w:t>
      </w:r>
      <w:r w:rsidR="00F6486F" w:rsidRPr="00E17571">
        <w:t xml:space="preserve">is the detailed description of each message definition of the message set. </w:t>
      </w:r>
      <w:proofErr w:type="gramStart"/>
      <w:r w:rsidR="00F6486F" w:rsidRPr="00E17571">
        <w:t>Part 2 is produced by the RA using the model developed by the submitting organisation</w:t>
      </w:r>
      <w:proofErr w:type="gramEnd"/>
      <w:r w:rsidR="00F6486F" w:rsidRPr="00E17571">
        <w:t>.</w:t>
      </w:r>
    </w:p>
    <w:p w14:paraId="0786457F" w14:textId="77777777" w:rsidR="00B57D0B" w:rsidRDefault="00F6486F" w:rsidP="00B57D0B">
      <w:pPr>
        <w:pStyle w:val="BlockLabel"/>
      </w:pPr>
      <w:r w:rsidRPr="00E17571">
        <w:t xml:space="preserve">MDR – Part 3 </w:t>
      </w:r>
    </w:p>
    <w:p w14:paraId="575959FA" w14:textId="01515582" w:rsidR="00F6486F" w:rsidRPr="00E17571" w:rsidRDefault="00B57D0B" w:rsidP="00B57D0B">
      <w:r>
        <w:t xml:space="preserve">This </w:t>
      </w:r>
      <w:r w:rsidR="00F6486F" w:rsidRPr="00E17571">
        <w:t>is an extract of the ISO 20022 Business Model describing the business concepts used in the message set. Part 3 is an Excel document produced by the RA.</w:t>
      </w:r>
    </w:p>
    <w:p w14:paraId="05DF5C9B" w14:textId="77777777" w:rsidR="00FC66CD" w:rsidRPr="00FA37D7" w:rsidRDefault="00FC66CD" w:rsidP="005A6353">
      <w:pPr>
        <w:pStyle w:val="Label"/>
        <w:rPr>
          <w:rStyle w:val="Italic"/>
        </w:rPr>
        <w:sectPr w:rsidR="00FC66CD" w:rsidRPr="00FA37D7" w:rsidSect="006E0076">
          <w:headerReference w:type="even" r:id="rId21"/>
          <w:headerReference w:type="default" r:id="rId22"/>
          <w:footerReference w:type="even" r:id="rId23"/>
          <w:footerReference w:type="default" r:id="rId24"/>
          <w:pgSz w:w="11909" w:h="15840" w:code="9"/>
          <w:pgMar w:top="1021" w:right="1304" w:bottom="1701" w:left="1304" w:header="567" w:footer="567" w:gutter="0"/>
          <w:cols w:space="720"/>
          <w:docGrid w:linePitch="258"/>
        </w:sectPr>
      </w:pPr>
    </w:p>
    <w:p w14:paraId="05DF5C9C" w14:textId="77777777" w:rsidR="00FC66CD" w:rsidRPr="00FA37D7" w:rsidRDefault="000E53BB" w:rsidP="00A8050C">
      <w:pPr>
        <w:pStyle w:val="Heading1"/>
      </w:pPr>
      <w:bookmarkStart w:id="4" w:name="_Toc45097621"/>
      <w:r w:rsidRPr="00FA37D7">
        <w:lastRenderedPageBreak/>
        <w:t>Introduction</w:t>
      </w:r>
      <w:bookmarkEnd w:id="4"/>
    </w:p>
    <w:p w14:paraId="05DF5C9D" w14:textId="77777777" w:rsidR="00FC66CD" w:rsidRPr="00FA37D7" w:rsidRDefault="000E53BB" w:rsidP="00A8050C">
      <w:pPr>
        <w:pStyle w:val="Heading2"/>
      </w:pPr>
      <w:bookmarkStart w:id="5" w:name="_Toc45097622"/>
      <w:bookmarkStart w:id="6" w:name="_Toc533501210"/>
      <w:r w:rsidRPr="00FA37D7">
        <w:t>Terms and Definitions</w:t>
      </w:r>
      <w:bookmarkEnd w:id="5"/>
    </w:p>
    <w:p w14:paraId="05DF5C9E" w14:textId="77777777" w:rsidR="00236C6A" w:rsidRPr="00FA37D7" w:rsidRDefault="0096292A" w:rsidP="0069044F">
      <w:pPr>
        <w:pStyle w:val="Normalbeforetable"/>
      </w:pPr>
      <w:r w:rsidRPr="00FA37D7">
        <w:t xml:space="preserve">The following terms are reserved words defined in ISO 20022 Edition 2013 – Part1. When used in this document, the </w:t>
      </w:r>
      <w:proofErr w:type="spellStart"/>
      <w:r w:rsidRPr="00FA37D7">
        <w:t>UpperCamelCase</w:t>
      </w:r>
      <w:proofErr w:type="spellEnd"/>
      <w:r w:rsidRPr="00FA37D7">
        <w:t xml:space="preserve"> notation</w:t>
      </w:r>
      <w:r w:rsidR="00A72CAE" w:rsidRPr="00FA37D7">
        <w:t xml:space="preserve"> </w:t>
      </w:r>
      <w:proofErr w:type="gramStart"/>
      <w:r w:rsidR="00A72CAE" w:rsidRPr="00FA37D7">
        <w:t>is followed</w:t>
      </w:r>
      <w:proofErr w:type="gramEnd"/>
      <w:r w:rsidRPr="00FA37D7">
        <w:t>.</w:t>
      </w:r>
    </w:p>
    <w:tbl>
      <w:tblPr>
        <w:tblStyle w:val="TableShaded1stRow"/>
        <w:tblW w:w="8364" w:type="dxa"/>
        <w:tblLook w:val="04A0" w:firstRow="1" w:lastRow="0" w:firstColumn="1" w:lastColumn="0" w:noHBand="0" w:noVBand="1"/>
      </w:tblPr>
      <w:tblGrid>
        <w:gridCol w:w="2376"/>
        <w:gridCol w:w="5988"/>
      </w:tblGrid>
      <w:tr w:rsidR="0052733C" w:rsidRPr="00FA37D7" w14:paraId="05DF5CA1" w14:textId="77777777" w:rsidTr="0052733C">
        <w:trPr>
          <w:cnfStyle w:val="100000000000" w:firstRow="1" w:lastRow="0" w:firstColumn="0" w:lastColumn="0" w:oddVBand="0" w:evenVBand="0" w:oddHBand="0" w:evenHBand="0" w:firstRowFirstColumn="0" w:firstRowLastColumn="0" w:lastRowFirstColumn="0" w:lastRowLastColumn="0"/>
        </w:trPr>
        <w:tc>
          <w:tcPr>
            <w:tcW w:w="2376" w:type="dxa"/>
            <w:vAlign w:val="bottom"/>
          </w:tcPr>
          <w:p w14:paraId="05DF5C9F" w14:textId="77777777" w:rsidR="0052733C" w:rsidRPr="00FA37D7" w:rsidRDefault="0052733C" w:rsidP="0052733C">
            <w:pPr>
              <w:pStyle w:val="TableHeading"/>
            </w:pPr>
            <w:r w:rsidRPr="00FA37D7">
              <w:t>Term</w:t>
            </w:r>
          </w:p>
        </w:tc>
        <w:tc>
          <w:tcPr>
            <w:tcW w:w="5988" w:type="dxa"/>
            <w:vAlign w:val="bottom"/>
          </w:tcPr>
          <w:p w14:paraId="05DF5CA0" w14:textId="77777777" w:rsidR="0052733C" w:rsidRPr="00FA37D7" w:rsidRDefault="0052733C" w:rsidP="0052733C">
            <w:pPr>
              <w:pStyle w:val="TableHeading"/>
            </w:pPr>
            <w:r w:rsidRPr="00FA37D7">
              <w:t>Definition</w:t>
            </w:r>
          </w:p>
        </w:tc>
      </w:tr>
      <w:tr w:rsidR="0052733C" w:rsidRPr="00FA37D7" w14:paraId="05DF5CA4" w14:textId="77777777" w:rsidTr="0052733C">
        <w:tc>
          <w:tcPr>
            <w:tcW w:w="2376" w:type="dxa"/>
          </w:tcPr>
          <w:p w14:paraId="05DF5CA2" w14:textId="77777777" w:rsidR="0052733C" w:rsidRPr="00FA37D7" w:rsidRDefault="0052733C" w:rsidP="0052733C">
            <w:pPr>
              <w:pStyle w:val="TableText"/>
              <w:rPr>
                <w:rStyle w:val="Italic"/>
                <w:i w:val="0"/>
              </w:rPr>
            </w:pPr>
            <w:proofErr w:type="spellStart"/>
            <w:r w:rsidRPr="00FA37D7">
              <w:rPr>
                <w:rStyle w:val="Italic"/>
                <w:i w:val="0"/>
              </w:rPr>
              <w:t>BusinessRole</w:t>
            </w:r>
            <w:proofErr w:type="spellEnd"/>
          </w:p>
        </w:tc>
        <w:tc>
          <w:tcPr>
            <w:tcW w:w="5988" w:type="dxa"/>
          </w:tcPr>
          <w:p w14:paraId="05DF5CA3" w14:textId="77777777" w:rsidR="0052733C" w:rsidRPr="00FA37D7" w:rsidRDefault="0052733C" w:rsidP="0052733C">
            <w:pPr>
              <w:pStyle w:val="TableText"/>
            </w:pPr>
            <w:r w:rsidRPr="00FA37D7">
              <w:t xml:space="preserve">Functional </w:t>
            </w:r>
            <w:proofErr w:type="gramStart"/>
            <w:r w:rsidRPr="00FA37D7">
              <w:t>role played</w:t>
            </w:r>
            <w:proofErr w:type="gramEnd"/>
            <w:r w:rsidRPr="00FA37D7">
              <w:t xml:space="preserve"> by a business actor in a particular </w:t>
            </w:r>
            <w:proofErr w:type="spellStart"/>
            <w:r w:rsidRPr="00FA37D7">
              <w:rPr>
                <w:rStyle w:val="Italic"/>
                <w:i w:val="0"/>
              </w:rPr>
              <w:t>BusinessProcess</w:t>
            </w:r>
            <w:proofErr w:type="spellEnd"/>
            <w:r w:rsidRPr="00FA37D7">
              <w:t xml:space="preserve"> or </w:t>
            </w:r>
            <w:proofErr w:type="spellStart"/>
            <w:r w:rsidRPr="00FA37D7">
              <w:rPr>
                <w:rStyle w:val="Italic"/>
                <w:i w:val="0"/>
              </w:rPr>
              <w:t>BusinessTransaction</w:t>
            </w:r>
            <w:proofErr w:type="spellEnd"/>
            <w:r w:rsidRPr="00FA37D7">
              <w:rPr>
                <w:rStyle w:val="Italic"/>
                <w:i w:val="0"/>
              </w:rPr>
              <w:t>.</w:t>
            </w:r>
          </w:p>
        </w:tc>
      </w:tr>
      <w:tr w:rsidR="0052733C" w:rsidRPr="00FA37D7" w14:paraId="05DF5CA7" w14:textId="77777777" w:rsidTr="0052733C">
        <w:tc>
          <w:tcPr>
            <w:tcW w:w="2376" w:type="dxa"/>
          </w:tcPr>
          <w:p w14:paraId="05DF5CA5" w14:textId="77777777" w:rsidR="0052733C" w:rsidRPr="00FA37D7" w:rsidRDefault="0052733C" w:rsidP="0052733C">
            <w:pPr>
              <w:pStyle w:val="TableText"/>
              <w:rPr>
                <w:rStyle w:val="Italic"/>
                <w:i w:val="0"/>
              </w:rPr>
            </w:pPr>
            <w:r w:rsidRPr="00FA37D7">
              <w:rPr>
                <w:rStyle w:val="Italic"/>
                <w:i w:val="0"/>
              </w:rPr>
              <w:t>Participant</w:t>
            </w:r>
          </w:p>
        </w:tc>
        <w:tc>
          <w:tcPr>
            <w:tcW w:w="5988" w:type="dxa"/>
          </w:tcPr>
          <w:p w14:paraId="05DF5CA6" w14:textId="77777777" w:rsidR="0052733C" w:rsidRPr="00FA37D7" w:rsidRDefault="0052733C" w:rsidP="0052733C">
            <w:pPr>
              <w:pStyle w:val="TableText"/>
            </w:pPr>
            <w:r w:rsidRPr="00FA37D7">
              <w:t xml:space="preserve">Involvement of a </w:t>
            </w:r>
            <w:proofErr w:type="spellStart"/>
            <w:r w:rsidRPr="00FA37D7">
              <w:rPr>
                <w:rStyle w:val="Italic"/>
                <w:i w:val="0"/>
              </w:rPr>
              <w:t>BusinessRole</w:t>
            </w:r>
            <w:proofErr w:type="spellEnd"/>
            <w:r w:rsidRPr="00FA37D7">
              <w:t xml:space="preserve"> in a </w:t>
            </w:r>
            <w:proofErr w:type="spellStart"/>
            <w:r w:rsidRPr="00FA37D7">
              <w:rPr>
                <w:rStyle w:val="Italic"/>
                <w:i w:val="0"/>
              </w:rPr>
              <w:t>BusinessTransaction</w:t>
            </w:r>
            <w:proofErr w:type="spellEnd"/>
            <w:r w:rsidRPr="00FA37D7">
              <w:rPr>
                <w:rStyle w:val="Italic"/>
                <w:i w:val="0"/>
              </w:rPr>
              <w:t>.</w:t>
            </w:r>
          </w:p>
        </w:tc>
      </w:tr>
      <w:tr w:rsidR="0052733C" w:rsidRPr="00FA37D7" w14:paraId="05DF5CAA" w14:textId="77777777" w:rsidTr="0052733C">
        <w:tc>
          <w:tcPr>
            <w:tcW w:w="2376" w:type="dxa"/>
          </w:tcPr>
          <w:p w14:paraId="05DF5CA8" w14:textId="77777777" w:rsidR="0052733C" w:rsidRPr="00FA37D7" w:rsidRDefault="0052733C" w:rsidP="0052733C">
            <w:pPr>
              <w:pStyle w:val="TableText"/>
              <w:rPr>
                <w:rStyle w:val="Italic"/>
                <w:i w:val="0"/>
              </w:rPr>
            </w:pPr>
            <w:proofErr w:type="spellStart"/>
            <w:r w:rsidRPr="00FA37D7">
              <w:rPr>
                <w:rStyle w:val="Italic"/>
                <w:i w:val="0"/>
              </w:rPr>
              <w:t>BusinessProcess</w:t>
            </w:r>
            <w:proofErr w:type="spellEnd"/>
          </w:p>
        </w:tc>
        <w:tc>
          <w:tcPr>
            <w:tcW w:w="5988" w:type="dxa"/>
          </w:tcPr>
          <w:p w14:paraId="05DF5CA9" w14:textId="77777777" w:rsidR="0052733C" w:rsidRPr="00FA37D7" w:rsidRDefault="0052733C" w:rsidP="0052733C">
            <w:pPr>
              <w:pStyle w:val="TableText"/>
            </w:pPr>
            <w:r w:rsidRPr="00FA37D7">
              <w:t xml:space="preserve">Definition of the business activities undertaken by </w:t>
            </w:r>
            <w:proofErr w:type="spellStart"/>
            <w:r w:rsidRPr="00FA37D7">
              <w:rPr>
                <w:rStyle w:val="Italic"/>
                <w:i w:val="0"/>
              </w:rPr>
              <w:t>BusinessRoles</w:t>
            </w:r>
            <w:proofErr w:type="spellEnd"/>
            <w:r w:rsidRPr="00FA37D7">
              <w:t xml:space="preserve"> within a </w:t>
            </w:r>
            <w:proofErr w:type="spellStart"/>
            <w:r w:rsidRPr="00FA37D7">
              <w:rPr>
                <w:rStyle w:val="Italic"/>
                <w:i w:val="0"/>
              </w:rPr>
              <w:t>BusinessArea</w:t>
            </w:r>
            <w:proofErr w:type="spellEnd"/>
            <w:r w:rsidRPr="00FA37D7">
              <w:t xml:space="preserve"> whereby each </w:t>
            </w:r>
            <w:proofErr w:type="spellStart"/>
            <w:r w:rsidRPr="00FA37D7">
              <w:rPr>
                <w:rStyle w:val="Italic"/>
                <w:i w:val="0"/>
              </w:rPr>
              <w:t>BusinessProcess</w:t>
            </w:r>
            <w:proofErr w:type="spellEnd"/>
            <w:r w:rsidRPr="00FA37D7">
              <w:t xml:space="preserve"> fulfils one type of business activity and whereby a </w:t>
            </w:r>
            <w:proofErr w:type="spellStart"/>
            <w:r w:rsidRPr="00FA37D7">
              <w:rPr>
                <w:rStyle w:val="Italic"/>
                <w:i w:val="0"/>
              </w:rPr>
              <w:t>BusinessProcess</w:t>
            </w:r>
            <w:proofErr w:type="spellEnd"/>
            <w:r w:rsidRPr="00FA37D7">
              <w:t xml:space="preserve"> may include and extend other </w:t>
            </w:r>
            <w:proofErr w:type="spellStart"/>
            <w:r w:rsidRPr="00FA37D7">
              <w:rPr>
                <w:rStyle w:val="Italic"/>
                <w:i w:val="0"/>
              </w:rPr>
              <w:t>BusinessProcesses</w:t>
            </w:r>
            <w:proofErr w:type="spellEnd"/>
            <w:r w:rsidRPr="00FA37D7">
              <w:rPr>
                <w:rStyle w:val="Italic"/>
                <w:i w:val="0"/>
              </w:rPr>
              <w:t>.</w:t>
            </w:r>
          </w:p>
        </w:tc>
      </w:tr>
      <w:tr w:rsidR="0052733C" w:rsidRPr="00FA37D7" w14:paraId="05DF5CAD" w14:textId="77777777" w:rsidTr="0052733C">
        <w:tc>
          <w:tcPr>
            <w:tcW w:w="2376" w:type="dxa"/>
          </w:tcPr>
          <w:p w14:paraId="05DF5CAB" w14:textId="77777777" w:rsidR="0052733C" w:rsidRPr="00FA37D7" w:rsidRDefault="0052733C" w:rsidP="0052733C">
            <w:pPr>
              <w:pStyle w:val="TableText"/>
              <w:rPr>
                <w:rStyle w:val="Italic"/>
                <w:i w:val="0"/>
              </w:rPr>
            </w:pPr>
            <w:proofErr w:type="spellStart"/>
            <w:r w:rsidRPr="00FA37D7">
              <w:rPr>
                <w:rStyle w:val="Italic"/>
                <w:i w:val="0"/>
              </w:rPr>
              <w:t>BusinessTransaction</w:t>
            </w:r>
            <w:proofErr w:type="spellEnd"/>
          </w:p>
        </w:tc>
        <w:tc>
          <w:tcPr>
            <w:tcW w:w="5988" w:type="dxa"/>
          </w:tcPr>
          <w:p w14:paraId="05DF5CAC" w14:textId="77777777" w:rsidR="0052733C" w:rsidRPr="00FA37D7" w:rsidRDefault="0052733C" w:rsidP="0052733C">
            <w:pPr>
              <w:pStyle w:val="TableText"/>
            </w:pPr>
            <w:r w:rsidRPr="00FA37D7">
              <w:t xml:space="preserve">Particular solution that meets the communication requirements and the interaction requirements of a particular </w:t>
            </w:r>
            <w:proofErr w:type="spellStart"/>
            <w:r w:rsidRPr="00FA37D7">
              <w:rPr>
                <w:rStyle w:val="Italic"/>
                <w:i w:val="0"/>
              </w:rPr>
              <w:t>BusinessProcess</w:t>
            </w:r>
            <w:proofErr w:type="spellEnd"/>
            <w:r w:rsidRPr="00FA37D7">
              <w:t xml:space="preserve"> and </w:t>
            </w:r>
            <w:proofErr w:type="spellStart"/>
            <w:r w:rsidRPr="00FA37D7">
              <w:rPr>
                <w:rStyle w:val="Italic"/>
                <w:i w:val="0"/>
              </w:rPr>
              <w:t>BusinessArea</w:t>
            </w:r>
            <w:proofErr w:type="spellEnd"/>
            <w:r w:rsidRPr="00FA37D7">
              <w:rPr>
                <w:rStyle w:val="Italic"/>
                <w:i w:val="0"/>
              </w:rPr>
              <w:t>.</w:t>
            </w:r>
          </w:p>
        </w:tc>
      </w:tr>
      <w:tr w:rsidR="0052733C" w:rsidRPr="00FA37D7" w14:paraId="05DF5CB0" w14:textId="77777777" w:rsidTr="0052733C">
        <w:tc>
          <w:tcPr>
            <w:tcW w:w="2376" w:type="dxa"/>
          </w:tcPr>
          <w:p w14:paraId="05DF5CAE" w14:textId="77777777" w:rsidR="0052733C" w:rsidRPr="00FA37D7" w:rsidRDefault="0052733C" w:rsidP="0052733C">
            <w:pPr>
              <w:pStyle w:val="TableText"/>
              <w:rPr>
                <w:rStyle w:val="Italic"/>
                <w:i w:val="0"/>
              </w:rPr>
            </w:pPr>
            <w:proofErr w:type="spellStart"/>
            <w:r w:rsidRPr="00FA37D7">
              <w:rPr>
                <w:rStyle w:val="Italic"/>
                <w:i w:val="0"/>
              </w:rPr>
              <w:t>MessageDefinition</w:t>
            </w:r>
            <w:proofErr w:type="spellEnd"/>
          </w:p>
        </w:tc>
        <w:tc>
          <w:tcPr>
            <w:tcW w:w="5988" w:type="dxa"/>
          </w:tcPr>
          <w:p w14:paraId="05DF5CAF" w14:textId="77777777" w:rsidR="0052733C" w:rsidRPr="00FA37D7" w:rsidRDefault="0052733C" w:rsidP="0052733C">
            <w:pPr>
              <w:pStyle w:val="TableText"/>
            </w:pPr>
            <w:r w:rsidRPr="00FA37D7">
              <w:t>Formal description of the structure of a message instance.</w:t>
            </w:r>
          </w:p>
        </w:tc>
      </w:tr>
    </w:tbl>
    <w:p w14:paraId="05DF5CB1" w14:textId="77777777" w:rsidR="0085145A" w:rsidRPr="00FA37D7" w:rsidRDefault="0085145A" w:rsidP="0085145A">
      <w:pPr>
        <w:pStyle w:val="Note"/>
      </w:pPr>
      <w:r w:rsidRPr="00FA37D7">
        <w:t xml:space="preserve">When a </w:t>
      </w:r>
      <w:proofErr w:type="spellStart"/>
      <w:r w:rsidRPr="00FA37D7">
        <w:t>MessageDefinition</w:t>
      </w:r>
      <w:proofErr w:type="spellEnd"/>
      <w:r w:rsidRPr="00FA37D7">
        <w:t xml:space="preserve"> or message identifier </w:t>
      </w:r>
      <w:proofErr w:type="gramStart"/>
      <w:r w:rsidRPr="00FA37D7">
        <w:t>is specified</w:t>
      </w:r>
      <w:proofErr w:type="gramEnd"/>
      <w:r w:rsidRPr="00FA37D7">
        <w:t xml:space="preserve">, it should include the variant and version number. However, in this document (except in the business examples section, if present), variant and version numbers are not included. In order to know the correct variant and version number for a </w:t>
      </w:r>
      <w:proofErr w:type="spellStart"/>
      <w:r w:rsidRPr="00FA37D7">
        <w:t>MessageDefinition</w:t>
      </w:r>
      <w:proofErr w:type="spellEnd"/>
      <w:r w:rsidRPr="00FA37D7">
        <w:t xml:space="preserve">, the related Message Definition Report Part 2 document </w:t>
      </w:r>
      <w:proofErr w:type="gramStart"/>
      <w:r w:rsidRPr="00FA37D7">
        <w:t>should be consulted</w:t>
      </w:r>
      <w:proofErr w:type="gramEnd"/>
      <w:r w:rsidRPr="00FA37D7">
        <w:t>.</w:t>
      </w:r>
    </w:p>
    <w:p w14:paraId="05DF5CB2" w14:textId="3E511BF5" w:rsidR="00FD654E" w:rsidRPr="00FA37D7" w:rsidRDefault="00CD7997" w:rsidP="008F067F">
      <w:pPr>
        <w:pStyle w:val="Heading2"/>
      </w:pPr>
      <w:bookmarkStart w:id="7" w:name="_Toc45097623"/>
      <w:r w:rsidRPr="00FA37D7">
        <w:t>Abbreviations and Acronyms</w:t>
      </w:r>
      <w:bookmarkEnd w:id="7"/>
    </w:p>
    <w:p w14:paraId="05DF5CB3" w14:textId="77777777" w:rsidR="003355DB" w:rsidRPr="00FA37D7" w:rsidRDefault="003355DB" w:rsidP="003355DB">
      <w:pPr>
        <w:pStyle w:val="Normalbeforetable"/>
      </w:pPr>
      <w:r w:rsidRPr="00FA37D7">
        <w:t xml:space="preserve">The following is a list of abbreviations and </w:t>
      </w:r>
      <w:r w:rsidR="009C3408" w:rsidRPr="00FA37D7">
        <w:t>acronyms</w:t>
      </w:r>
      <w:r w:rsidRPr="00FA37D7">
        <w:t xml:space="preserve"> used in the document.</w:t>
      </w:r>
    </w:p>
    <w:tbl>
      <w:tblPr>
        <w:tblStyle w:val="TableShaded1stRow"/>
        <w:tblW w:w="0" w:type="auto"/>
        <w:tblLook w:val="04A0" w:firstRow="1" w:lastRow="0" w:firstColumn="1" w:lastColumn="0" w:noHBand="0" w:noVBand="1"/>
      </w:tblPr>
      <w:tblGrid>
        <w:gridCol w:w="2375"/>
        <w:gridCol w:w="5764"/>
      </w:tblGrid>
      <w:tr w:rsidR="0052733C" w:rsidRPr="00FA37D7" w14:paraId="05DF5CB6" w14:textId="77777777" w:rsidTr="0052733C">
        <w:trPr>
          <w:cnfStyle w:val="100000000000" w:firstRow="1" w:lastRow="0" w:firstColumn="0" w:lastColumn="0" w:oddVBand="0" w:evenVBand="0" w:oddHBand="0" w:evenHBand="0" w:firstRowFirstColumn="0" w:firstRowLastColumn="0" w:lastRowFirstColumn="0" w:lastRowLastColumn="0"/>
        </w:trPr>
        <w:tc>
          <w:tcPr>
            <w:tcW w:w="2376" w:type="dxa"/>
          </w:tcPr>
          <w:p w14:paraId="05DF5CB4" w14:textId="77777777" w:rsidR="0052733C" w:rsidRPr="00FA37D7" w:rsidRDefault="0052733C" w:rsidP="00DD3851">
            <w:pPr>
              <w:pStyle w:val="TableHeading"/>
            </w:pPr>
            <w:r w:rsidRPr="00FA37D7">
              <w:t>Abbreviation/Acronyms</w:t>
            </w:r>
          </w:p>
        </w:tc>
        <w:tc>
          <w:tcPr>
            <w:tcW w:w="5989" w:type="dxa"/>
          </w:tcPr>
          <w:p w14:paraId="05DF5CB5" w14:textId="77777777" w:rsidR="0052733C" w:rsidRPr="00FA37D7" w:rsidRDefault="0052733C" w:rsidP="00DD3851">
            <w:pPr>
              <w:pStyle w:val="TableHeading"/>
            </w:pPr>
            <w:r w:rsidRPr="00FA37D7">
              <w:t>Definition</w:t>
            </w:r>
          </w:p>
        </w:tc>
      </w:tr>
      <w:tr w:rsidR="0099451F" w:rsidRPr="00FA37D7" w14:paraId="3E85C1D4" w14:textId="77777777" w:rsidTr="00C15709">
        <w:tc>
          <w:tcPr>
            <w:tcW w:w="2376" w:type="dxa"/>
          </w:tcPr>
          <w:p w14:paraId="21698624" w14:textId="66C863B2" w:rsidR="0099451F" w:rsidRPr="0099451F" w:rsidRDefault="0099451F" w:rsidP="0099451F">
            <w:pPr>
              <w:pStyle w:val="TableText"/>
            </w:pPr>
            <w:r w:rsidRPr="00FA37D7">
              <w:t>C</w:t>
            </w:r>
            <w:r>
              <w:t>CP</w:t>
            </w:r>
          </w:p>
        </w:tc>
        <w:tc>
          <w:tcPr>
            <w:tcW w:w="5989" w:type="dxa"/>
          </w:tcPr>
          <w:p w14:paraId="684BC9B3" w14:textId="795D760F" w:rsidR="0099451F" w:rsidRPr="0099451F" w:rsidRDefault="0099451F" w:rsidP="0099451F">
            <w:pPr>
              <w:pStyle w:val="TableText"/>
            </w:pPr>
            <w:r w:rsidRPr="00FA37D7">
              <w:t xml:space="preserve">Central </w:t>
            </w:r>
            <w:r>
              <w:t>Counterparty</w:t>
            </w:r>
          </w:p>
        </w:tc>
      </w:tr>
      <w:tr w:rsidR="00023FBA" w:rsidRPr="00FA37D7" w14:paraId="5982F9AF" w14:textId="77777777" w:rsidTr="00023FBA">
        <w:tc>
          <w:tcPr>
            <w:tcW w:w="2376" w:type="dxa"/>
          </w:tcPr>
          <w:p w14:paraId="0EE19BCF" w14:textId="77777777" w:rsidR="00023FBA" w:rsidRPr="00023FBA" w:rsidRDefault="00023FBA" w:rsidP="00023FBA">
            <w:pPr>
              <w:pStyle w:val="TableText"/>
            </w:pPr>
            <w:r w:rsidRPr="00FA37D7">
              <w:t>CSD</w:t>
            </w:r>
          </w:p>
        </w:tc>
        <w:tc>
          <w:tcPr>
            <w:tcW w:w="5989" w:type="dxa"/>
          </w:tcPr>
          <w:p w14:paraId="0022FE50" w14:textId="77777777" w:rsidR="00023FBA" w:rsidRPr="00023FBA" w:rsidRDefault="00023FBA" w:rsidP="00023FBA">
            <w:pPr>
              <w:pStyle w:val="TableText"/>
            </w:pPr>
            <w:r w:rsidRPr="00FA37D7">
              <w:t>Central Securities Depository</w:t>
            </w:r>
          </w:p>
        </w:tc>
      </w:tr>
      <w:tr w:rsidR="00A25754" w:rsidRPr="00FA37D7" w14:paraId="05DF5CBF" w14:textId="77777777" w:rsidTr="0052733C">
        <w:tc>
          <w:tcPr>
            <w:tcW w:w="2376" w:type="dxa"/>
          </w:tcPr>
          <w:p w14:paraId="05DF5CBD" w14:textId="758180B2" w:rsidR="00A25754" w:rsidRPr="00FA37D7" w:rsidRDefault="00A25754" w:rsidP="00A25754">
            <w:pPr>
              <w:pStyle w:val="TableText"/>
            </w:pPr>
            <w:r w:rsidRPr="00FA37D7">
              <w:t>CSD</w:t>
            </w:r>
            <w:r w:rsidR="00023FBA">
              <w:t>R</w:t>
            </w:r>
          </w:p>
        </w:tc>
        <w:tc>
          <w:tcPr>
            <w:tcW w:w="5989" w:type="dxa"/>
          </w:tcPr>
          <w:p w14:paraId="05DF5CBE" w14:textId="35365212" w:rsidR="00A25754" w:rsidRPr="00FA37D7" w:rsidRDefault="00A25754" w:rsidP="00A25754">
            <w:pPr>
              <w:pStyle w:val="TableText"/>
            </w:pPr>
            <w:r w:rsidRPr="00FA37D7">
              <w:t>Central Securities Depository</w:t>
            </w:r>
            <w:r w:rsidR="00023FBA">
              <w:t xml:space="preserve"> Regulation (EU)</w:t>
            </w:r>
          </w:p>
        </w:tc>
      </w:tr>
      <w:tr w:rsidR="00A25754" w:rsidRPr="00FA37D7" w14:paraId="05DF5CC2" w14:textId="77777777" w:rsidTr="0052733C">
        <w:tc>
          <w:tcPr>
            <w:tcW w:w="2376" w:type="dxa"/>
          </w:tcPr>
          <w:p w14:paraId="05DF5CC0" w14:textId="77777777" w:rsidR="00A25754" w:rsidRPr="00FA37D7" w:rsidRDefault="00A25754" w:rsidP="00A25754">
            <w:pPr>
              <w:pStyle w:val="TableText"/>
            </w:pPr>
            <w:r w:rsidRPr="00FA37D7">
              <w:t>ICSD</w:t>
            </w:r>
          </w:p>
        </w:tc>
        <w:tc>
          <w:tcPr>
            <w:tcW w:w="5989" w:type="dxa"/>
          </w:tcPr>
          <w:p w14:paraId="05DF5CC1" w14:textId="77777777" w:rsidR="00A25754" w:rsidRPr="00FA37D7" w:rsidRDefault="00A25754" w:rsidP="00A25754">
            <w:pPr>
              <w:pStyle w:val="TableText"/>
            </w:pPr>
            <w:r w:rsidRPr="00FA37D7">
              <w:t>International Central Securities Depository</w:t>
            </w:r>
          </w:p>
        </w:tc>
      </w:tr>
      <w:tr w:rsidR="0088633C" w:rsidRPr="00FA37D7" w14:paraId="56BC8C19" w14:textId="77777777" w:rsidTr="0088633C">
        <w:tc>
          <w:tcPr>
            <w:tcW w:w="2376" w:type="dxa"/>
          </w:tcPr>
          <w:p w14:paraId="518F411F" w14:textId="77777777" w:rsidR="0088633C" w:rsidRPr="0088633C" w:rsidRDefault="0088633C" w:rsidP="0088633C">
            <w:pPr>
              <w:pStyle w:val="TableText"/>
            </w:pPr>
            <w:r>
              <w:t>RTP</w:t>
            </w:r>
          </w:p>
        </w:tc>
        <w:tc>
          <w:tcPr>
            <w:tcW w:w="5989" w:type="dxa"/>
          </w:tcPr>
          <w:p w14:paraId="7FC2296F" w14:textId="3D9D3D73" w:rsidR="0088633C" w:rsidRPr="0088633C" w:rsidRDefault="0088633C" w:rsidP="0088633C">
            <w:pPr>
              <w:pStyle w:val="TableText"/>
            </w:pPr>
            <w:r>
              <w:t>Receiving Trading Party</w:t>
            </w:r>
          </w:p>
        </w:tc>
      </w:tr>
      <w:tr w:rsidR="0099451F" w:rsidRPr="00FA37D7" w14:paraId="3F4CFA9F" w14:textId="77777777" w:rsidTr="00C15709">
        <w:tc>
          <w:tcPr>
            <w:tcW w:w="2376" w:type="dxa"/>
          </w:tcPr>
          <w:p w14:paraId="649A95B7" w14:textId="2F567D80" w:rsidR="0099451F" w:rsidRPr="0099451F" w:rsidRDefault="0088633C" w:rsidP="0099451F">
            <w:pPr>
              <w:pStyle w:val="TableText"/>
            </w:pPr>
            <w:r>
              <w:t>D</w:t>
            </w:r>
            <w:r w:rsidR="0099451F">
              <w:t>TP</w:t>
            </w:r>
          </w:p>
        </w:tc>
        <w:tc>
          <w:tcPr>
            <w:tcW w:w="5989" w:type="dxa"/>
          </w:tcPr>
          <w:p w14:paraId="196E80B9" w14:textId="461BA113" w:rsidR="0099451F" w:rsidRPr="0099451F" w:rsidRDefault="0099451F" w:rsidP="0099451F">
            <w:pPr>
              <w:pStyle w:val="TableText"/>
            </w:pPr>
            <w:r>
              <w:t xml:space="preserve">Receiving </w:t>
            </w:r>
            <w:r w:rsidR="0088633C">
              <w:t>T</w:t>
            </w:r>
            <w:r>
              <w:t xml:space="preserve">rading </w:t>
            </w:r>
            <w:r w:rsidR="0088633C">
              <w:t>Pa</w:t>
            </w:r>
            <w:r>
              <w:t>rty</w:t>
            </w:r>
          </w:p>
        </w:tc>
      </w:tr>
      <w:tr w:rsidR="00A25754" w:rsidRPr="00FA37D7" w14:paraId="05DF5CC5" w14:textId="77777777" w:rsidTr="0052733C">
        <w:tc>
          <w:tcPr>
            <w:tcW w:w="2376" w:type="dxa"/>
          </w:tcPr>
          <w:p w14:paraId="05DF5CC3" w14:textId="77777777" w:rsidR="00A25754" w:rsidRPr="00FA37D7" w:rsidRDefault="00A25754" w:rsidP="00A25754">
            <w:pPr>
              <w:pStyle w:val="TableText"/>
            </w:pPr>
            <w:r w:rsidRPr="00FA37D7">
              <w:t>SMPG</w:t>
            </w:r>
          </w:p>
        </w:tc>
        <w:tc>
          <w:tcPr>
            <w:tcW w:w="5989" w:type="dxa"/>
          </w:tcPr>
          <w:p w14:paraId="05DF5CC4" w14:textId="77777777" w:rsidR="00A25754" w:rsidRPr="00FA37D7" w:rsidRDefault="00A25754" w:rsidP="00A25754">
            <w:pPr>
              <w:pStyle w:val="TableText"/>
            </w:pPr>
            <w:r w:rsidRPr="00FA37D7">
              <w:t>Securities Market Practice Group (www.smpg.info)</w:t>
            </w:r>
          </w:p>
        </w:tc>
      </w:tr>
    </w:tbl>
    <w:p w14:paraId="40A6916E" w14:textId="77777777" w:rsidR="0088633C" w:rsidRDefault="0088633C">
      <w:r>
        <w:rPr>
          <w:iCs/>
        </w:rPr>
        <w:br w:type="page"/>
      </w:r>
    </w:p>
    <w:p w14:paraId="05DF5CC6" w14:textId="77777777" w:rsidR="00526C98" w:rsidRPr="00FA37D7" w:rsidRDefault="000E53BB" w:rsidP="00A8050C">
      <w:pPr>
        <w:pStyle w:val="Heading2"/>
      </w:pPr>
      <w:bookmarkStart w:id="8" w:name="_Toc45097624"/>
      <w:r w:rsidRPr="00FA37D7">
        <w:lastRenderedPageBreak/>
        <w:t>Document Scope and Objectives</w:t>
      </w:r>
      <w:bookmarkEnd w:id="8"/>
    </w:p>
    <w:p w14:paraId="05DF5CC7" w14:textId="4C052D26" w:rsidR="00E20C03" w:rsidRDefault="00E20C03" w:rsidP="0069044F">
      <w:r w:rsidRPr="00FA37D7">
        <w:t xml:space="preserve">This document is the first part of the </w:t>
      </w:r>
      <w:r w:rsidR="00833C95">
        <w:t>Buy-In Regulatory Repo</w:t>
      </w:r>
      <w:r w:rsidR="00CE0CA0">
        <w:t>r</w:t>
      </w:r>
      <w:r w:rsidR="00833C95">
        <w:t>ting</w:t>
      </w:r>
      <w:r w:rsidR="00936F11" w:rsidRPr="00FA37D7">
        <w:t xml:space="preserve"> </w:t>
      </w:r>
      <w:r w:rsidRPr="00FA37D7">
        <w:t xml:space="preserve">Message Definition Report (MDR) that describes the </w:t>
      </w:r>
      <w:proofErr w:type="spellStart"/>
      <w:r w:rsidRPr="00FA37D7">
        <w:t>BusinessTransactions</w:t>
      </w:r>
      <w:proofErr w:type="spellEnd"/>
      <w:r w:rsidRPr="00FA37D7">
        <w:t xml:space="preserve"> and underlying message set. </w:t>
      </w:r>
    </w:p>
    <w:p w14:paraId="05DF5CC8" w14:textId="77777777" w:rsidR="00E20C03" w:rsidRPr="00FA37D7" w:rsidRDefault="00E20C03" w:rsidP="00E20C03">
      <w:r w:rsidRPr="00FA37D7">
        <w:t>This document describes the following:</w:t>
      </w:r>
    </w:p>
    <w:p w14:paraId="05DF5CC9" w14:textId="77777777" w:rsidR="00E20C03" w:rsidRPr="00FA37D7" w:rsidRDefault="002A331D" w:rsidP="00E20C03">
      <w:pPr>
        <w:pStyle w:val="ListBullet"/>
      </w:pPr>
      <w:r w:rsidRPr="00FA37D7">
        <w:t>t</w:t>
      </w:r>
      <w:r w:rsidR="00E20C03" w:rsidRPr="00FA37D7">
        <w:t xml:space="preserve">he </w:t>
      </w:r>
      <w:proofErr w:type="spellStart"/>
      <w:r w:rsidR="00E20C03" w:rsidRPr="00FA37D7">
        <w:t>BusinessProcess</w:t>
      </w:r>
      <w:proofErr w:type="spellEnd"/>
      <w:r w:rsidR="00E20C03" w:rsidRPr="00FA37D7">
        <w:t xml:space="preserve"> scope </w:t>
      </w:r>
    </w:p>
    <w:p w14:paraId="05DF5CCA" w14:textId="5A8C5EB5" w:rsidR="00E20C03" w:rsidRPr="00FA37D7" w:rsidRDefault="009461AE" w:rsidP="00E20C03">
      <w:pPr>
        <w:pStyle w:val="ListBullet"/>
      </w:pPr>
      <w:r>
        <w:t xml:space="preserve">the </w:t>
      </w:r>
      <w:proofErr w:type="spellStart"/>
      <w:r>
        <w:t>BusinessTransactions</w:t>
      </w:r>
      <w:proofErr w:type="spellEnd"/>
      <w:r>
        <w:t xml:space="preserve"> scope and the respective message flows</w:t>
      </w:r>
    </w:p>
    <w:p w14:paraId="05DF5CCB" w14:textId="77777777" w:rsidR="00E20C03" w:rsidRPr="00FA37D7" w:rsidRDefault="00E20C03" w:rsidP="00E20C03">
      <w:r w:rsidRPr="00FA37D7">
        <w:t>The main objectives of this document are as follows:</w:t>
      </w:r>
    </w:p>
    <w:p w14:paraId="05DF5CCC" w14:textId="77777777" w:rsidR="00E20C03" w:rsidRPr="00FA37D7" w:rsidRDefault="002A331D" w:rsidP="00E20C03">
      <w:pPr>
        <w:pStyle w:val="ListBullet"/>
      </w:pPr>
      <w:r w:rsidRPr="00FA37D7">
        <w:t>t</w:t>
      </w:r>
      <w:r w:rsidR="00E20C03" w:rsidRPr="00FA37D7">
        <w:t xml:space="preserve">o provide information about the messages </w:t>
      </w:r>
      <w:r w:rsidR="00C82AF8" w:rsidRPr="00FA37D7">
        <w:t>that support the business processes</w:t>
      </w:r>
    </w:p>
    <w:p w14:paraId="05DF5CCD" w14:textId="77777777" w:rsidR="00E20C03" w:rsidRPr="00FA37D7" w:rsidRDefault="002A331D" w:rsidP="00E20C03">
      <w:pPr>
        <w:pStyle w:val="ListBullet"/>
      </w:pPr>
      <w:r w:rsidRPr="00FA37D7">
        <w:t>t</w:t>
      </w:r>
      <w:r w:rsidR="00E20C03" w:rsidRPr="00FA37D7">
        <w:t xml:space="preserve">o explain the </w:t>
      </w:r>
      <w:proofErr w:type="spellStart"/>
      <w:r w:rsidR="00E20C03" w:rsidRPr="00FA37D7">
        <w:t>BusinessProcesses</w:t>
      </w:r>
      <w:proofErr w:type="spellEnd"/>
      <w:r w:rsidR="00E20C03" w:rsidRPr="00FA37D7">
        <w:t xml:space="preserve"> and </w:t>
      </w:r>
      <w:proofErr w:type="spellStart"/>
      <w:r w:rsidR="00E20C03" w:rsidRPr="00FA37D7">
        <w:t>BusinessActivities</w:t>
      </w:r>
      <w:proofErr w:type="spellEnd"/>
      <w:r w:rsidR="00E20C03" w:rsidRPr="00FA37D7">
        <w:t xml:space="preserve"> these messages have addressed</w:t>
      </w:r>
    </w:p>
    <w:p w14:paraId="05DF5CCE" w14:textId="77777777" w:rsidR="00E20C03" w:rsidRPr="00FA37D7" w:rsidRDefault="002A331D" w:rsidP="00E20C03">
      <w:pPr>
        <w:pStyle w:val="ListBullet"/>
      </w:pPr>
      <w:r w:rsidRPr="00FA37D7">
        <w:t>t</w:t>
      </w:r>
      <w:r w:rsidR="00E20C03" w:rsidRPr="00FA37D7">
        <w:t xml:space="preserve">o give a high level description of </w:t>
      </w:r>
      <w:proofErr w:type="spellStart"/>
      <w:r w:rsidR="00E20C03" w:rsidRPr="00FA37D7">
        <w:t>BusinessProcesses</w:t>
      </w:r>
      <w:proofErr w:type="spellEnd"/>
      <w:r w:rsidR="00E20C03" w:rsidRPr="00FA37D7">
        <w:t xml:space="preserve"> and the associated </w:t>
      </w:r>
      <w:proofErr w:type="spellStart"/>
      <w:r w:rsidR="00E20C03" w:rsidRPr="00FA37D7">
        <w:t>BusinessRoles</w:t>
      </w:r>
      <w:proofErr w:type="spellEnd"/>
    </w:p>
    <w:p w14:paraId="05DF5CCF" w14:textId="77777777" w:rsidR="00E20C03" w:rsidRPr="00FA37D7" w:rsidRDefault="002A331D" w:rsidP="00E20C03">
      <w:pPr>
        <w:pStyle w:val="ListBullet"/>
      </w:pPr>
      <w:r w:rsidRPr="00FA37D7">
        <w:t>t</w:t>
      </w:r>
      <w:r w:rsidR="00E20C03" w:rsidRPr="00FA37D7">
        <w:t>o doc</w:t>
      </w:r>
      <w:r w:rsidR="00C82AF8" w:rsidRPr="00FA37D7">
        <w:t xml:space="preserve">ument the </w:t>
      </w:r>
      <w:proofErr w:type="spellStart"/>
      <w:r w:rsidR="00C82AF8" w:rsidRPr="00FA37D7">
        <w:t>BusinessTransactions</w:t>
      </w:r>
      <w:proofErr w:type="spellEnd"/>
      <w:r w:rsidR="00E20C03" w:rsidRPr="00FA37D7">
        <w:t xml:space="preserve"> </w:t>
      </w:r>
    </w:p>
    <w:p w14:paraId="05DF5CD0" w14:textId="77777777" w:rsidR="00E20C03" w:rsidRPr="00FA37D7" w:rsidRDefault="002A331D" w:rsidP="00F84EE5">
      <w:pPr>
        <w:pStyle w:val="ListBullet"/>
      </w:pPr>
      <w:r w:rsidRPr="00FA37D7">
        <w:t>t</w:t>
      </w:r>
      <w:r w:rsidR="00E20C03" w:rsidRPr="00FA37D7">
        <w:t>o provide business examples</w:t>
      </w:r>
    </w:p>
    <w:p w14:paraId="05DF5CD1" w14:textId="5EBFA8F1" w:rsidR="000E53BB" w:rsidRDefault="00E20C03" w:rsidP="00E632EE">
      <w:r w:rsidRPr="00FA37D7">
        <w:t xml:space="preserve">The messages definitions </w:t>
      </w:r>
      <w:proofErr w:type="gramStart"/>
      <w:r w:rsidRPr="00FA37D7">
        <w:t>are specified</w:t>
      </w:r>
      <w:proofErr w:type="gramEnd"/>
      <w:r w:rsidRPr="00FA37D7">
        <w:t xml:space="preserve"> in Message Definition Report Part 2.</w:t>
      </w:r>
    </w:p>
    <w:p w14:paraId="05DF5CD2" w14:textId="77777777" w:rsidR="009B4C6A" w:rsidRPr="00FA37D7" w:rsidRDefault="009B4C6A" w:rsidP="009B4C6A">
      <w:pPr>
        <w:pStyle w:val="Heading2"/>
      </w:pPr>
      <w:bookmarkStart w:id="9" w:name="_Toc45097625"/>
      <w:r w:rsidRPr="00FA37D7">
        <w:t>References</w:t>
      </w:r>
      <w:bookmarkEnd w:id="9"/>
    </w:p>
    <w:tbl>
      <w:tblPr>
        <w:tblStyle w:val="TableShaded1stRow"/>
        <w:tblW w:w="0" w:type="auto"/>
        <w:tblInd w:w="817" w:type="dxa"/>
        <w:tblLook w:val="04A0" w:firstRow="1" w:lastRow="0" w:firstColumn="1" w:lastColumn="0" w:noHBand="0" w:noVBand="1"/>
      </w:tblPr>
      <w:tblGrid>
        <w:gridCol w:w="4450"/>
        <w:gridCol w:w="1159"/>
        <w:gridCol w:w="1577"/>
        <w:gridCol w:w="1288"/>
      </w:tblGrid>
      <w:tr w:rsidR="009B4C6A" w:rsidRPr="00FA37D7" w14:paraId="05DF5CD7" w14:textId="77777777" w:rsidTr="00023FBA">
        <w:trPr>
          <w:cnfStyle w:val="100000000000" w:firstRow="1" w:lastRow="0" w:firstColumn="0" w:lastColumn="0" w:oddVBand="0" w:evenVBand="0" w:oddHBand="0" w:evenHBand="0" w:firstRowFirstColumn="0" w:firstRowLastColumn="0" w:lastRowFirstColumn="0" w:lastRowLastColumn="0"/>
        </w:trPr>
        <w:tc>
          <w:tcPr>
            <w:tcW w:w="4601" w:type="dxa"/>
          </w:tcPr>
          <w:p w14:paraId="05DF5CD3" w14:textId="77777777" w:rsidR="009B4C6A" w:rsidRPr="00FA37D7" w:rsidRDefault="009B4C6A" w:rsidP="009B4C6A">
            <w:pPr>
              <w:pStyle w:val="TableHeading"/>
            </w:pPr>
            <w:r w:rsidRPr="00FA37D7">
              <w:t>Document</w:t>
            </w:r>
          </w:p>
        </w:tc>
        <w:tc>
          <w:tcPr>
            <w:tcW w:w="1170" w:type="dxa"/>
          </w:tcPr>
          <w:p w14:paraId="05DF5CD4" w14:textId="77777777" w:rsidR="009B4C6A" w:rsidRPr="00FA37D7" w:rsidRDefault="009B4C6A" w:rsidP="009B4C6A">
            <w:pPr>
              <w:pStyle w:val="TableHeading"/>
            </w:pPr>
            <w:r w:rsidRPr="00FA37D7">
              <w:t>Version</w:t>
            </w:r>
          </w:p>
        </w:tc>
        <w:tc>
          <w:tcPr>
            <w:tcW w:w="1620" w:type="dxa"/>
          </w:tcPr>
          <w:p w14:paraId="05DF5CD5" w14:textId="77777777" w:rsidR="009B4C6A" w:rsidRPr="00FA37D7" w:rsidRDefault="009B4C6A" w:rsidP="009B4C6A">
            <w:pPr>
              <w:pStyle w:val="TableHeading"/>
            </w:pPr>
            <w:r w:rsidRPr="00FA37D7">
              <w:t>Date</w:t>
            </w:r>
          </w:p>
        </w:tc>
        <w:tc>
          <w:tcPr>
            <w:tcW w:w="1309" w:type="dxa"/>
          </w:tcPr>
          <w:p w14:paraId="05DF5CD6" w14:textId="77777777" w:rsidR="009B4C6A" w:rsidRPr="00FA37D7" w:rsidRDefault="009B4C6A" w:rsidP="009B4C6A">
            <w:pPr>
              <w:pStyle w:val="TableHeading"/>
            </w:pPr>
            <w:r w:rsidRPr="00FA37D7">
              <w:t>Author</w:t>
            </w:r>
          </w:p>
        </w:tc>
      </w:tr>
      <w:tr w:rsidR="00023FBA" w:rsidRPr="00FA37D7" w14:paraId="64088FAD" w14:textId="77777777" w:rsidTr="00023FBA">
        <w:tc>
          <w:tcPr>
            <w:tcW w:w="4601" w:type="dxa"/>
          </w:tcPr>
          <w:p w14:paraId="047E3357" w14:textId="77777777" w:rsidR="00023FBA" w:rsidRPr="00023FBA" w:rsidRDefault="00023FBA" w:rsidP="00B57D0B">
            <w:pPr>
              <w:pStyle w:val="TableText"/>
            </w:pPr>
            <w:r w:rsidRPr="00FA37D7">
              <w:t xml:space="preserve">ISO 20022 Business Justification – </w:t>
            </w:r>
          </w:p>
          <w:p w14:paraId="78844307" w14:textId="77777777" w:rsidR="00023FBA" w:rsidRPr="00023FBA" w:rsidRDefault="00023FBA" w:rsidP="00B57D0B">
            <w:pPr>
              <w:pStyle w:val="TableText"/>
            </w:pPr>
            <w:r>
              <w:t>CSDR Buy-in Reporting</w:t>
            </w:r>
          </w:p>
        </w:tc>
        <w:tc>
          <w:tcPr>
            <w:tcW w:w="1170" w:type="dxa"/>
          </w:tcPr>
          <w:p w14:paraId="050C6D1D" w14:textId="77777777" w:rsidR="00023FBA" w:rsidRPr="00FA37D7" w:rsidRDefault="00023FBA" w:rsidP="00B57D0B">
            <w:pPr>
              <w:pStyle w:val="TableText"/>
            </w:pPr>
          </w:p>
        </w:tc>
        <w:tc>
          <w:tcPr>
            <w:tcW w:w="1620" w:type="dxa"/>
          </w:tcPr>
          <w:p w14:paraId="48C2B7E5" w14:textId="3C530469" w:rsidR="00023FBA" w:rsidRPr="00023FBA" w:rsidRDefault="0088633C" w:rsidP="00B57D0B">
            <w:pPr>
              <w:pStyle w:val="TableText"/>
            </w:pPr>
            <w:r>
              <w:t xml:space="preserve">May </w:t>
            </w:r>
            <w:r w:rsidR="00023FBA" w:rsidRPr="00FA37D7">
              <w:t>20</w:t>
            </w:r>
            <w:r w:rsidR="00023FBA" w:rsidRPr="00023FBA">
              <w:t>20</w:t>
            </w:r>
          </w:p>
        </w:tc>
        <w:tc>
          <w:tcPr>
            <w:tcW w:w="1309" w:type="dxa"/>
          </w:tcPr>
          <w:p w14:paraId="7115952B" w14:textId="77777777" w:rsidR="00023FBA" w:rsidRPr="00023FBA" w:rsidRDefault="00023FBA" w:rsidP="00B57D0B">
            <w:pPr>
              <w:pStyle w:val="TableText"/>
            </w:pPr>
            <w:r>
              <w:t xml:space="preserve">KDPW, </w:t>
            </w:r>
            <w:r w:rsidRPr="00023FBA">
              <w:t>SWIFT</w:t>
            </w:r>
          </w:p>
        </w:tc>
      </w:tr>
      <w:tr w:rsidR="009B4C6A" w:rsidRPr="00FA37D7" w14:paraId="05DF5CDC" w14:textId="77777777" w:rsidTr="00023FBA">
        <w:tc>
          <w:tcPr>
            <w:tcW w:w="4601" w:type="dxa"/>
          </w:tcPr>
          <w:p w14:paraId="05DF5CD8" w14:textId="77DCD00C" w:rsidR="009B4C6A" w:rsidRPr="00FA37D7" w:rsidRDefault="00023FBA" w:rsidP="00B57D0B">
            <w:pPr>
              <w:pStyle w:val="TableText"/>
            </w:pPr>
            <w:r>
              <w:t>S</w:t>
            </w:r>
            <w:r w:rsidRPr="00023FBA">
              <w:t xml:space="preserve">MPG Market Practice </w:t>
            </w:r>
            <w:r w:rsidR="00B57D0B" w:rsidRPr="00FA37D7">
              <w:t>–</w:t>
            </w:r>
            <w:r>
              <w:t xml:space="preserve"> </w:t>
            </w:r>
            <w:r w:rsidRPr="00023FBA">
              <w:t>CSDR Buy-in Process</w:t>
            </w:r>
            <w:r>
              <w:t xml:space="preserve">: </w:t>
            </w:r>
            <w:r w:rsidRPr="00023FBA">
              <w:t>Reporting to the CSD</w:t>
            </w:r>
            <w:r>
              <w:t xml:space="preserve"> </w:t>
            </w:r>
          </w:p>
        </w:tc>
        <w:tc>
          <w:tcPr>
            <w:tcW w:w="1170" w:type="dxa"/>
          </w:tcPr>
          <w:p w14:paraId="05DF5CD9" w14:textId="77777777" w:rsidR="009B4C6A" w:rsidRPr="00FA37D7" w:rsidRDefault="009B4C6A" w:rsidP="00B57D0B">
            <w:pPr>
              <w:pStyle w:val="TableText"/>
            </w:pPr>
          </w:p>
        </w:tc>
        <w:tc>
          <w:tcPr>
            <w:tcW w:w="1620" w:type="dxa"/>
          </w:tcPr>
          <w:p w14:paraId="05DF5CDA" w14:textId="31AF5E95" w:rsidR="009B4C6A" w:rsidRPr="00FA37D7" w:rsidRDefault="0088633C" w:rsidP="00B57D0B">
            <w:pPr>
              <w:pStyle w:val="TableText"/>
            </w:pPr>
            <w:r>
              <w:t xml:space="preserve">May </w:t>
            </w:r>
            <w:r w:rsidR="009B4C6A" w:rsidRPr="00FA37D7">
              <w:t>20</w:t>
            </w:r>
            <w:r w:rsidR="00833C95">
              <w:t>20</w:t>
            </w:r>
          </w:p>
        </w:tc>
        <w:tc>
          <w:tcPr>
            <w:tcW w:w="1309" w:type="dxa"/>
          </w:tcPr>
          <w:p w14:paraId="05DF5CDB" w14:textId="0AF4353A" w:rsidR="009B4C6A" w:rsidRPr="00FA37D7" w:rsidRDefault="00023FBA" w:rsidP="00B57D0B">
            <w:pPr>
              <w:pStyle w:val="TableText"/>
            </w:pPr>
            <w:r>
              <w:t>SMPG</w:t>
            </w:r>
          </w:p>
        </w:tc>
      </w:tr>
    </w:tbl>
    <w:p w14:paraId="05DF5CE7" w14:textId="77777777" w:rsidR="009B4C6A" w:rsidRPr="00FA37D7" w:rsidRDefault="009B4C6A" w:rsidP="009B4C6A"/>
    <w:p w14:paraId="05DF5CE8" w14:textId="77777777" w:rsidR="00B5372E" w:rsidRPr="00FA37D7" w:rsidRDefault="00B5372E" w:rsidP="00A8050C">
      <w:pPr>
        <w:pStyle w:val="Heading1"/>
      </w:pPr>
      <w:bookmarkStart w:id="10" w:name="_Toc45097626"/>
      <w:r w:rsidRPr="00FA37D7">
        <w:lastRenderedPageBreak/>
        <w:t>Scope and Functionality</w:t>
      </w:r>
      <w:bookmarkEnd w:id="10"/>
    </w:p>
    <w:p w14:paraId="05DF5CE9" w14:textId="77777777" w:rsidR="00B5372E" w:rsidRPr="00FA37D7" w:rsidRDefault="00B5372E" w:rsidP="004D01EB">
      <w:pPr>
        <w:pStyle w:val="Heading2"/>
      </w:pPr>
      <w:bookmarkStart w:id="11" w:name="_Toc45097627"/>
      <w:r w:rsidRPr="00FA37D7">
        <w:t>Background</w:t>
      </w:r>
      <w:bookmarkEnd w:id="11"/>
    </w:p>
    <w:p w14:paraId="7F01F36A" w14:textId="6E5F5008" w:rsidR="00F43E66" w:rsidRPr="00F43E66" w:rsidRDefault="00F43E66" w:rsidP="00F43E66">
      <w:r w:rsidRPr="00F43E66">
        <w:t xml:space="preserve">The </w:t>
      </w:r>
      <w:r>
        <w:t xml:space="preserve">EU </w:t>
      </w:r>
      <w:r w:rsidRPr="00F43E66">
        <w:t xml:space="preserve">CSD Regulation </w:t>
      </w:r>
      <w:r>
        <w:t xml:space="preserve">(CSDR) </w:t>
      </w:r>
      <w:r w:rsidRPr="00F43E66">
        <w:t xml:space="preserve">on Settlement Efficiency mandates a buy-in process if the delivering party is unable to deliver the securities. </w:t>
      </w:r>
    </w:p>
    <w:p w14:paraId="5A56C95D" w14:textId="255FA031" w:rsidR="00F43E66" w:rsidRPr="00F43E66" w:rsidRDefault="00F43E66" w:rsidP="00F43E66">
      <w:r w:rsidRPr="00F43E66">
        <w:t>Article 31.4 of the R</w:t>
      </w:r>
      <w:r>
        <w:t>egulatory Technical Standards (RTS)</w:t>
      </w:r>
      <w:r w:rsidRPr="00F43E66">
        <w:t xml:space="preserve"> on CSDR states: </w:t>
      </w:r>
    </w:p>
    <w:p w14:paraId="4E77E10E" w14:textId="77777777" w:rsidR="00F43E66" w:rsidRPr="00F43E66" w:rsidRDefault="00F43E66" w:rsidP="00F43E66">
      <w:r w:rsidRPr="00F43E66">
        <w:t xml:space="preserve">"The receiving trading party shall notify the results of the buy-in to the failing trading party at the latest on the last business day of the applicable period determined in accordance with Article 37. The receiving trading party shall ensure that the relevant CSD receives the information notified without undue delay." </w:t>
      </w:r>
    </w:p>
    <w:p w14:paraId="7FEBD984" w14:textId="2E8308A0" w:rsidR="00F43E66" w:rsidRDefault="00F43E66" w:rsidP="00F43E66">
      <w:r>
        <w:t xml:space="preserve">The above statement </w:t>
      </w:r>
      <w:r w:rsidRPr="00F43E66">
        <w:t>places a requirement on all parties in the settlement chain to communicate information regarding a buy-in</w:t>
      </w:r>
      <w:r w:rsidR="0088633C">
        <w:t xml:space="preserve"> (or </w:t>
      </w:r>
      <w:r w:rsidRPr="00F43E66">
        <w:t xml:space="preserve">cash </w:t>
      </w:r>
      <w:proofErr w:type="gramStart"/>
      <w:r w:rsidRPr="00F43E66">
        <w:t xml:space="preserve">compensation </w:t>
      </w:r>
      <w:r w:rsidR="0088633C">
        <w:t xml:space="preserve"> </w:t>
      </w:r>
      <w:r w:rsidR="00B57D0B">
        <w:t>if</w:t>
      </w:r>
      <w:proofErr w:type="gramEnd"/>
      <w:r w:rsidR="00B57D0B">
        <w:t xml:space="preserve"> it </w:t>
      </w:r>
      <w:r w:rsidR="0088633C">
        <w:t>was not possible to execute</w:t>
      </w:r>
      <w:r w:rsidR="00B57D0B">
        <w:t xml:space="preserve"> a buy-in transaction</w:t>
      </w:r>
      <w:r w:rsidR="0088633C">
        <w:t xml:space="preserve">) </w:t>
      </w:r>
      <w:r w:rsidRPr="00F43E66">
        <w:t xml:space="preserve">from the trading party through to the (I)CSD. </w:t>
      </w:r>
    </w:p>
    <w:p w14:paraId="63D4C440" w14:textId="00728ABE" w:rsidR="00F43E66" w:rsidRPr="00DF1690" w:rsidRDefault="00F43E66" w:rsidP="00F43E66">
      <w:r w:rsidRPr="00DF1690">
        <w:t xml:space="preserve">The purpose of the </w:t>
      </w:r>
      <w:r>
        <w:t>message</w:t>
      </w:r>
      <w:r w:rsidR="000A5526">
        <w:t xml:space="preserve"> set</w:t>
      </w:r>
      <w:r>
        <w:t xml:space="preserve"> described in this document</w:t>
      </w:r>
      <w:r w:rsidRPr="00DF1690">
        <w:t xml:space="preserve"> is to meet </w:t>
      </w:r>
      <w:r w:rsidR="00B57D0B">
        <w:t xml:space="preserve">the </w:t>
      </w:r>
      <w:r w:rsidRPr="00DF1690">
        <w:t xml:space="preserve">buy-in reporting requirements of </w:t>
      </w:r>
      <w:r w:rsidR="00B57D0B">
        <w:t xml:space="preserve">the </w:t>
      </w:r>
      <w:r w:rsidRPr="00DF1690">
        <w:t xml:space="preserve">CSDR by allowing automated communication between </w:t>
      </w:r>
      <w:r w:rsidR="00B57D0B">
        <w:t xml:space="preserve">the </w:t>
      </w:r>
      <w:r w:rsidRPr="00DF1690">
        <w:t>involved institutions using</w:t>
      </w:r>
      <w:r w:rsidR="00B57D0B">
        <w:t xml:space="preserve"> the</w:t>
      </w:r>
      <w:r w:rsidRPr="00DF1690">
        <w:t xml:space="preserve"> ISO</w:t>
      </w:r>
      <w:r w:rsidR="00B57D0B">
        <w:t xml:space="preserve"> </w:t>
      </w:r>
      <w:r w:rsidRPr="00DF1690">
        <w:t>20022 standard.</w:t>
      </w:r>
    </w:p>
    <w:p w14:paraId="16048D20" w14:textId="30427B95" w:rsidR="00F43E66" w:rsidRPr="00F43E66" w:rsidRDefault="00B57D0B" w:rsidP="00B57D0B">
      <w:pPr>
        <w:pStyle w:val="BlockLabel"/>
      </w:pPr>
      <w:r>
        <w:t>Underlying regulations</w:t>
      </w:r>
    </w:p>
    <w:p w14:paraId="47A6B4F4" w14:textId="09DE7EB9" w:rsidR="00F43E66" w:rsidRPr="00F43E66" w:rsidRDefault="00F43E66" w:rsidP="00B57D0B">
      <w:pPr>
        <w:pStyle w:val="ListBullet"/>
      </w:pPr>
      <w:r w:rsidRPr="00F43E66">
        <w:t>Regulation (EU) no 909/2014 of the European Parliament and of the Council of 23 July 2014 on improving securities settlement in the European Union and on central securities depositories and amending Directives 98/26/EC and 2014/65/EU and Regulation (EU) No</w:t>
      </w:r>
      <w:r w:rsidR="00B57D0B">
        <w:t xml:space="preserve"> 236/2012 (“EU CSD-Regulation”)</w:t>
      </w:r>
      <w:r w:rsidRPr="00F43E66">
        <w:t xml:space="preserve"> </w:t>
      </w:r>
    </w:p>
    <w:p w14:paraId="6178D48C" w14:textId="57F20FEF" w:rsidR="00F43E66" w:rsidRPr="00F43E66" w:rsidRDefault="00F43E66" w:rsidP="00B57D0B">
      <w:pPr>
        <w:pStyle w:val="ListBullet"/>
      </w:pPr>
      <w:r w:rsidRPr="00F43E66">
        <w:t>Delegated Regulation (DR) 2018/1229, supplementing Regulation (EU) No 909/2014 of the European Parliament and of the Council with regard to regulatory technical standards on the set</w:t>
      </w:r>
      <w:r w:rsidR="00B57D0B">
        <w:t>tlement discipline regime (SDR)</w:t>
      </w:r>
      <w:r w:rsidRPr="00F43E66">
        <w:t xml:space="preserve"> </w:t>
      </w:r>
    </w:p>
    <w:p w14:paraId="737EEBE1" w14:textId="47E801FB" w:rsidR="00F43E66" w:rsidRPr="00F43E66" w:rsidRDefault="00F43E66" w:rsidP="00B57D0B">
      <w:pPr>
        <w:pStyle w:val="ListBullet"/>
      </w:pPr>
      <w:r w:rsidRPr="00F43E66">
        <w:t>RTS: Regulatory Technical Standard</w:t>
      </w:r>
      <w:r w:rsidR="00B57D0B">
        <w:t>s</w:t>
      </w:r>
      <w:r w:rsidRPr="00F43E66">
        <w:t xml:space="preserve">, which are endorsed by the European Commission by means of a delegated act supplementing an EU Regulation or a Directive </w:t>
      </w:r>
    </w:p>
    <w:p w14:paraId="672BFB97" w14:textId="4E717F17" w:rsidR="00F43E66" w:rsidRPr="00F43E66" w:rsidRDefault="00F43E66" w:rsidP="00B57D0B">
      <w:pPr>
        <w:pStyle w:val="ListBullet"/>
      </w:pPr>
      <w:r w:rsidRPr="00F43E66">
        <w:t xml:space="preserve">Commission Delegated Regulation (EU) 2017/392 of 11 November 2016 supplementing Regulation (EU) No 909/2014 of the European Parliament and of the Council with regard to regulatory technical standards on authorisation, supervisory and operational requirements for central securities depositories </w:t>
      </w:r>
    </w:p>
    <w:p w14:paraId="1D5FBC94" w14:textId="17BCCB66" w:rsidR="00F43E66" w:rsidRPr="00F43E66" w:rsidRDefault="00F43E66" w:rsidP="00B57D0B">
      <w:pPr>
        <w:pStyle w:val="ListBullet"/>
      </w:pPr>
      <w:r w:rsidRPr="00F43E66">
        <w:t xml:space="preserve">Commission Implementing Regulation (EU) 2017/394 of 11 November 2016 laying down implementing technical standards with regard to standard forms, templates and procedures for authorisation, review and evaluation of central securities depositories, for the cooperation between authorities of the home Member State and the host Member State, for the consultation of authorities involved in the authorisation to provide banking-type ancillary services, for access involving central securities depositories, and with regard to the format of the records to be maintained by central securities depositories in accordance with Regulation (EU) No 909/2014 of the European Parliament and of the Council </w:t>
      </w:r>
    </w:p>
    <w:p w14:paraId="7F80123B" w14:textId="450CA589" w:rsidR="00DF1690" w:rsidRDefault="00DF1690" w:rsidP="006D5CDE"/>
    <w:p w14:paraId="1BDDC2EE" w14:textId="40775852" w:rsidR="0088633C" w:rsidRDefault="0088633C">
      <w:pPr>
        <w:suppressAutoHyphens w:val="0"/>
        <w:spacing w:before="0"/>
      </w:pPr>
      <w:r>
        <w:br w:type="page"/>
      </w:r>
    </w:p>
    <w:p w14:paraId="05DF5CFB" w14:textId="77777777" w:rsidR="00B5372E" w:rsidRPr="00FA37D7" w:rsidRDefault="00B5372E" w:rsidP="004D01EB">
      <w:pPr>
        <w:pStyle w:val="Heading2"/>
      </w:pPr>
      <w:bookmarkStart w:id="12" w:name="_Toc45097628"/>
      <w:r w:rsidRPr="00FA37D7">
        <w:lastRenderedPageBreak/>
        <w:t>Scope</w:t>
      </w:r>
      <w:bookmarkEnd w:id="12"/>
    </w:p>
    <w:p w14:paraId="5D5CCCEE" w14:textId="289F650D" w:rsidR="00F43E66" w:rsidRDefault="00F43E66" w:rsidP="00F43E66">
      <w:r w:rsidRPr="00DF1690">
        <w:t xml:space="preserve">The scope of </w:t>
      </w:r>
      <w:r w:rsidR="005B1A07">
        <w:t xml:space="preserve">message set </w:t>
      </w:r>
      <w:r w:rsidR="0099451F">
        <w:t xml:space="preserve">described in this document </w:t>
      </w:r>
      <w:r w:rsidRPr="00DF1690">
        <w:t xml:space="preserve">is </w:t>
      </w:r>
      <w:proofErr w:type="gramStart"/>
      <w:r w:rsidRPr="00DF1690">
        <w:t xml:space="preserve">limited </w:t>
      </w:r>
      <w:r w:rsidR="0099451F">
        <w:t xml:space="preserve"> </w:t>
      </w:r>
      <w:r w:rsidRPr="00DF1690">
        <w:t>to</w:t>
      </w:r>
      <w:proofErr w:type="gramEnd"/>
      <w:r w:rsidRPr="00DF1690">
        <w:t xml:space="preserve"> </w:t>
      </w:r>
      <w:r w:rsidR="00B57D0B">
        <w:t xml:space="preserve">the </w:t>
      </w:r>
      <w:r w:rsidRPr="00DF1690">
        <w:t xml:space="preserve">reporting requirements of the respective regulations. </w:t>
      </w:r>
      <w:r w:rsidR="00B57D0B">
        <w:t>The f</w:t>
      </w:r>
      <w:r w:rsidRPr="00DF1690">
        <w:t xml:space="preserve">ull CSDR buy-in process </w:t>
      </w:r>
      <w:proofErr w:type="gramStart"/>
      <w:r w:rsidRPr="00DF1690">
        <w:t>is covered</w:t>
      </w:r>
      <w:proofErr w:type="gramEnd"/>
      <w:r w:rsidRPr="00DF1690">
        <w:t xml:space="preserve"> by </w:t>
      </w:r>
      <w:r w:rsidR="0099451F">
        <w:t xml:space="preserve">other </w:t>
      </w:r>
      <w:r w:rsidRPr="00DF1690">
        <w:t xml:space="preserve">messages and </w:t>
      </w:r>
      <w:r w:rsidR="0088633C">
        <w:t>has been</w:t>
      </w:r>
      <w:r w:rsidRPr="00DF1690">
        <w:t xml:space="preserve"> described in detail in </w:t>
      </w:r>
      <w:r w:rsidR="00612F4E">
        <w:t xml:space="preserve">the </w:t>
      </w:r>
      <w:r w:rsidRPr="00DF1690">
        <w:t>SMPG M</w:t>
      </w:r>
      <w:r w:rsidR="0099451F">
        <w:t>arket Practice</w:t>
      </w:r>
      <w:r w:rsidR="00612F4E">
        <w:t xml:space="preserve"> document</w:t>
      </w:r>
      <w:r w:rsidR="0099451F">
        <w:t>: "</w:t>
      </w:r>
      <w:r w:rsidR="0099451F" w:rsidRPr="00023FBA">
        <w:t>CSDR Buy-in Process</w:t>
      </w:r>
      <w:r w:rsidR="0099451F">
        <w:t xml:space="preserve"> - </w:t>
      </w:r>
      <w:r w:rsidR="0099451F" w:rsidRPr="00023FBA">
        <w:t>Reporting to the CSD</w:t>
      </w:r>
      <w:r w:rsidR="0099451F">
        <w:t>"</w:t>
      </w:r>
      <w:r w:rsidRPr="00DF1690">
        <w:t xml:space="preserve">. </w:t>
      </w:r>
    </w:p>
    <w:p w14:paraId="3F1B1D10" w14:textId="782F4CBF" w:rsidR="00F43E66" w:rsidRPr="00DF1690" w:rsidRDefault="00F43E66" w:rsidP="00F43E66">
      <w:r w:rsidRPr="00DF1690">
        <w:t>The message</w:t>
      </w:r>
      <w:r w:rsidR="0088633C">
        <w:t xml:space="preserve"> </w:t>
      </w:r>
      <w:r w:rsidRPr="00DF1690">
        <w:t>s</w:t>
      </w:r>
      <w:r w:rsidR="0088633C">
        <w:t>et</w:t>
      </w:r>
      <w:r w:rsidRPr="00DF1690">
        <w:t xml:space="preserve"> </w:t>
      </w:r>
      <w:r w:rsidR="0088633C">
        <w:t>is part of</w:t>
      </w:r>
      <w:r w:rsidRPr="00DF1690">
        <w:t xml:space="preserve"> securities settlement and reconciliation </w:t>
      </w:r>
      <w:r w:rsidR="0088633C">
        <w:t>business area</w:t>
      </w:r>
      <w:r w:rsidRPr="00DF1690">
        <w:t xml:space="preserve">. </w:t>
      </w:r>
    </w:p>
    <w:p w14:paraId="05DF5D04" w14:textId="521DADB8" w:rsidR="000851E4" w:rsidRPr="00FA37D7" w:rsidRDefault="000851E4" w:rsidP="00A72CAE">
      <w:pPr>
        <w:pStyle w:val="Heading2"/>
      </w:pPr>
      <w:bookmarkStart w:id="13" w:name="_Toc45097629"/>
      <w:proofErr w:type="spellStart"/>
      <w:r w:rsidRPr="00FA37D7">
        <w:t>Message</w:t>
      </w:r>
      <w:r w:rsidR="009B4C6A" w:rsidRPr="00FA37D7">
        <w:t>Definition</w:t>
      </w:r>
      <w:r w:rsidR="001428D2" w:rsidRPr="00FA37D7">
        <w:t>s</w:t>
      </w:r>
      <w:proofErr w:type="spellEnd"/>
      <w:r w:rsidRPr="00FA37D7">
        <w:t xml:space="preserve"> and Functionality</w:t>
      </w:r>
      <w:bookmarkEnd w:id="13"/>
    </w:p>
    <w:p w14:paraId="05DF5D05" w14:textId="18466D9E" w:rsidR="00CA5563" w:rsidRPr="00FA37D7" w:rsidRDefault="00CA5563" w:rsidP="00CA5563">
      <w:pPr>
        <w:pStyle w:val="Note"/>
      </w:pPr>
      <w:r w:rsidRPr="00FA37D7">
        <w:t xml:space="preserve">These </w:t>
      </w:r>
      <w:r w:rsidR="00813BE4" w:rsidRPr="00FA37D7">
        <w:t>messages</w:t>
      </w:r>
      <w:r w:rsidRPr="00FA37D7">
        <w:t xml:space="preserve"> are to </w:t>
      </w:r>
      <w:proofErr w:type="gramStart"/>
      <w:r w:rsidRPr="00FA37D7">
        <w:t>be used</w:t>
      </w:r>
      <w:proofErr w:type="gramEnd"/>
      <w:r w:rsidRPr="00FA37D7">
        <w:t xml:space="preserve"> with the ISO 20022 Business App</w:t>
      </w:r>
      <w:r w:rsidR="009B4C6A" w:rsidRPr="00FA37D7">
        <w:t>lication Header (head.001</w:t>
      </w:r>
      <w:r w:rsidRPr="00FA37D7">
        <w:t xml:space="preserve">). The schema and more information about the Business Application Header (BAH) </w:t>
      </w:r>
      <w:proofErr w:type="gramStart"/>
      <w:r w:rsidRPr="00FA37D7">
        <w:t>can be found</w:t>
      </w:r>
      <w:proofErr w:type="gramEnd"/>
      <w:r w:rsidRPr="00FA37D7">
        <w:t xml:space="preserve"> on the www.iso20022.org web site</w:t>
      </w:r>
      <w:r w:rsidR="00892E50">
        <w:t>.</w:t>
      </w:r>
    </w:p>
    <w:p w14:paraId="05DF5D08" w14:textId="6FECC66E" w:rsidR="003527CB" w:rsidRPr="00FA37D7" w:rsidRDefault="00AC3B6F" w:rsidP="00AC5A39">
      <w:pPr>
        <w:pStyle w:val="Heading3"/>
      </w:pPr>
      <w:r>
        <w:t xml:space="preserve">Buy-in </w:t>
      </w:r>
      <w:r w:rsidR="00404F6E">
        <w:t xml:space="preserve">Regulatory Reporting </w:t>
      </w:r>
    </w:p>
    <w:tbl>
      <w:tblPr>
        <w:tblStyle w:val="TableShaded1stRow"/>
        <w:tblW w:w="0" w:type="auto"/>
        <w:tblLook w:val="04A0" w:firstRow="1" w:lastRow="0" w:firstColumn="1" w:lastColumn="0" w:noHBand="0" w:noVBand="1"/>
      </w:tblPr>
      <w:tblGrid>
        <w:gridCol w:w="6245"/>
        <w:gridCol w:w="1894"/>
      </w:tblGrid>
      <w:tr w:rsidR="003527CB" w:rsidRPr="00FA37D7" w14:paraId="05DF5D0B" w14:textId="77777777" w:rsidTr="003527CB">
        <w:trPr>
          <w:cnfStyle w:val="100000000000" w:firstRow="1" w:lastRow="0" w:firstColumn="0" w:lastColumn="0" w:oddVBand="0" w:evenVBand="0" w:oddHBand="0" w:evenHBand="0" w:firstRowFirstColumn="0" w:firstRowLastColumn="0" w:lastRowFirstColumn="0" w:lastRowLastColumn="0"/>
        </w:trPr>
        <w:tc>
          <w:tcPr>
            <w:tcW w:w="6426" w:type="dxa"/>
          </w:tcPr>
          <w:p w14:paraId="05DF5D09" w14:textId="77777777" w:rsidR="003527CB" w:rsidRPr="00FA37D7" w:rsidRDefault="009B4C6A" w:rsidP="003527CB">
            <w:pPr>
              <w:pStyle w:val="TableText"/>
              <w:rPr>
                <w:rStyle w:val="Bold"/>
              </w:rPr>
            </w:pPr>
            <w:proofErr w:type="spellStart"/>
            <w:r w:rsidRPr="00FA37D7">
              <w:rPr>
                <w:rStyle w:val="Bold"/>
              </w:rPr>
              <w:t>MessageDefinition</w:t>
            </w:r>
            <w:proofErr w:type="spellEnd"/>
          </w:p>
        </w:tc>
        <w:tc>
          <w:tcPr>
            <w:tcW w:w="1939" w:type="dxa"/>
          </w:tcPr>
          <w:p w14:paraId="05DF5D0A" w14:textId="77777777" w:rsidR="003527CB" w:rsidRPr="00FA37D7" w:rsidRDefault="009B4C6A" w:rsidP="003527CB">
            <w:pPr>
              <w:pStyle w:val="TableText"/>
              <w:rPr>
                <w:rStyle w:val="Bold"/>
              </w:rPr>
            </w:pPr>
            <w:r w:rsidRPr="00FA37D7">
              <w:rPr>
                <w:rStyle w:val="Bold"/>
              </w:rPr>
              <w:t>Message Identifier</w:t>
            </w:r>
          </w:p>
        </w:tc>
      </w:tr>
      <w:tr w:rsidR="003527CB" w:rsidRPr="00FA37D7" w14:paraId="05DF5D0E" w14:textId="77777777" w:rsidTr="003527CB">
        <w:tc>
          <w:tcPr>
            <w:tcW w:w="6426" w:type="dxa"/>
          </w:tcPr>
          <w:p w14:paraId="05DF5D0C" w14:textId="1C1ED991" w:rsidR="003527CB" w:rsidRPr="00FA37D7" w:rsidRDefault="00AC3B6F" w:rsidP="003527CB">
            <w:pPr>
              <w:pStyle w:val="TableText"/>
            </w:pPr>
            <w:r>
              <w:t>B</w:t>
            </w:r>
            <w:r w:rsidRPr="00AC3B6F">
              <w:t>uy-</w:t>
            </w:r>
            <w:proofErr w:type="spellStart"/>
            <w:r w:rsidRPr="00AC3B6F">
              <w:t>In</w:t>
            </w:r>
            <w:r w:rsidR="00404F6E">
              <w:t>Regulatory</w:t>
            </w:r>
            <w:r w:rsidRPr="00AC3B6F">
              <w:t>Advice</w:t>
            </w:r>
            <w:proofErr w:type="spellEnd"/>
          </w:p>
        </w:tc>
        <w:tc>
          <w:tcPr>
            <w:tcW w:w="1939" w:type="dxa"/>
          </w:tcPr>
          <w:p w14:paraId="05DF5D0D" w14:textId="21DAF888" w:rsidR="003527CB" w:rsidRPr="00FA37D7" w:rsidRDefault="003527CB" w:rsidP="003527CB">
            <w:pPr>
              <w:pStyle w:val="TableText"/>
            </w:pPr>
            <w:r w:rsidRPr="00FA37D7">
              <w:t>sese.</w:t>
            </w:r>
            <w:r w:rsidR="005F5258">
              <w:t>041</w:t>
            </w:r>
          </w:p>
        </w:tc>
      </w:tr>
      <w:tr w:rsidR="003527CB" w:rsidRPr="00FA37D7" w14:paraId="05DF5D11" w14:textId="77777777" w:rsidTr="003527CB">
        <w:tc>
          <w:tcPr>
            <w:tcW w:w="6426" w:type="dxa"/>
          </w:tcPr>
          <w:p w14:paraId="05DF5D0F" w14:textId="0A29CEBB" w:rsidR="003527CB" w:rsidRPr="00FA37D7" w:rsidRDefault="00AC3B6F" w:rsidP="003527CB">
            <w:pPr>
              <w:pStyle w:val="TableText"/>
            </w:pPr>
            <w:r>
              <w:t>Buy-</w:t>
            </w:r>
            <w:proofErr w:type="spellStart"/>
            <w:r>
              <w:t>In</w:t>
            </w:r>
            <w:r w:rsidR="00404F6E">
              <w:t>Regulatory</w:t>
            </w:r>
            <w:r>
              <w:t>Advice</w:t>
            </w:r>
            <w:r w:rsidR="00404F6E">
              <w:t>Response</w:t>
            </w:r>
            <w:proofErr w:type="spellEnd"/>
          </w:p>
        </w:tc>
        <w:tc>
          <w:tcPr>
            <w:tcW w:w="1939" w:type="dxa"/>
          </w:tcPr>
          <w:p w14:paraId="05DF5D10" w14:textId="07565577" w:rsidR="003527CB" w:rsidRPr="00FA37D7" w:rsidRDefault="003527CB" w:rsidP="003527CB">
            <w:pPr>
              <w:pStyle w:val="TableText"/>
            </w:pPr>
            <w:r w:rsidRPr="00FA37D7">
              <w:t>sese.</w:t>
            </w:r>
            <w:r w:rsidR="005F5258">
              <w:t>042</w:t>
            </w:r>
          </w:p>
        </w:tc>
      </w:tr>
    </w:tbl>
    <w:p w14:paraId="05DF5D9C" w14:textId="77777777" w:rsidR="00C177D3" w:rsidRPr="00FA37D7" w:rsidRDefault="00C177D3" w:rsidP="00C177D3">
      <w:pPr>
        <w:pStyle w:val="Heading3"/>
      </w:pPr>
      <w:bookmarkStart w:id="14" w:name="_Toc426629049"/>
      <w:r w:rsidRPr="00FA37D7">
        <w:t>Functionality</w:t>
      </w:r>
      <w:bookmarkEnd w:id="14"/>
    </w:p>
    <w:p w14:paraId="05DF5D9D" w14:textId="77777777" w:rsidR="00C177D3" w:rsidRPr="00FA37D7" w:rsidRDefault="00C177D3" w:rsidP="00C177D3">
      <w:r w:rsidRPr="00FA37D7">
        <w:t>See Message Definition Report Part 2 for the message scopes and formats.</w:t>
      </w:r>
    </w:p>
    <w:p w14:paraId="05DF5D9F" w14:textId="77777777" w:rsidR="00B5372E" w:rsidRPr="00FA37D7" w:rsidRDefault="00B5372E" w:rsidP="00765D5B">
      <w:pPr>
        <w:pStyle w:val="Heading1"/>
      </w:pPr>
      <w:bookmarkStart w:id="15" w:name="_Toc45097630"/>
      <w:proofErr w:type="spellStart"/>
      <w:r w:rsidRPr="00FA37D7">
        <w:lastRenderedPageBreak/>
        <w:t>BusinessRoles</w:t>
      </w:r>
      <w:proofErr w:type="spellEnd"/>
      <w:r w:rsidRPr="00FA37D7">
        <w:t xml:space="preserve"> and Participants</w:t>
      </w:r>
      <w:bookmarkEnd w:id="15"/>
    </w:p>
    <w:p w14:paraId="05DF5DA0" w14:textId="77777777" w:rsidR="00665B53" w:rsidRPr="00FA37D7" w:rsidRDefault="00665B53" w:rsidP="00BB6A32">
      <w:r w:rsidRPr="00FA37D7">
        <w:t xml:space="preserve">A </w:t>
      </w:r>
      <w:proofErr w:type="spellStart"/>
      <w:r w:rsidRPr="00FA37D7">
        <w:t>BusinessRole</w:t>
      </w:r>
      <w:proofErr w:type="spellEnd"/>
      <w:r w:rsidRPr="00FA37D7">
        <w:t xml:space="preserve"> represents an entity (or a class of entities) of the real world, physical or legal, a person, a group of persons, a corporation. Examples of </w:t>
      </w:r>
      <w:proofErr w:type="spellStart"/>
      <w:r w:rsidRPr="00FA37D7">
        <w:t>BusinessRoles</w:t>
      </w:r>
      <w:proofErr w:type="spellEnd"/>
      <w:r w:rsidRPr="00FA37D7">
        <w:t>: “Financial Institution”, “Automated Clearing House”, “Central Securities Depository”.</w:t>
      </w:r>
    </w:p>
    <w:p w14:paraId="05DF5DA1" w14:textId="77777777" w:rsidR="00665B53" w:rsidRPr="00FA37D7" w:rsidRDefault="00665B53" w:rsidP="00BB6A32">
      <w:r w:rsidRPr="00FA37D7">
        <w:t xml:space="preserve">A Participant is a functional role performed by a </w:t>
      </w:r>
      <w:proofErr w:type="spellStart"/>
      <w:r w:rsidRPr="00FA37D7">
        <w:t>BusinessRole</w:t>
      </w:r>
      <w:proofErr w:type="spellEnd"/>
      <w:r w:rsidRPr="00FA37D7">
        <w:t xml:space="preserve"> in a particular </w:t>
      </w:r>
      <w:proofErr w:type="spellStart"/>
      <w:r w:rsidRPr="00FA37D7">
        <w:t>BusinessProcess</w:t>
      </w:r>
      <w:proofErr w:type="spellEnd"/>
      <w:r w:rsidRPr="00FA37D7">
        <w:t xml:space="preserve"> or </w:t>
      </w:r>
      <w:proofErr w:type="spellStart"/>
      <w:r w:rsidRPr="00FA37D7">
        <w:t>BusinessTransaction</w:t>
      </w:r>
      <w:proofErr w:type="spellEnd"/>
      <w:r w:rsidR="0094587D" w:rsidRPr="00FA37D7">
        <w:t xml:space="preserve">. Examples of Participants: </w:t>
      </w:r>
      <w:r w:rsidRPr="00FA37D7">
        <w:t>the “user” of a system, “deb</w:t>
      </w:r>
      <w:r w:rsidR="0094587D" w:rsidRPr="00FA37D7">
        <w:t>tor”, “creditor”, “investor”</w:t>
      </w:r>
      <w:r w:rsidRPr="00FA37D7">
        <w:t xml:space="preserve">. </w:t>
      </w:r>
    </w:p>
    <w:p w14:paraId="05DF5DA2" w14:textId="65FCC69E" w:rsidR="00665B53" w:rsidRPr="00FA37D7" w:rsidRDefault="00665B53" w:rsidP="00BB6A32">
      <w:r w:rsidRPr="00FA37D7">
        <w:t xml:space="preserve">The relationship between </w:t>
      </w:r>
      <w:proofErr w:type="spellStart"/>
      <w:r w:rsidRPr="00FA37D7">
        <w:t>BusinessRoles</w:t>
      </w:r>
      <w:proofErr w:type="spellEnd"/>
      <w:r w:rsidRPr="00FA37D7">
        <w:t xml:space="preserve"> and Participants is many-to-many. One </w:t>
      </w:r>
      <w:proofErr w:type="spellStart"/>
      <w:r w:rsidRPr="00FA37D7">
        <w:t>BusinessRole</w:t>
      </w:r>
      <w:proofErr w:type="spellEnd"/>
      <w:r w:rsidR="00FA37D7" w:rsidRPr="00FA37D7">
        <w:t xml:space="preserve"> </w:t>
      </w:r>
      <w:r w:rsidRPr="00FA37D7">
        <w:t>can be involved as different Participants at different mome</w:t>
      </w:r>
      <w:r w:rsidR="0094587D" w:rsidRPr="00FA37D7">
        <w:t>nts in time or at the same time. Exampl</w:t>
      </w:r>
      <w:r w:rsidR="000612B5" w:rsidRPr="00FA37D7">
        <w:t>e</w:t>
      </w:r>
      <w:r w:rsidR="0094587D" w:rsidRPr="00FA37D7">
        <w:t xml:space="preserve">s of </w:t>
      </w:r>
      <w:proofErr w:type="spellStart"/>
      <w:r w:rsidR="0094587D" w:rsidRPr="00FA37D7">
        <w:t>BusinessRoles</w:t>
      </w:r>
      <w:proofErr w:type="spellEnd"/>
      <w:r w:rsidR="0094587D" w:rsidRPr="00FA37D7">
        <w:t>:</w:t>
      </w:r>
      <w:r w:rsidR="00FA37D7" w:rsidRPr="00FA37D7">
        <w:t xml:space="preserve"> </w:t>
      </w:r>
      <w:r w:rsidRPr="00FA37D7">
        <w:t>"user", "debt</w:t>
      </w:r>
      <w:r w:rsidR="0094587D" w:rsidRPr="00FA37D7">
        <w:t>or”, "creditor", "investor"</w:t>
      </w:r>
      <w:r w:rsidRPr="00FA37D7">
        <w:t xml:space="preserve">. Different </w:t>
      </w:r>
      <w:proofErr w:type="spellStart"/>
      <w:r w:rsidRPr="00FA37D7">
        <w:t>BusinessRoles</w:t>
      </w:r>
      <w:proofErr w:type="spellEnd"/>
      <w:r w:rsidRPr="00FA37D7">
        <w:t xml:space="preserve"> can be involved as the same Participant.</w:t>
      </w:r>
    </w:p>
    <w:p w14:paraId="05DF5DA3" w14:textId="7AD82AE8" w:rsidR="00665B53" w:rsidRPr="00FA37D7" w:rsidRDefault="00665B53" w:rsidP="00EF6DAD">
      <w:r w:rsidRPr="00FA37D7">
        <w:t xml:space="preserve">In the context of </w:t>
      </w:r>
      <w:r w:rsidR="00C15709">
        <w:t>buy-in reporting</w:t>
      </w:r>
      <w:r w:rsidR="00612F4E">
        <w:t>,</w:t>
      </w:r>
      <w:r w:rsidR="00EF6DAD" w:rsidRPr="00FA37D7">
        <w:t xml:space="preserve"> </w:t>
      </w:r>
      <w:r w:rsidRPr="00FA37D7">
        <w:t xml:space="preserve">the high-level </w:t>
      </w:r>
      <w:proofErr w:type="spellStart"/>
      <w:r w:rsidRPr="00FA37D7">
        <w:t>BusinessRoles</w:t>
      </w:r>
      <w:proofErr w:type="spellEnd"/>
      <w:r w:rsidRPr="00FA37D7">
        <w:t xml:space="preserve"> and typical Participants</w:t>
      </w:r>
      <w:r w:rsidR="00B5567F" w:rsidRPr="00FA37D7">
        <w:t xml:space="preserve"> </w:t>
      </w:r>
      <w:proofErr w:type="gramStart"/>
      <w:r w:rsidR="00B5567F" w:rsidRPr="00FA37D7">
        <w:t>can be represented</w:t>
      </w:r>
      <w:proofErr w:type="gramEnd"/>
      <w:r w:rsidR="00B5567F" w:rsidRPr="00FA37D7">
        <w:t xml:space="preserve"> as follows:</w:t>
      </w:r>
    </w:p>
    <w:p w14:paraId="05DF5DA5" w14:textId="77777777" w:rsidR="00714DA9" w:rsidRPr="00FA37D7" w:rsidRDefault="00714DA9" w:rsidP="00F80208">
      <w:pPr>
        <w:pStyle w:val="Heading2"/>
      </w:pPr>
      <w:bookmarkStart w:id="16" w:name="_Toc45097631"/>
      <w:r w:rsidRPr="00FA37D7">
        <w:t xml:space="preserve">Participants and </w:t>
      </w:r>
      <w:proofErr w:type="spellStart"/>
      <w:r w:rsidRPr="00FA37D7">
        <w:t>BusinessRoles</w:t>
      </w:r>
      <w:proofErr w:type="spellEnd"/>
      <w:r w:rsidRPr="00FA37D7">
        <w:t xml:space="preserve"> Definitions</w:t>
      </w:r>
      <w:bookmarkEnd w:id="16"/>
    </w:p>
    <w:p w14:paraId="05DF5DA6" w14:textId="77777777" w:rsidR="00C177D3" w:rsidRPr="00FA37D7" w:rsidRDefault="00C177D3" w:rsidP="00C177D3">
      <w:pPr>
        <w:pStyle w:val="BlockLabelBeforeTable"/>
      </w:pPr>
      <w:r w:rsidRPr="00FA37D7">
        <w:t>Participants</w:t>
      </w:r>
    </w:p>
    <w:tbl>
      <w:tblPr>
        <w:tblStyle w:val="TableShaded1stRow"/>
        <w:tblW w:w="0" w:type="auto"/>
        <w:tblLook w:val="04A0" w:firstRow="1" w:lastRow="0" w:firstColumn="1" w:lastColumn="0" w:noHBand="0" w:noVBand="1"/>
      </w:tblPr>
      <w:tblGrid>
        <w:gridCol w:w="2419"/>
        <w:gridCol w:w="5720"/>
      </w:tblGrid>
      <w:tr w:rsidR="00C177D3" w:rsidRPr="00FA37D7" w14:paraId="05DF5DA9" w14:textId="77777777" w:rsidTr="00AD2D49">
        <w:trPr>
          <w:cnfStyle w:val="100000000000" w:firstRow="1" w:lastRow="0" w:firstColumn="0" w:lastColumn="0" w:oddVBand="0" w:evenVBand="0" w:oddHBand="0" w:evenHBand="0" w:firstRowFirstColumn="0" w:firstRowLastColumn="0" w:lastRowFirstColumn="0" w:lastRowLastColumn="0"/>
        </w:trPr>
        <w:tc>
          <w:tcPr>
            <w:tcW w:w="2466" w:type="dxa"/>
          </w:tcPr>
          <w:p w14:paraId="05DF5DA7" w14:textId="77777777" w:rsidR="00C177D3" w:rsidRPr="00FA37D7" w:rsidRDefault="00C177D3" w:rsidP="00C177D3">
            <w:pPr>
              <w:pStyle w:val="TableHeading"/>
            </w:pPr>
            <w:r w:rsidRPr="00FA37D7">
              <w:t>Description</w:t>
            </w:r>
          </w:p>
        </w:tc>
        <w:tc>
          <w:tcPr>
            <w:tcW w:w="5899" w:type="dxa"/>
          </w:tcPr>
          <w:p w14:paraId="05DF5DA8" w14:textId="77777777" w:rsidR="00C177D3" w:rsidRPr="00FA37D7" w:rsidRDefault="00C177D3" w:rsidP="00C177D3">
            <w:pPr>
              <w:pStyle w:val="TableHeading"/>
            </w:pPr>
            <w:r w:rsidRPr="00FA37D7">
              <w:t>Definition</w:t>
            </w:r>
          </w:p>
        </w:tc>
      </w:tr>
      <w:tr w:rsidR="00C177D3" w:rsidRPr="00FA37D7" w14:paraId="05DF5DAC" w14:textId="77777777" w:rsidTr="00AD2D49">
        <w:tc>
          <w:tcPr>
            <w:tcW w:w="2466" w:type="dxa"/>
          </w:tcPr>
          <w:p w14:paraId="05DF5DAA" w14:textId="5E16DF9E" w:rsidR="00C177D3" w:rsidRPr="00FA37D7" w:rsidRDefault="00C15709" w:rsidP="00C177D3">
            <w:pPr>
              <w:pStyle w:val="TableText"/>
            </w:pPr>
            <w:r>
              <w:t xml:space="preserve">Reporting </w:t>
            </w:r>
            <w:r w:rsidR="00C177D3" w:rsidRPr="00FA37D7">
              <w:t>Party</w:t>
            </w:r>
          </w:p>
        </w:tc>
        <w:tc>
          <w:tcPr>
            <w:tcW w:w="5899" w:type="dxa"/>
          </w:tcPr>
          <w:p w14:paraId="05DF5DAB" w14:textId="0CCA2E49" w:rsidR="00C177D3" w:rsidRPr="00FA37D7" w:rsidRDefault="00C177D3" w:rsidP="00612F4E">
            <w:pPr>
              <w:pStyle w:val="TableText"/>
            </w:pPr>
            <w:r w:rsidRPr="00FA37D7">
              <w:t xml:space="preserve">Party that </w:t>
            </w:r>
            <w:r w:rsidR="00C15709">
              <w:t xml:space="preserve">submits a report/advice to </w:t>
            </w:r>
            <w:r w:rsidR="00612F4E">
              <w:t xml:space="preserve">a </w:t>
            </w:r>
            <w:r w:rsidRPr="00FA37D7">
              <w:t xml:space="preserve">servicing party. The party must own the account or have a power of attorney </w:t>
            </w:r>
            <w:r w:rsidR="00612F4E">
              <w:t>over</w:t>
            </w:r>
            <w:r w:rsidRPr="00FA37D7">
              <w:t xml:space="preserve"> the account.</w:t>
            </w:r>
          </w:p>
        </w:tc>
      </w:tr>
      <w:tr w:rsidR="00C177D3" w:rsidRPr="00FA37D7" w14:paraId="05DF5DAF" w14:textId="77777777" w:rsidTr="00AD2D49">
        <w:tc>
          <w:tcPr>
            <w:tcW w:w="2466" w:type="dxa"/>
          </w:tcPr>
          <w:p w14:paraId="05DF5DAD" w14:textId="4979857F" w:rsidR="00C177D3" w:rsidRPr="00FA37D7" w:rsidRDefault="00C177D3" w:rsidP="00C177D3">
            <w:pPr>
              <w:pStyle w:val="TableText"/>
            </w:pPr>
            <w:r w:rsidRPr="00FA37D7">
              <w:t>Servicing Party</w:t>
            </w:r>
          </w:p>
        </w:tc>
        <w:tc>
          <w:tcPr>
            <w:tcW w:w="5899" w:type="dxa"/>
          </w:tcPr>
          <w:p w14:paraId="05DF5DAE" w14:textId="23875F05" w:rsidR="00C177D3" w:rsidRPr="00FA37D7" w:rsidRDefault="00C177D3" w:rsidP="00C177D3">
            <w:pPr>
              <w:pStyle w:val="TableText"/>
            </w:pPr>
            <w:r w:rsidRPr="00FA37D7">
              <w:t xml:space="preserve">Party that </w:t>
            </w:r>
            <w:r w:rsidR="00C15709">
              <w:t xml:space="preserve">receives </w:t>
            </w:r>
            <w:r w:rsidR="00612F4E">
              <w:t xml:space="preserve">the </w:t>
            </w:r>
            <w:r w:rsidR="00C15709">
              <w:t>buy-in report</w:t>
            </w:r>
            <w:r w:rsidR="00892E50">
              <w:t>.</w:t>
            </w:r>
          </w:p>
        </w:tc>
      </w:tr>
    </w:tbl>
    <w:p w14:paraId="05DF5DB0" w14:textId="77777777" w:rsidR="00C177D3" w:rsidRPr="00FA37D7" w:rsidRDefault="00C177D3" w:rsidP="00C177D3">
      <w:pPr>
        <w:pStyle w:val="BlockLabelBeforeTable"/>
      </w:pPr>
      <w:r w:rsidRPr="00FA37D7">
        <w:t>Business Roles</w:t>
      </w:r>
    </w:p>
    <w:tbl>
      <w:tblPr>
        <w:tblStyle w:val="TableShaded1stRow"/>
        <w:tblW w:w="0" w:type="auto"/>
        <w:tblLook w:val="04A0" w:firstRow="1" w:lastRow="0" w:firstColumn="1" w:lastColumn="0" w:noHBand="0" w:noVBand="1"/>
      </w:tblPr>
      <w:tblGrid>
        <w:gridCol w:w="2420"/>
        <w:gridCol w:w="5719"/>
      </w:tblGrid>
      <w:tr w:rsidR="00C177D3" w:rsidRPr="00FA37D7" w14:paraId="05DF5DB3" w14:textId="77777777" w:rsidTr="00AD2D49">
        <w:trPr>
          <w:cnfStyle w:val="100000000000" w:firstRow="1" w:lastRow="0" w:firstColumn="0" w:lastColumn="0" w:oddVBand="0" w:evenVBand="0" w:oddHBand="0" w:evenHBand="0" w:firstRowFirstColumn="0" w:firstRowLastColumn="0" w:lastRowFirstColumn="0" w:lastRowLastColumn="0"/>
        </w:trPr>
        <w:tc>
          <w:tcPr>
            <w:tcW w:w="2466" w:type="dxa"/>
          </w:tcPr>
          <w:p w14:paraId="05DF5DB1" w14:textId="77777777" w:rsidR="00C177D3" w:rsidRPr="00FA37D7" w:rsidRDefault="00C177D3" w:rsidP="00C177D3">
            <w:pPr>
              <w:pStyle w:val="TableHeading"/>
            </w:pPr>
            <w:r w:rsidRPr="00FA37D7">
              <w:t>Description</w:t>
            </w:r>
          </w:p>
        </w:tc>
        <w:tc>
          <w:tcPr>
            <w:tcW w:w="5899" w:type="dxa"/>
          </w:tcPr>
          <w:p w14:paraId="05DF5DB2" w14:textId="77777777" w:rsidR="00C177D3" w:rsidRPr="00FA37D7" w:rsidRDefault="00C177D3" w:rsidP="00C177D3">
            <w:pPr>
              <w:pStyle w:val="TableHeading"/>
            </w:pPr>
            <w:r w:rsidRPr="00FA37D7">
              <w:t>Definition</w:t>
            </w:r>
          </w:p>
        </w:tc>
      </w:tr>
      <w:tr w:rsidR="00C177D3" w:rsidRPr="00FA37D7" w14:paraId="05DF5DB6" w14:textId="77777777" w:rsidTr="00AD2D49">
        <w:tc>
          <w:tcPr>
            <w:tcW w:w="2466" w:type="dxa"/>
          </w:tcPr>
          <w:p w14:paraId="05DF5DB4" w14:textId="77777777" w:rsidR="00C177D3" w:rsidRPr="00FA37D7" w:rsidRDefault="00C177D3" w:rsidP="00C177D3">
            <w:pPr>
              <w:pStyle w:val="TableText"/>
            </w:pPr>
            <w:r w:rsidRPr="00FA37D7">
              <w:t>Global Settlement Agent</w:t>
            </w:r>
          </w:p>
        </w:tc>
        <w:tc>
          <w:tcPr>
            <w:tcW w:w="5899" w:type="dxa"/>
          </w:tcPr>
          <w:p w14:paraId="05DF5DB5" w14:textId="77777777" w:rsidR="00C177D3" w:rsidRPr="00FA37D7" w:rsidRDefault="00C177D3" w:rsidP="00C177D3">
            <w:pPr>
              <w:pStyle w:val="TableText"/>
            </w:pPr>
            <w:r w:rsidRPr="00FA37D7">
              <w:t xml:space="preserve">Party that holds another party's inventory of financial instruments, and effects or receives deliveries versus payment, or free of payment. Deliveries, receipts, and payments </w:t>
            </w:r>
            <w:proofErr w:type="gramStart"/>
            <w:r w:rsidRPr="00FA37D7">
              <w:t>may be affected within the facilities of the global settlement agent, or within the facilities of a local settlement agent, and directed by the global settlement agent</w:t>
            </w:r>
            <w:proofErr w:type="gramEnd"/>
            <w:r w:rsidRPr="00FA37D7">
              <w:t>. A global settlement agent may be a custodian and/or a clearing broker.</w:t>
            </w:r>
          </w:p>
        </w:tc>
      </w:tr>
      <w:tr w:rsidR="00C177D3" w:rsidRPr="00FA37D7" w14:paraId="05DF5DB9" w14:textId="77777777" w:rsidTr="00AD2D49">
        <w:tc>
          <w:tcPr>
            <w:tcW w:w="2466" w:type="dxa"/>
          </w:tcPr>
          <w:p w14:paraId="05DF5DB7" w14:textId="77777777" w:rsidR="00C177D3" w:rsidRPr="00FA37D7" w:rsidRDefault="00C177D3" w:rsidP="00C177D3">
            <w:pPr>
              <w:pStyle w:val="TableText"/>
            </w:pPr>
            <w:r w:rsidRPr="00FA37D7">
              <w:t>Local Settlement Agent</w:t>
            </w:r>
          </w:p>
        </w:tc>
        <w:tc>
          <w:tcPr>
            <w:tcW w:w="5899" w:type="dxa"/>
          </w:tcPr>
          <w:p w14:paraId="05DF5DB8" w14:textId="77777777" w:rsidR="00C177D3" w:rsidRPr="00FA37D7" w:rsidRDefault="00C177D3" w:rsidP="00C177D3">
            <w:pPr>
              <w:pStyle w:val="TableText"/>
            </w:pPr>
            <w:r w:rsidRPr="00FA37D7">
              <w:t>Party that holds a portion of another party's inventory of financial instruments within a location or market, effects or receives local deliveries versus payment, or free of payment, as directed by the global settlement agent. A local settlement agent may be a local custodian and/or a local clearing broker.</w:t>
            </w:r>
          </w:p>
        </w:tc>
      </w:tr>
      <w:tr w:rsidR="00C177D3" w:rsidRPr="00FA37D7" w14:paraId="05DF5DC2" w14:textId="77777777" w:rsidTr="00AD2D49">
        <w:tc>
          <w:tcPr>
            <w:tcW w:w="2466" w:type="dxa"/>
          </w:tcPr>
          <w:p w14:paraId="05DF5DC0" w14:textId="77777777" w:rsidR="00C177D3" w:rsidRPr="00FA37D7" w:rsidRDefault="00C177D3" w:rsidP="00C177D3">
            <w:pPr>
              <w:pStyle w:val="TableText"/>
            </w:pPr>
            <w:r w:rsidRPr="00FA37D7">
              <w:t>Central Counterparty</w:t>
            </w:r>
          </w:p>
        </w:tc>
        <w:tc>
          <w:tcPr>
            <w:tcW w:w="5899" w:type="dxa"/>
          </w:tcPr>
          <w:p w14:paraId="05DF5DC1" w14:textId="77777777" w:rsidR="00C177D3" w:rsidRPr="00FA37D7" w:rsidRDefault="00C177D3" w:rsidP="00C177D3">
            <w:pPr>
              <w:pStyle w:val="TableText"/>
            </w:pPr>
            <w:r w:rsidRPr="00FA37D7">
              <w:t>Infrastructure that is very often a component of a clearinghouse, and facilitates clearing and settlement for its members by standing between the buyer and the seller of a trade. It may net transactions, and substitutes itself as settlement counterparty to each position.</w:t>
            </w:r>
          </w:p>
        </w:tc>
      </w:tr>
      <w:tr w:rsidR="00C15709" w:rsidRPr="00FA37D7" w14:paraId="644C2F39" w14:textId="77777777" w:rsidTr="00C15709">
        <w:tc>
          <w:tcPr>
            <w:tcW w:w="2466" w:type="dxa"/>
          </w:tcPr>
          <w:p w14:paraId="3D13F294" w14:textId="77777777" w:rsidR="00C15709" w:rsidRPr="00C15709" w:rsidRDefault="00C15709" w:rsidP="00C15709">
            <w:pPr>
              <w:pStyle w:val="TableText"/>
            </w:pPr>
            <w:r w:rsidRPr="00FA37D7">
              <w:t>CSD /</w:t>
            </w:r>
            <w:r w:rsidRPr="00C15709">
              <w:t xml:space="preserve"> ICSD</w:t>
            </w:r>
          </w:p>
        </w:tc>
        <w:tc>
          <w:tcPr>
            <w:tcW w:w="5899" w:type="dxa"/>
          </w:tcPr>
          <w:p w14:paraId="414DE4B8" w14:textId="77777777" w:rsidR="00C15709" w:rsidRPr="00C15709" w:rsidRDefault="00C15709" w:rsidP="00C15709">
            <w:pPr>
              <w:pStyle w:val="TableText"/>
            </w:pPr>
            <w:r w:rsidRPr="00FA37D7">
              <w:t>Infrastructure that, holds or controls, the holding of physical or dematerialised financial instruments belonging</w:t>
            </w:r>
            <w:r w:rsidRPr="00C15709">
              <w:t xml:space="preserve"> to all, or a large portion of, the investors in a securities market. It effects the centralised transfer of ownership of such securities by entries on its books and records. The depository may delegate custody to another entity (custodian).</w:t>
            </w:r>
          </w:p>
        </w:tc>
      </w:tr>
      <w:tr w:rsidR="00C15709" w:rsidRPr="00FA37D7" w14:paraId="51DAA70A" w14:textId="77777777" w:rsidTr="00C15709">
        <w:tc>
          <w:tcPr>
            <w:tcW w:w="2466" w:type="dxa"/>
          </w:tcPr>
          <w:p w14:paraId="5A43A450" w14:textId="61EF57EE" w:rsidR="00C15709" w:rsidRPr="00C15709" w:rsidRDefault="00C15709" w:rsidP="00C15709">
            <w:pPr>
              <w:pStyle w:val="TableText"/>
            </w:pPr>
            <w:r>
              <w:t>Delivering T</w:t>
            </w:r>
            <w:r w:rsidRPr="00C15709">
              <w:t xml:space="preserve">rading </w:t>
            </w:r>
            <w:r>
              <w:t>P</w:t>
            </w:r>
            <w:r w:rsidRPr="00C15709">
              <w:t>arty</w:t>
            </w:r>
          </w:p>
        </w:tc>
        <w:tc>
          <w:tcPr>
            <w:tcW w:w="5899" w:type="dxa"/>
          </w:tcPr>
          <w:p w14:paraId="7003838D" w14:textId="116829F7" w:rsidR="00C15709" w:rsidRPr="00C15709" w:rsidRDefault="00612F4E" w:rsidP="00612F4E">
            <w:pPr>
              <w:pStyle w:val="TableText"/>
            </w:pPr>
            <w:r>
              <w:t>F</w:t>
            </w:r>
            <w:r w:rsidR="00C15709" w:rsidRPr="00C15709">
              <w:t xml:space="preserve">inancial institution </w:t>
            </w:r>
            <w:r w:rsidR="00C15709">
              <w:t>selling</w:t>
            </w:r>
            <w:r w:rsidR="00C15709" w:rsidRPr="00C15709">
              <w:t xml:space="preserve"> underlying assets. Other terms that have the same meaning in the context of </w:t>
            </w:r>
            <w:r>
              <w:t xml:space="preserve">a </w:t>
            </w:r>
            <w:r w:rsidR="00C15709" w:rsidRPr="00C15709">
              <w:t xml:space="preserve">buy-in process </w:t>
            </w:r>
            <w:proofErr w:type="gramStart"/>
            <w:r w:rsidR="00C15709" w:rsidRPr="00C15709">
              <w:t>are:</w:t>
            </w:r>
            <w:proofErr w:type="gramEnd"/>
            <w:r w:rsidR="00C15709" w:rsidRPr="00C15709">
              <w:t xml:space="preserve"> </w:t>
            </w:r>
            <w:r w:rsidR="00C15709">
              <w:lastRenderedPageBreak/>
              <w:t>Seller</w:t>
            </w:r>
            <w:r w:rsidR="00C15709" w:rsidRPr="00C15709">
              <w:t xml:space="preserve">, Failing </w:t>
            </w:r>
            <w:r w:rsidR="00C15709">
              <w:t xml:space="preserve">Delivering </w:t>
            </w:r>
            <w:r w:rsidR="00C15709" w:rsidRPr="00C15709">
              <w:t xml:space="preserve">Party. For trades cleared by a CCP this is the </w:t>
            </w:r>
            <w:r w:rsidR="00C15709">
              <w:t>delivering</w:t>
            </w:r>
            <w:r w:rsidR="00C15709" w:rsidRPr="00C15709">
              <w:t xml:space="preserve"> </w:t>
            </w:r>
            <w:r>
              <w:t>c</w:t>
            </w:r>
            <w:r w:rsidR="00C15709" w:rsidRPr="00C15709">
              <w:t>learing member.</w:t>
            </w:r>
          </w:p>
        </w:tc>
      </w:tr>
      <w:tr w:rsidR="00C15709" w:rsidRPr="00FA37D7" w14:paraId="708807FE" w14:textId="77777777" w:rsidTr="00C15709">
        <w:tc>
          <w:tcPr>
            <w:tcW w:w="2466" w:type="dxa"/>
          </w:tcPr>
          <w:p w14:paraId="78521926" w14:textId="20F923CC" w:rsidR="00C15709" w:rsidRPr="00C15709" w:rsidRDefault="00C15709" w:rsidP="00C15709">
            <w:pPr>
              <w:pStyle w:val="TableText"/>
            </w:pPr>
            <w:r>
              <w:lastRenderedPageBreak/>
              <w:t>R</w:t>
            </w:r>
            <w:r w:rsidRPr="00C15709">
              <w:t xml:space="preserve">eceiving </w:t>
            </w:r>
            <w:r>
              <w:t>T</w:t>
            </w:r>
            <w:r w:rsidRPr="00C15709">
              <w:t xml:space="preserve">rading </w:t>
            </w:r>
            <w:r>
              <w:t>P</w:t>
            </w:r>
            <w:r w:rsidRPr="00C15709">
              <w:t>arty</w:t>
            </w:r>
          </w:p>
        </w:tc>
        <w:tc>
          <w:tcPr>
            <w:tcW w:w="5899" w:type="dxa"/>
          </w:tcPr>
          <w:p w14:paraId="009BB554" w14:textId="05FE00EB" w:rsidR="00C15709" w:rsidRPr="00C15709" w:rsidRDefault="00612F4E" w:rsidP="00612F4E">
            <w:pPr>
              <w:pStyle w:val="TableText"/>
            </w:pPr>
            <w:r>
              <w:t>F</w:t>
            </w:r>
            <w:r w:rsidR="00C15709" w:rsidRPr="00C15709">
              <w:t xml:space="preserve">inancial institution buying underlying assets. Other terms that have the same meaning in the context of </w:t>
            </w:r>
            <w:r>
              <w:t xml:space="preserve">a </w:t>
            </w:r>
            <w:r w:rsidR="00C15709" w:rsidRPr="00C15709">
              <w:t xml:space="preserve">buy-in process </w:t>
            </w:r>
            <w:proofErr w:type="gramStart"/>
            <w:r w:rsidR="00C15709" w:rsidRPr="00C15709">
              <w:t>are:</w:t>
            </w:r>
            <w:proofErr w:type="gramEnd"/>
            <w:r w:rsidR="00C15709" w:rsidRPr="00C15709">
              <w:t xml:space="preserve"> Buyer, Receiver, RTP, Non Failing Party. For trades cleared by a CCP this is the </w:t>
            </w:r>
            <w:r>
              <w:t>r</w:t>
            </w:r>
            <w:r w:rsidR="00C15709" w:rsidRPr="00C15709">
              <w:t xml:space="preserve">eceiving </w:t>
            </w:r>
            <w:r>
              <w:t>c</w:t>
            </w:r>
            <w:r w:rsidR="00C15709" w:rsidRPr="00C15709">
              <w:t>learing member.</w:t>
            </w:r>
          </w:p>
        </w:tc>
      </w:tr>
      <w:tr w:rsidR="00C177D3" w:rsidRPr="00FA37D7" w14:paraId="05DF5DCB" w14:textId="77777777" w:rsidTr="00AD2D49">
        <w:tc>
          <w:tcPr>
            <w:tcW w:w="2466" w:type="dxa"/>
          </w:tcPr>
          <w:p w14:paraId="05DF5DC9" w14:textId="0E581965" w:rsidR="00C177D3" w:rsidRPr="00FA37D7" w:rsidRDefault="00C15709" w:rsidP="00C177D3">
            <w:pPr>
              <w:pStyle w:val="TableText"/>
            </w:pPr>
            <w:r>
              <w:t>National Competent Authority</w:t>
            </w:r>
          </w:p>
        </w:tc>
        <w:tc>
          <w:tcPr>
            <w:tcW w:w="5899" w:type="dxa"/>
          </w:tcPr>
          <w:p w14:paraId="05DF5DCA" w14:textId="2453FF66" w:rsidR="00C177D3" w:rsidRPr="00FA37D7" w:rsidRDefault="00FD21DF" w:rsidP="00C177D3">
            <w:pPr>
              <w:pStyle w:val="TableText"/>
            </w:pPr>
            <w:r w:rsidRPr="00FD21DF">
              <w:t>National competent authorities are organisations that have the legally delegated or invested authority, or power to perform a designated function, normally monitoring compliance with the national statutes and regulations</w:t>
            </w:r>
            <w:r w:rsidR="00C15709" w:rsidRPr="00C15709">
              <w:t>.</w:t>
            </w:r>
          </w:p>
        </w:tc>
      </w:tr>
    </w:tbl>
    <w:p w14:paraId="05DF5DFB" w14:textId="77777777" w:rsidR="00B5372E" w:rsidRPr="00FA37D7" w:rsidRDefault="00B5372E" w:rsidP="00A8050C">
      <w:pPr>
        <w:pStyle w:val="Heading1"/>
      </w:pPr>
      <w:bookmarkStart w:id="17" w:name="_Toc45097632"/>
      <w:proofErr w:type="spellStart"/>
      <w:r w:rsidRPr="00FA37D7">
        <w:lastRenderedPageBreak/>
        <w:t>BusinessProcess</w:t>
      </w:r>
      <w:proofErr w:type="spellEnd"/>
      <w:r w:rsidRPr="00FA37D7">
        <w:t xml:space="preserve"> Description</w:t>
      </w:r>
      <w:bookmarkEnd w:id="17"/>
    </w:p>
    <w:p w14:paraId="05DF6392" w14:textId="6AAAAE7A" w:rsidR="003422AF" w:rsidRPr="00FA37D7" w:rsidRDefault="009461AE" w:rsidP="003422AF">
      <w:pPr>
        <w:pStyle w:val="Heading2"/>
      </w:pPr>
      <w:bookmarkStart w:id="18" w:name="_Toc45097633"/>
      <w:r>
        <w:t>Buy-in Regulatory Reporting</w:t>
      </w:r>
      <w:bookmarkEnd w:id="18"/>
    </w:p>
    <w:p w14:paraId="05DF6393" w14:textId="7C75D8F0" w:rsidR="003422AF" w:rsidRDefault="008720D0" w:rsidP="003422AF">
      <w:r w:rsidRPr="00FA37D7">
        <w:t>Th</w:t>
      </w:r>
      <w:r w:rsidR="00C15709">
        <w:t>e</w:t>
      </w:r>
      <w:r w:rsidRPr="00FA37D7">
        <w:t xml:space="preserve"> diagram </w:t>
      </w:r>
      <w:r w:rsidR="00C15709">
        <w:t xml:space="preserve">below </w:t>
      </w:r>
      <w:r w:rsidRPr="00FA37D7">
        <w:t>shows</w:t>
      </w:r>
      <w:r w:rsidR="003422AF" w:rsidRPr="00FA37D7">
        <w:t xml:space="preserve"> the message flow between the </w:t>
      </w:r>
      <w:r w:rsidR="0099451F">
        <w:t>reporting</w:t>
      </w:r>
      <w:r w:rsidR="003422AF" w:rsidRPr="00FA37D7">
        <w:t xml:space="preserve"> </w:t>
      </w:r>
      <w:proofErr w:type="gramStart"/>
      <w:r w:rsidR="003422AF" w:rsidRPr="00FA37D7">
        <w:t>party</w:t>
      </w:r>
      <w:r w:rsidR="00C15709">
        <w:t>(</w:t>
      </w:r>
      <w:proofErr w:type="spellStart"/>
      <w:proofErr w:type="gramEnd"/>
      <w:r w:rsidR="00C15709">
        <w:t>ies</w:t>
      </w:r>
      <w:proofErr w:type="spellEnd"/>
      <w:r w:rsidR="00C15709">
        <w:t>)</w:t>
      </w:r>
      <w:r w:rsidR="003422AF" w:rsidRPr="00FA37D7">
        <w:t xml:space="preserve"> and the servicing party</w:t>
      </w:r>
      <w:r w:rsidR="00C15709">
        <w:t>(</w:t>
      </w:r>
      <w:proofErr w:type="spellStart"/>
      <w:r w:rsidR="00C15709">
        <w:t>ies</w:t>
      </w:r>
      <w:proofErr w:type="spellEnd"/>
      <w:r w:rsidR="00C15709">
        <w:t>)</w:t>
      </w:r>
      <w:r w:rsidR="003422AF" w:rsidRPr="00FA37D7">
        <w:t>.</w:t>
      </w:r>
    </w:p>
    <w:p w14:paraId="1851E722" w14:textId="170D070F" w:rsidR="0088633C" w:rsidRPr="0099451F" w:rsidRDefault="0088633C" w:rsidP="0088633C">
      <w:r w:rsidRPr="0099451F">
        <w:t xml:space="preserve">The results of the buy-in are communicated to the CSD by the </w:t>
      </w:r>
      <w:r>
        <w:t xml:space="preserve">receiving trading party (RTP) </w:t>
      </w:r>
      <w:r w:rsidRPr="0099451F">
        <w:t xml:space="preserve">or the </w:t>
      </w:r>
      <w:proofErr w:type="spellStart"/>
      <w:r w:rsidRPr="0099451F">
        <w:t>CCP</w:t>
      </w:r>
      <w:proofErr w:type="gramStart"/>
      <w:r w:rsidRPr="0099451F">
        <w:t>,</w:t>
      </w:r>
      <w:r w:rsidR="006538FA">
        <w:t>or</w:t>
      </w:r>
      <w:proofErr w:type="spellEnd"/>
      <w:proofErr w:type="gramEnd"/>
      <w:r w:rsidR="006538FA">
        <w:t xml:space="preserve"> the re</w:t>
      </w:r>
      <w:r w:rsidR="00064C82">
        <w:t>c</w:t>
      </w:r>
      <w:r w:rsidR="006538FA">
        <w:t>eiving trading venue member</w:t>
      </w:r>
      <w:r w:rsidR="00064C82">
        <w:t>,</w:t>
      </w:r>
      <w:r w:rsidRPr="0099451F">
        <w:t xml:space="preserve"> </w:t>
      </w:r>
      <w:r w:rsidR="00612F4E">
        <w:t xml:space="preserve">up through </w:t>
      </w:r>
      <w:r w:rsidRPr="0099451F">
        <w:t xml:space="preserve">the settlement chain. The RTP will communicate to its (global) custodian, who will forward </w:t>
      </w:r>
      <w:r w:rsidR="00612F4E">
        <w:t xml:space="preserve">it </w:t>
      </w:r>
      <w:r w:rsidRPr="0099451F">
        <w:t xml:space="preserve">to the local custodian or to the CSD. The CSD participant will forward </w:t>
      </w:r>
      <w:r w:rsidR="006547FE">
        <w:t xml:space="preserve">it </w:t>
      </w:r>
      <w:r w:rsidRPr="0099451F">
        <w:t>to the CSD</w:t>
      </w:r>
      <w:r>
        <w:t>.</w:t>
      </w:r>
    </w:p>
    <w:p w14:paraId="191CD16E" w14:textId="0C935940" w:rsidR="0088633C" w:rsidRPr="0099451F" w:rsidRDefault="0088633C" w:rsidP="0088633C">
      <w:r w:rsidRPr="0099451F">
        <w:t xml:space="preserve">The CSD stores the information received in line with the regulation and reports the number and value of buy-in transactions to </w:t>
      </w:r>
      <w:proofErr w:type="gramStart"/>
      <w:r w:rsidRPr="0099451F">
        <w:t xml:space="preserve">its </w:t>
      </w:r>
      <w:r w:rsidR="00612F4E" w:rsidRPr="00612F4E">
        <w:t xml:space="preserve"> </w:t>
      </w:r>
      <w:r w:rsidR="00612F4E">
        <w:t>National</w:t>
      </w:r>
      <w:proofErr w:type="gramEnd"/>
      <w:r w:rsidR="00612F4E">
        <w:t xml:space="preserve"> Competent Authority (NCA)</w:t>
      </w:r>
      <w:r w:rsidR="00892E50">
        <w:t xml:space="preserve"> </w:t>
      </w:r>
      <w:r w:rsidRPr="0099451F">
        <w:t>on a yearly basis. The detailed data needs to be available for ad</w:t>
      </w:r>
      <w:r w:rsidR="005449A0">
        <w:t xml:space="preserve"> </w:t>
      </w:r>
      <w:r w:rsidRPr="0099451F">
        <w:t xml:space="preserve">hoc investigations of the NCA. </w:t>
      </w:r>
    </w:p>
    <w:p w14:paraId="7085E488" w14:textId="0BD3B190" w:rsidR="005B1A07" w:rsidRDefault="0099451F" w:rsidP="005B1A07">
      <w:r>
        <w:t>Note, that t</w:t>
      </w:r>
      <w:r w:rsidR="005B1A07" w:rsidRPr="00DF1690">
        <w:t xml:space="preserve">he scope of this </w:t>
      </w:r>
      <w:r>
        <w:t>m</w:t>
      </w:r>
      <w:r w:rsidR="005B1A07">
        <w:t>es</w:t>
      </w:r>
      <w:r w:rsidR="003E6D0C">
        <w:t>sa</w:t>
      </w:r>
      <w:r w:rsidR="005B1A07">
        <w:t>ge</w:t>
      </w:r>
      <w:r>
        <w:t xml:space="preserve"> s</w:t>
      </w:r>
      <w:r w:rsidR="005B1A07">
        <w:t>et</w:t>
      </w:r>
      <w:r w:rsidR="005B1A07" w:rsidRPr="00DF1690">
        <w:t xml:space="preserve"> is limited to </w:t>
      </w:r>
      <w:r w:rsidR="00612F4E">
        <w:t xml:space="preserve">the </w:t>
      </w:r>
      <w:r w:rsidR="005B1A07" w:rsidRPr="00DF1690">
        <w:t xml:space="preserve">reporting requirements of the respective regulations. </w:t>
      </w:r>
      <w:r w:rsidR="008848D5">
        <w:t>The f</w:t>
      </w:r>
      <w:r w:rsidR="005B1A07" w:rsidRPr="00DF1690">
        <w:t xml:space="preserve">ull CSDR buy-in process </w:t>
      </w:r>
      <w:proofErr w:type="gramStart"/>
      <w:r w:rsidR="005B1A07" w:rsidRPr="00DF1690">
        <w:t>is covered</w:t>
      </w:r>
      <w:proofErr w:type="gramEnd"/>
      <w:r w:rsidR="005B1A07" w:rsidRPr="00DF1690">
        <w:t xml:space="preserve"> by </w:t>
      </w:r>
      <w:r w:rsidR="005B1A07">
        <w:t xml:space="preserve">other existing </w:t>
      </w:r>
      <w:r w:rsidR="005B1A07" w:rsidRPr="00DF1690">
        <w:t xml:space="preserve">messages and </w:t>
      </w:r>
      <w:r w:rsidR="00F24C3E">
        <w:t xml:space="preserve">has been </w:t>
      </w:r>
      <w:r w:rsidR="005B1A07" w:rsidRPr="00DF1690">
        <w:t xml:space="preserve">described in detail in </w:t>
      </w:r>
      <w:r w:rsidR="00612F4E">
        <w:t xml:space="preserve">the </w:t>
      </w:r>
      <w:r w:rsidR="005B1A07" w:rsidRPr="00DF1690">
        <w:t>SMPG M</w:t>
      </w:r>
      <w:r w:rsidR="00C15709">
        <w:t xml:space="preserve">arket </w:t>
      </w:r>
      <w:r w:rsidR="005B1A07" w:rsidRPr="00DF1690">
        <w:t>P</w:t>
      </w:r>
      <w:r w:rsidR="00C15709">
        <w:t>ractice</w:t>
      </w:r>
      <w:r w:rsidR="005B1A07" w:rsidRPr="00DF1690">
        <w:t xml:space="preserve"> document</w:t>
      </w:r>
      <w:r w:rsidR="00612F4E">
        <w:t xml:space="preserve"> "</w:t>
      </w:r>
      <w:r w:rsidR="00612F4E" w:rsidRPr="00023FBA">
        <w:t>CSDR Buy-in Process</w:t>
      </w:r>
      <w:r w:rsidR="00612F4E">
        <w:t xml:space="preserve"> - </w:t>
      </w:r>
      <w:r w:rsidR="00612F4E" w:rsidRPr="00023FBA">
        <w:t>Reporting to the CSD</w:t>
      </w:r>
      <w:r w:rsidR="00612F4E">
        <w:t>"</w:t>
      </w:r>
      <w:r w:rsidR="005B1A07" w:rsidRPr="00DF1690">
        <w:t xml:space="preserve">. </w:t>
      </w:r>
    </w:p>
    <w:p w14:paraId="7302DB4B" w14:textId="77777777" w:rsidR="009461AE" w:rsidRDefault="009461AE" w:rsidP="009461AE">
      <w:pPr>
        <w:pStyle w:val="BlockLabel"/>
      </w:pPr>
      <w:r>
        <w:t>Buy-in regulatory reporting</w:t>
      </w:r>
    </w:p>
    <w:p w14:paraId="57CDA1A2" w14:textId="5976A154" w:rsidR="009461AE" w:rsidRDefault="002132FF" w:rsidP="00A73834">
      <w:pPr>
        <w:pStyle w:val="Graphic"/>
      </w:pPr>
      <w:r>
        <w:object w:dxaOrig="9900" w:dyaOrig="9900" w14:anchorId="14F114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pt;height:367pt" o:ole="">
            <v:imagedata r:id="rId25" o:title=""/>
          </v:shape>
          <o:OLEObject Type="Embed" ProgID="Visio.Drawing.15" ShapeID="_x0000_i1025" DrawAspect="Content" ObjectID="_1668341278" r:id="rId26"/>
        </w:object>
      </w:r>
    </w:p>
    <w:p w14:paraId="05DF64CB" w14:textId="77777777" w:rsidR="000E53BB" w:rsidRPr="00FA37D7" w:rsidRDefault="00B5372E" w:rsidP="00A8050C">
      <w:pPr>
        <w:pStyle w:val="Heading1"/>
      </w:pPr>
      <w:bookmarkStart w:id="19" w:name="_Toc45097634"/>
      <w:r w:rsidRPr="00FA37D7">
        <w:lastRenderedPageBreak/>
        <w:t>Business Examples</w:t>
      </w:r>
      <w:bookmarkEnd w:id="19"/>
    </w:p>
    <w:p w14:paraId="05DF64CC" w14:textId="77777777" w:rsidR="002E1CB1" w:rsidRPr="00FA37D7" w:rsidRDefault="002E1CB1" w:rsidP="002E1CB1">
      <w:r w:rsidRPr="00FA37D7">
        <w:t xml:space="preserve">This section describes business examples of the use of the various </w:t>
      </w:r>
      <w:proofErr w:type="spellStart"/>
      <w:r w:rsidRPr="00FA37D7">
        <w:t>MessageDefinitions</w:t>
      </w:r>
      <w:proofErr w:type="spellEnd"/>
      <w:r w:rsidRPr="00FA37D7">
        <w:t>.</w:t>
      </w:r>
    </w:p>
    <w:p w14:paraId="05DF6BAF" w14:textId="26913BDE" w:rsidR="000B58A4" w:rsidRPr="00FA37D7" w:rsidRDefault="00DF1690" w:rsidP="000B58A4">
      <w:pPr>
        <w:pStyle w:val="Heading2"/>
      </w:pPr>
      <w:bookmarkStart w:id="20" w:name="_Toc324500586"/>
      <w:bookmarkStart w:id="21" w:name="_Toc325451302"/>
      <w:bookmarkStart w:id="22" w:name="_Toc356540983"/>
      <w:bookmarkStart w:id="23" w:name="_Toc411494517"/>
      <w:bookmarkStart w:id="24" w:name="_Toc426629149"/>
      <w:bookmarkStart w:id="25" w:name="_Toc45097635"/>
      <w:proofErr w:type="spellStart"/>
      <w:r>
        <w:t>BuyIn</w:t>
      </w:r>
      <w:r w:rsidR="006036F8">
        <w:t>Regulatory</w:t>
      </w:r>
      <w:r>
        <w:t>Advice</w:t>
      </w:r>
      <w:proofErr w:type="spellEnd"/>
      <w:r w:rsidR="002155ED" w:rsidRPr="00FA37D7">
        <w:t xml:space="preserve"> </w:t>
      </w:r>
      <w:r w:rsidR="00C14790">
        <w:t>sese.</w:t>
      </w:r>
      <w:r w:rsidR="005F5258">
        <w:t>041</w:t>
      </w:r>
      <w:r w:rsidR="00C14790">
        <w:t>.001</w:t>
      </w:r>
      <w:r w:rsidR="000B58A4" w:rsidRPr="00FA37D7">
        <w:t>.</w:t>
      </w:r>
      <w:bookmarkEnd w:id="20"/>
      <w:bookmarkEnd w:id="21"/>
      <w:bookmarkEnd w:id="22"/>
      <w:bookmarkEnd w:id="23"/>
      <w:bookmarkEnd w:id="24"/>
      <w:r w:rsidR="002155ED" w:rsidRPr="00FA37D7">
        <w:t>0</w:t>
      </w:r>
      <w:r>
        <w:t>1</w:t>
      </w:r>
      <w:bookmarkEnd w:id="25"/>
    </w:p>
    <w:p w14:paraId="05DF6BB0" w14:textId="77777777" w:rsidR="000B58A4" w:rsidRPr="00FA37D7" w:rsidRDefault="000B58A4" w:rsidP="000B58A4">
      <w:pPr>
        <w:pStyle w:val="BlockLabel"/>
      </w:pPr>
      <w:r w:rsidRPr="00FA37D7">
        <w:t>Description</w:t>
      </w:r>
    </w:p>
    <w:p w14:paraId="10EE7B94" w14:textId="6631662B" w:rsidR="006547FE" w:rsidRDefault="00907314" w:rsidP="006547FE">
      <w:bookmarkStart w:id="26" w:name="_Hlk41654221"/>
      <w:r>
        <w:t xml:space="preserve">Following the settlement failure </w:t>
      </w:r>
      <w:r w:rsidR="0052399E">
        <w:t>of transaction TR1</w:t>
      </w:r>
      <w:r w:rsidR="00FE4737">
        <w:t>,</w:t>
      </w:r>
      <w:r w:rsidR="0052399E">
        <w:t xml:space="preserve"> </w:t>
      </w:r>
      <w:r w:rsidR="00FE4737">
        <w:t>at the end of</w:t>
      </w:r>
      <w:r w:rsidR="0052399E">
        <w:t xml:space="preserve"> exten</w:t>
      </w:r>
      <w:r w:rsidR="003E6D0C">
        <w:t>s</w:t>
      </w:r>
      <w:r w:rsidR="0052399E">
        <w:t>ion period</w:t>
      </w:r>
      <w:r w:rsidR="00FE4737">
        <w:t xml:space="preserve"> defined by CSDR</w:t>
      </w:r>
      <w:r w:rsidR="0052399E">
        <w:t xml:space="preserve">, the Non Failing Receiving Party </w:t>
      </w:r>
      <w:r>
        <w:t>ABCD (ABCDABCD</w:t>
      </w:r>
      <w:r w:rsidR="005F5258">
        <w:t>041</w:t>
      </w:r>
      <w:r>
        <w:t>)</w:t>
      </w:r>
      <w:r w:rsidR="0052399E">
        <w:t xml:space="preserve"> executed a buy-in procedure in order to </w:t>
      </w:r>
      <w:proofErr w:type="gramStart"/>
      <w:r w:rsidR="0052399E">
        <w:t>buy  assets</w:t>
      </w:r>
      <w:proofErr w:type="gramEnd"/>
      <w:r w:rsidR="0052399E">
        <w:t xml:space="preserve"> equivalent to the original failing transaction. After </w:t>
      </w:r>
      <w:r w:rsidR="003E6D0C">
        <w:t>settlement</w:t>
      </w:r>
      <w:r w:rsidR="0052399E">
        <w:t xml:space="preserve"> of the buy-in </w:t>
      </w:r>
      <w:r w:rsidR="00A73834">
        <w:t>transaction</w:t>
      </w:r>
      <w:r w:rsidR="00612F4E">
        <w:t>,</w:t>
      </w:r>
      <w:r w:rsidR="003E6D0C">
        <w:t xml:space="preserve"> </w:t>
      </w:r>
      <w:r w:rsidR="0052399E">
        <w:t xml:space="preserve">ABCD </w:t>
      </w:r>
      <w:r>
        <w:t>reports the result</w:t>
      </w:r>
      <w:r w:rsidR="0052399E">
        <w:t>s</w:t>
      </w:r>
      <w:r>
        <w:t xml:space="preserve"> of the buy-in </w:t>
      </w:r>
      <w:r w:rsidR="0052399E">
        <w:t xml:space="preserve">to </w:t>
      </w:r>
      <w:r w:rsidR="00A73834">
        <w:t xml:space="preserve">the </w:t>
      </w:r>
      <w:r w:rsidR="0052399E">
        <w:t>CSD</w:t>
      </w:r>
      <w:r w:rsidR="00A73834">
        <w:t>.</w:t>
      </w:r>
    </w:p>
    <w:bookmarkEnd w:id="26"/>
    <w:p w14:paraId="05DF6BB2" w14:textId="77777777" w:rsidR="000B58A4" w:rsidRPr="00FA37D7" w:rsidRDefault="00AD2D49" w:rsidP="000B58A4">
      <w:pPr>
        <w:pStyle w:val="BlockLabel"/>
      </w:pPr>
      <w:r w:rsidRPr="00FA37D7">
        <w:t>Business Data</w:t>
      </w:r>
    </w:p>
    <w:p w14:paraId="05DF6BB3" w14:textId="314130BF" w:rsidR="000B58A4" w:rsidRDefault="000B58A4" w:rsidP="000B58A4">
      <w:pPr>
        <w:pStyle w:val="Normal2"/>
      </w:pPr>
      <w:r w:rsidRPr="00FA37D7">
        <w:t xml:space="preserve">Safekeeping </w:t>
      </w:r>
      <w:r w:rsidR="00A73834">
        <w:t>a</w:t>
      </w:r>
      <w:r w:rsidRPr="00FA37D7">
        <w:t xml:space="preserve">ccount: </w:t>
      </w:r>
      <w:r w:rsidR="0052399E">
        <w:t>ACC1</w:t>
      </w:r>
    </w:p>
    <w:p w14:paraId="65368D28" w14:textId="11876709" w:rsidR="006036F8" w:rsidRPr="00FA37D7" w:rsidRDefault="006036F8" w:rsidP="000B58A4">
      <w:pPr>
        <w:pStyle w:val="Normal2"/>
      </w:pPr>
      <w:r>
        <w:t>Buy-in status code: fully succes</w:t>
      </w:r>
      <w:r w:rsidR="005449A0">
        <w:t>s</w:t>
      </w:r>
      <w:r>
        <w:t>ful (BSSY)</w:t>
      </w:r>
    </w:p>
    <w:p w14:paraId="05DF6BB4" w14:textId="717920AE" w:rsidR="000B58A4" w:rsidRDefault="006036F8" w:rsidP="000B58A4">
      <w:pPr>
        <w:pStyle w:val="Normal2"/>
      </w:pPr>
      <w:r>
        <w:t>Buy-in deferral code</w:t>
      </w:r>
      <w:r w:rsidR="000B58A4" w:rsidRPr="00FA37D7">
        <w:t xml:space="preserve">: </w:t>
      </w:r>
      <w:r>
        <w:t>No</w:t>
      </w:r>
    </w:p>
    <w:p w14:paraId="18611348" w14:textId="14FD8A2D" w:rsidR="006036F8" w:rsidRPr="00FA37D7" w:rsidRDefault="006036F8" w:rsidP="000B58A4">
      <w:pPr>
        <w:pStyle w:val="Normal2"/>
      </w:pPr>
      <w:r>
        <w:t>Underly</w:t>
      </w:r>
      <w:r w:rsidR="00A73834">
        <w:t>i</w:t>
      </w:r>
      <w:r>
        <w:t>ng financial inst</w:t>
      </w:r>
      <w:r w:rsidR="0052399E">
        <w:t>r</w:t>
      </w:r>
      <w:r>
        <w:t>ument</w:t>
      </w:r>
      <w:r w:rsidR="0052399E">
        <w:t xml:space="preserve"> (ISIN)</w:t>
      </w:r>
      <w:r>
        <w:t>: AA1234567890</w:t>
      </w:r>
    </w:p>
    <w:p w14:paraId="57D2E29C" w14:textId="2CF7CE67" w:rsidR="006036F8" w:rsidRDefault="006036F8" w:rsidP="006036F8">
      <w:pPr>
        <w:pStyle w:val="Normal2"/>
      </w:pPr>
      <w:r>
        <w:t>Quantity</w:t>
      </w:r>
      <w:r w:rsidR="00F24C3E">
        <w:t xml:space="preserve"> (</w:t>
      </w:r>
      <w:r w:rsidR="00A73834">
        <w:t>u</w:t>
      </w:r>
      <w:r w:rsidR="00F24C3E">
        <w:t>nit)</w:t>
      </w:r>
      <w:r>
        <w:t>:</w:t>
      </w:r>
      <w:r w:rsidR="0052399E">
        <w:t xml:space="preserve"> 1000</w:t>
      </w:r>
    </w:p>
    <w:p w14:paraId="1A999594" w14:textId="39B6160B" w:rsidR="006036F8" w:rsidRDefault="006036F8" w:rsidP="006036F8">
      <w:pPr>
        <w:pStyle w:val="Normal2"/>
      </w:pPr>
      <w:r>
        <w:t>Buy-in price</w:t>
      </w:r>
      <w:r w:rsidR="00F24C3E">
        <w:t xml:space="preserve"> (</w:t>
      </w:r>
      <w:r w:rsidR="00A73834">
        <w:t>a</w:t>
      </w:r>
      <w:r w:rsidR="00F24C3E">
        <w:t>mount)</w:t>
      </w:r>
      <w:r>
        <w:t>:</w:t>
      </w:r>
      <w:r w:rsidR="0052399E">
        <w:t xml:space="preserve"> 98</w:t>
      </w:r>
      <w:proofErr w:type="gramStart"/>
      <w:r w:rsidR="0052399E">
        <w:t>,76</w:t>
      </w:r>
      <w:proofErr w:type="gramEnd"/>
      <w:r w:rsidR="0052399E">
        <w:t xml:space="preserve"> EUR</w:t>
      </w:r>
      <w:r w:rsidR="00F24C3E">
        <w:t xml:space="preserve"> </w:t>
      </w:r>
    </w:p>
    <w:p w14:paraId="05DF6BB5" w14:textId="262C7B45" w:rsidR="000B58A4" w:rsidRDefault="006036F8" w:rsidP="000B58A4">
      <w:pPr>
        <w:pStyle w:val="Normal2"/>
      </w:pPr>
      <w:r>
        <w:t>Buy-in settlement date</w:t>
      </w:r>
      <w:r w:rsidR="000B58A4" w:rsidRPr="00FA37D7">
        <w:t xml:space="preserve">: </w:t>
      </w:r>
      <w:r w:rsidR="0052399E">
        <w:t>2021/0</w:t>
      </w:r>
      <w:r w:rsidR="00F24C3E">
        <w:t>8</w:t>
      </w:r>
      <w:r w:rsidR="0052399E">
        <w:t>/</w:t>
      </w:r>
      <w:r w:rsidR="00F24C3E">
        <w:t>13</w:t>
      </w:r>
    </w:p>
    <w:p w14:paraId="3C4B33EB" w14:textId="1978688F" w:rsidR="0052399E" w:rsidRDefault="0052399E" w:rsidP="000B58A4">
      <w:pPr>
        <w:pStyle w:val="Normal2"/>
      </w:pPr>
      <w:r>
        <w:t xml:space="preserve">Failing instruction </w:t>
      </w:r>
      <w:r w:rsidR="00A73834">
        <w:t>account</w:t>
      </w:r>
      <w:r>
        <w:t xml:space="preserve"> owner reference: TR1</w:t>
      </w:r>
    </w:p>
    <w:p w14:paraId="1EC57A97" w14:textId="3EDF3CE3" w:rsidR="0052399E" w:rsidRDefault="0052399E" w:rsidP="0052399E">
      <w:pPr>
        <w:pStyle w:val="Normal2"/>
      </w:pPr>
      <w:r>
        <w:t>Failing transaction account servicer reference: CSD</w:t>
      </w:r>
      <w:r w:rsidR="00F24C3E">
        <w:t>REF</w:t>
      </w:r>
      <w:r>
        <w:t>123</w:t>
      </w:r>
    </w:p>
    <w:p w14:paraId="66145C7F" w14:textId="21BAD079" w:rsidR="00F24C3E" w:rsidRPr="00FA37D7" w:rsidRDefault="00F24C3E" w:rsidP="00F24C3E">
      <w:pPr>
        <w:pStyle w:val="Normal2"/>
      </w:pPr>
      <w:r>
        <w:t>Advice id</w:t>
      </w:r>
      <w:r w:rsidR="00A73834">
        <w:t>entification</w:t>
      </w:r>
      <w:r w:rsidRPr="00FA37D7">
        <w:t xml:space="preserve">: </w:t>
      </w:r>
      <w:r>
        <w:t>BUYINADV1 (reference provided in BAH)</w:t>
      </w:r>
    </w:p>
    <w:p w14:paraId="05DF6BB6" w14:textId="22D355B6" w:rsidR="000B58A4" w:rsidRDefault="000B58A4" w:rsidP="000B58A4">
      <w:pPr>
        <w:pStyle w:val="BlockLabel"/>
      </w:pPr>
      <w:r w:rsidRPr="00FA37D7">
        <w:t>Message Instance</w:t>
      </w:r>
    </w:p>
    <w:p w14:paraId="4714CB00" w14:textId="08FF6141" w:rsidR="00506518" w:rsidRPr="00506518" w:rsidRDefault="00506518" w:rsidP="00A73834">
      <w:pPr>
        <w:pStyle w:val="XMLCode"/>
        <w:rPr>
          <w:highlight w:val="white"/>
        </w:rPr>
      </w:pPr>
      <w:r w:rsidRPr="00506518">
        <w:rPr>
          <w:highlight w:val="white"/>
        </w:rPr>
        <w:t>&lt;</w:t>
      </w:r>
      <w:proofErr w:type="spellStart"/>
      <w:r w:rsidRPr="00506518">
        <w:rPr>
          <w:highlight w:val="white"/>
        </w:rPr>
        <w:t>BuyInRgltryAdvc</w:t>
      </w:r>
      <w:proofErr w:type="spellEnd"/>
      <w:r w:rsidRPr="00506518">
        <w:rPr>
          <w:highlight w:val="white"/>
        </w:rPr>
        <w:t>&gt;</w:t>
      </w:r>
    </w:p>
    <w:p w14:paraId="03BC9014" w14:textId="6C49B436" w:rsidR="00506518" w:rsidRPr="00506518" w:rsidRDefault="005449A0" w:rsidP="00A73834">
      <w:pPr>
        <w:pStyle w:val="XMLCode"/>
        <w:rPr>
          <w:highlight w:val="white"/>
        </w:rPr>
      </w:pPr>
      <w:r>
        <w:rPr>
          <w:highlight w:val="white"/>
        </w:rPr>
        <w:tab/>
      </w:r>
      <w:r w:rsidR="00506518" w:rsidRPr="00506518">
        <w:rPr>
          <w:highlight w:val="white"/>
        </w:rPr>
        <w:t>&lt;</w:t>
      </w:r>
      <w:proofErr w:type="spellStart"/>
      <w:r w:rsidR="00506518" w:rsidRPr="00506518">
        <w:rPr>
          <w:highlight w:val="white"/>
        </w:rPr>
        <w:t>AcctOwnr</w:t>
      </w:r>
      <w:proofErr w:type="spellEnd"/>
      <w:r w:rsidR="00506518" w:rsidRPr="00506518">
        <w:rPr>
          <w:highlight w:val="white"/>
        </w:rPr>
        <w:t>&gt;</w:t>
      </w:r>
    </w:p>
    <w:p w14:paraId="73EFF0E8" w14:textId="0A384F77" w:rsidR="00506518" w:rsidRPr="00506518" w:rsidRDefault="005449A0" w:rsidP="00A73834">
      <w:pPr>
        <w:pStyle w:val="XMLCode"/>
        <w:rPr>
          <w:highlight w:val="white"/>
        </w:rPr>
      </w:pPr>
      <w:r>
        <w:rPr>
          <w:highlight w:val="white"/>
        </w:rPr>
        <w:tab/>
      </w:r>
      <w:r>
        <w:rPr>
          <w:highlight w:val="white"/>
        </w:rPr>
        <w:tab/>
      </w:r>
      <w:r w:rsidR="00506518" w:rsidRPr="00506518">
        <w:rPr>
          <w:highlight w:val="white"/>
        </w:rPr>
        <w:t>&lt;Id&gt;</w:t>
      </w:r>
    </w:p>
    <w:p w14:paraId="56F9E379" w14:textId="45EBD235" w:rsidR="00506518" w:rsidRPr="00506518" w:rsidRDefault="005449A0" w:rsidP="00A73834">
      <w:pPr>
        <w:pStyle w:val="XMLCode"/>
        <w:rPr>
          <w:highlight w:val="white"/>
        </w:rPr>
      </w:pPr>
      <w:r>
        <w:rPr>
          <w:highlight w:val="white"/>
        </w:rPr>
        <w:tab/>
      </w:r>
      <w:r>
        <w:rPr>
          <w:highlight w:val="white"/>
        </w:rPr>
        <w:tab/>
      </w:r>
      <w:r>
        <w:rPr>
          <w:highlight w:val="white"/>
        </w:rPr>
        <w:tab/>
      </w:r>
      <w:r w:rsidR="00506518" w:rsidRPr="00506518">
        <w:rPr>
          <w:highlight w:val="white"/>
        </w:rPr>
        <w:t>&lt;</w:t>
      </w:r>
      <w:proofErr w:type="spellStart"/>
      <w:r w:rsidR="00506518" w:rsidRPr="00506518">
        <w:rPr>
          <w:highlight w:val="white"/>
        </w:rPr>
        <w:t>AnyBIC</w:t>
      </w:r>
      <w:proofErr w:type="spellEnd"/>
      <w:r w:rsidR="00506518" w:rsidRPr="00506518">
        <w:rPr>
          <w:highlight w:val="white"/>
        </w:rPr>
        <w:t>&gt;ABCDABCD041&lt;/</w:t>
      </w:r>
      <w:proofErr w:type="spellStart"/>
      <w:r w:rsidR="00506518" w:rsidRPr="00506518">
        <w:rPr>
          <w:highlight w:val="white"/>
        </w:rPr>
        <w:t>AnyBIC</w:t>
      </w:r>
      <w:proofErr w:type="spellEnd"/>
      <w:r w:rsidR="00506518" w:rsidRPr="00506518">
        <w:rPr>
          <w:highlight w:val="white"/>
        </w:rPr>
        <w:t>&gt;</w:t>
      </w:r>
    </w:p>
    <w:p w14:paraId="4B988813" w14:textId="24C67A73" w:rsidR="00506518" w:rsidRPr="00506518" w:rsidRDefault="00506518" w:rsidP="00A73834">
      <w:pPr>
        <w:pStyle w:val="XMLCode"/>
        <w:rPr>
          <w:highlight w:val="white"/>
        </w:rPr>
      </w:pPr>
      <w:r w:rsidRPr="00506518">
        <w:rPr>
          <w:highlight w:val="white"/>
        </w:rPr>
        <w:t xml:space="preserve"> </w:t>
      </w:r>
      <w:r w:rsidR="005449A0">
        <w:rPr>
          <w:highlight w:val="white"/>
        </w:rPr>
        <w:tab/>
      </w:r>
      <w:r w:rsidR="005449A0">
        <w:rPr>
          <w:highlight w:val="white"/>
        </w:rPr>
        <w:tab/>
      </w:r>
      <w:r w:rsidRPr="00506518">
        <w:rPr>
          <w:highlight w:val="white"/>
        </w:rPr>
        <w:t xml:space="preserve"> &lt;/Id&gt;</w:t>
      </w:r>
    </w:p>
    <w:p w14:paraId="35A9290E" w14:textId="67277D6F" w:rsidR="00506518" w:rsidRPr="00506518" w:rsidRDefault="005449A0" w:rsidP="00A73834">
      <w:pPr>
        <w:pStyle w:val="XMLCode"/>
        <w:rPr>
          <w:highlight w:val="white"/>
        </w:rPr>
      </w:pPr>
      <w:r>
        <w:rPr>
          <w:highlight w:val="white"/>
        </w:rPr>
        <w:tab/>
      </w:r>
      <w:r w:rsidR="00506518" w:rsidRPr="00506518">
        <w:rPr>
          <w:highlight w:val="white"/>
        </w:rPr>
        <w:t>&lt;/</w:t>
      </w:r>
      <w:proofErr w:type="spellStart"/>
      <w:r w:rsidR="00506518" w:rsidRPr="00506518">
        <w:rPr>
          <w:highlight w:val="white"/>
        </w:rPr>
        <w:t>AcctOwnr</w:t>
      </w:r>
      <w:proofErr w:type="spellEnd"/>
      <w:r w:rsidR="00506518" w:rsidRPr="00506518">
        <w:rPr>
          <w:highlight w:val="white"/>
        </w:rPr>
        <w:t>&gt;</w:t>
      </w:r>
    </w:p>
    <w:p w14:paraId="3598C3FF" w14:textId="035A3007" w:rsidR="00506518" w:rsidRPr="00506518" w:rsidRDefault="00506518" w:rsidP="00A73834">
      <w:pPr>
        <w:pStyle w:val="XMLCode"/>
        <w:rPr>
          <w:highlight w:val="white"/>
        </w:rPr>
      </w:pPr>
      <w:r w:rsidRPr="00506518">
        <w:rPr>
          <w:highlight w:val="white"/>
        </w:rPr>
        <w:t xml:space="preserve"> </w:t>
      </w:r>
      <w:r w:rsidR="005449A0">
        <w:rPr>
          <w:highlight w:val="white"/>
        </w:rPr>
        <w:tab/>
      </w:r>
      <w:r w:rsidRPr="00506518">
        <w:rPr>
          <w:highlight w:val="white"/>
        </w:rPr>
        <w:t>&lt;</w:t>
      </w:r>
      <w:proofErr w:type="spellStart"/>
      <w:r w:rsidRPr="00506518">
        <w:rPr>
          <w:highlight w:val="white"/>
        </w:rPr>
        <w:t>SfkpgAcct</w:t>
      </w:r>
      <w:proofErr w:type="spellEnd"/>
      <w:r w:rsidRPr="00506518">
        <w:rPr>
          <w:highlight w:val="white"/>
        </w:rPr>
        <w:t>&gt;</w:t>
      </w:r>
    </w:p>
    <w:p w14:paraId="40A3D32C" w14:textId="5ABBF9B1" w:rsidR="00506518" w:rsidRPr="00506518" w:rsidRDefault="005449A0" w:rsidP="00A73834">
      <w:pPr>
        <w:pStyle w:val="XMLCode"/>
        <w:rPr>
          <w:highlight w:val="white"/>
        </w:rPr>
      </w:pPr>
      <w:r>
        <w:rPr>
          <w:highlight w:val="white"/>
        </w:rPr>
        <w:tab/>
      </w:r>
      <w:r>
        <w:rPr>
          <w:highlight w:val="white"/>
        </w:rPr>
        <w:tab/>
      </w:r>
      <w:r w:rsidR="00506518" w:rsidRPr="00506518">
        <w:rPr>
          <w:highlight w:val="white"/>
        </w:rPr>
        <w:t>&lt;Id&gt;ACC1&lt;/Id&gt;</w:t>
      </w:r>
    </w:p>
    <w:p w14:paraId="67E9080A" w14:textId="55FECBC7" w:rsidR="00506518" w:rsidRPr="00506518" w:rsidRDefault="00506518" w:rsidP="00A73834">
      <w:pPr>
        <w:pStyle w:val="XMLCode"/>
        <w:rPr>
          <w:highlight w:val="white"/>
        </w:rPr>
      </w:pPr>
      <w:r w:rsidRPr="00506518">
        <w:rPr>
          <w:highlight w:val="white"/>
        </w:rPr>
        <w:t xml:space="preserve"> </w:t>
      </w:r>
      <w:r w:rsidR="005449A0">
        <w:rPr>
          <w:highlight w:val="white"/>
        </w:rPr>
        <w:tab/>
      </w:r>
      <w:r w:rsidRPr="00506518">
        <w:rPr>
          <w:highlight w:val="white"/>
        </w:rPr>
        <w:t>&lt;/</w:t>
      </w:r>
      <w:proofErr w:type="spellStart"/>
      <w:r w:rsidRPr="00506518">
        <w:rPr>
          <w:highlight w:val="white"/>
        </w:rPr>
        <w:t>SfkpgAcct</w:t>
      </w:r>
      <w:proofErr w:type="spellEnd"/>
      <w:r w:rsidRPr="00506518">
        <w:rPr>
          <w:highlight w:val="white"/>
        </w:rPr>
        <w:t>&gt;</w:t>
      </w:r>
    </w:p>
    <w:p w14:paraId="71E6454A" w14:textId="35872AD1" w:rsidR="00506518" w:rsidRPr="00506518" w:rsidRDefault="005449A0" w:rsidP="00A73834">
      <w:pPr>
        <w:pStyle w:val="XMLCode"/>
        <w:rPr>
          <w:highlight w:val="white"/>
        </w:rPr>
      </w:pPr>
      <w:r>
        <w:rPr>
          <w:highlight w:val="white"/>
        </w:rPr>
        <w:tab/>
      </w:r>
      <w:r w:rsidR="00506518" w:rsidRPr="00506518">
        <w:rPr>
          <w:highlight w:val="white"/>
        </w:rPr>
        <w:t>&lt;</w:t>
      </w:r>
      <w:proofErr w:type="spellStart"/>
      <w:r w:rsidR="00506518" w:rsidRPr="00506518">
        <w:rPr>
          <w:highlight w:val="white"/>
        </w:rPr>
        <w:t>BuyInAttrbts</w:t>
      </w:r>
      <w:proofErr w:type="spellEnd"/>
      <w:r w:rsidR="00506518" w:rsidRPr="00506518">
        <w:rPr>
          <w:highlight w:val="white"/>
        </w:rPr>
        <w:t>&gt;</w:t>
      </w:r>
    </w:p>
    <w:p w14:paraId="29FD2A09" w14:textId="32FAE26F" w:rsidR="00506518" w:rsidRPr="00506518" w:rsidRDefault="005449A0" w:rsidP="00A73834">
      <w:pPr>
        <w:pStyle w:val="XMLCode"/>
        <w:rPr>
          <w:highlight w:val="white"/>
        </w:rPr>
      </w:pPr>
      <w:r>
        <w:rPr>
          <w:highlight w:val="white"/>
        </w:rPr>
        <w:tab/>
      </w:r>
      <w:r>
        <w:rPr>
          <w:highlight w:val="white"/>
        </w:rPr>
        <w:tab/>
      </w:r>
      <w:r w:rsidR="00506518" w:rsidRPr="00506518">
        <w:rPr>
          <w:highlight w:val="white"/>
        </w:rPr>
        <w:t>&lt;Ref&gt;</w:t>
      </w:r>
    </w:p>
    <w:p w14:paraId="70426260" w14:textId="79B503D1" w:rsidR="00506518" w:rsidRPr="00506518" w:rsidRDefault="005449A0" w:rsidP="00A73834">
      <w:pPr>
        <w:pStyle w:val="XMLCode"/>
        <w:rPr>
          <w:highlight w:val="white"/>
        </w:rPr>
      </w:pPr>
      <w:r>
        <w:rPr>
          <w:highlight w:val="white"/>
        </w:rPr>
        <w:tab/>
      </w:r>
      <w:r>
        <w:rPr>
          <w:highlight w:val="white"/>
        </w:rPr>
        <w:tab/>
      </w:r>
      <w:r w:rsidR="006547FE">
        <w:rPr>
          <w:highlight w:val="white"/>
        </w:rPr>
        <w:tab/>
      </w:r>
      <w:r w:rsidR="00506518" w:rsidRPr="00506518">
        <w:rPr>
          <w:highlight w:val="white"/>
        </w:rPr>
        <w:t>&lt;</w:t>
      </w:r>
      <w:proofErr w:type="spellStart"/>
      <w:r w:rsidR="00506518" w:rsidRPr="00506518">
        <w:rPr>
          <w:highlight w:val="white"/>
        </w:rPr>
        <w:t>AcctOwnrTxId</w:t>
      </w:r>
      <w:proofErr w:type="spellEnd"/>
      <w:r w:rsidR="00506518" w:rsidRPr="00506518">
        <w:rPr>
          <w:highlight w:val="white"/>
        </w:rPr>
        <w:t>&gt;TR1&lt;/</w:t>
      </w:r>
      <w:proofErr w:type="spellStart"/>
      <w:r w:rsidR="00506518" w:rsidRPr="00506518">
        <w:rPr>
          <w:highlight w:val="white"/>
        </w:rPr>
        <w:t>AcctOwnrTxId</w:t>
      </w:r>
      <w:proofErr w:type="spellEnd"/>
      <w:r w:rsidR="00506518" w:rsidRPr="00506518">
        <w:rPr>
          <w:highlight w:val="white"/>
        </w:rPr>
        <w:t>&gt;</w:t>
      </w:r>
    </w:p>
    <w:p w14:paraId="3DC4E52D" w14:textId="121DAACF" w:rsidR="00506518" w:rsidRPr="00506518" w:rsidRDefault="005449A0" w:rsidP="00A73834">
      <w:pPr>
        <w:pStyle w:val="XMLCode"/>
        <w:rPr>
          <w:highlight w:val="white"/>
        </w:rPr>
      </w:pPr>
      <w:r>
        <w:rPr>
          <w:highlight w:val="white"/>
        </w:rPr>
        <w:tab/>
      </w:r>
      <w:r>
        <w:rPr>
          <w:highlight w:val="white"/>
        </w:rPr>
        <w:tab/>
      </w:r>
      <w:r w:rsidR="006547FE">
        <w:rPr>
          <w:highlight w:val="white"/>
        </w:rPr>
        <w:tab/>
      </w:r>
      <w:r w:rsidR="00506518" w:rsidRPr="00506518">
        <w:rPr>
          <w:highlight w:val="white"/>
        </w:rPr>
        <w:t>&lt;</w:t>
      </w:r>
      <w:proofErr w:type="spellStart"/>
      <w:r w:rsidR="00506518" w:rsidRPr="00506518">
        <w:rPr>
          <w:highlight w:val="white"/>
        </w:rPr>
        <w:t>AcctSvcrTxId</w:t>
      </w:r>
      <w:proofErr w:type="spellEnd"/>
      <w:r w:rsidR="00506518" w:rsidRPr="00506518">
        <w:rPr>
          <w:highlight w:val="white"/>
        </w:rPr>
        <w:t>&gt;CSDREF123&lt;/</w:t>
      </w:r>
      <w:proofErr w:type="spellStart"/>
      <w:r w:rsidR="00506518" w:rsidRPr="00506518">
        <w:rPr>
          <w:highlight w:val="white"/>
        </w:rPr>
        <w:t>AcctSvcrTxId</w:t>
      </w:r>
      <w:proofErr w:type="spellEnd"/>
      <w:r w:rsidR="00506518" w:rsidRPr="00506518">
        <w:rPr>
          <w:highlight w:val="white"/>
        </w:rPr>
        <w:t>&gt;</w:t>
      </w:r>
    </w:p>
    <w:p w14:paraId="4598C331" w14:textId="05E2EA05" w:rsidR="00506518" w:rsidRPr="00506518" w:rsidRDefault="005449A0" w:rsidP="00A73834">
      <w:pPr>
        <w:pStyle w:val="XMLCode"/>
        <w:rPr>
          <w:highlight w:val="white"/>
        </w:rPr>
      </w:pPr>
      <w:r>
        <w:rPr>
          <w:highlight w:val="white"/>
        </w:rPr>
        <w:tab/>
      </w:r>
      <w:r>
        <w:rPr>
          <w:highlight w:val="white"/>
        </w:rPr>
        <w:tab/>
      </w:r>
      <w:r w:rsidR="00506518" w:rsidRPr="00506518">
        <w:rPr>
          <w:highlight w:val="white"/>
        </w:rPr>
        <w:t>&lt;/Ref&gt;</w:t>
      </w:r>
    </w:p>
    <w:p w14:paraId="10851275" w14:textId="28CF7231" w:rsidR="00506518" w:rsidRPr="00506518" w:rsidRDefault="00506518" w:rsidP="00A73834">
      <w:pPr>
        <w:pStyle w:val="XMLCode"/>
        <w:rPr>
          <w:highlight w:val="white"/>
        </w:rPr>
      </w:pPr>
      <w:r w:rsidRPr="00506518">
        <w:rPr>
          <w:highlight w:val="white"/>
        </w:rPr>
        <w:t xml:space="preserve"> </w:t>
      </w:r>
      <w:r w:rsidR="005449A0">
        <w:rPr>
          <w:highlight w:val="white"/>
        </w:rPr>
        <w:tab/>
      </w:r>
      <w:r w:rsidR="005449A0">
        <w:rPr>
          <w:highlight w:val="white"/>
        </w:rPr>
        <w:tab/>
      </w:r>
      <w:r w:rsidRPr="00506518">
        <w:rPr>
          <w:highlight w:val="white"/>
        </w:rPr>
        <w:t>&lt;</w:t>
      </w:r>
      <w:proofErr w:type="spellStart"/>
      <w:r w:rsidRPr="00506518">
        <w:rPr>
          <w:highlight w:val="white"/>
        </w:rPr>
        <w:t>BuyInStat</w:t>
      </w:r>
      <w:proofErr w:type="spellEnd"/>
      <w:r w:rsidRPr="00506518">
        <w:rPr>
          <w:highlight w:val="white"/>
        </w:rPr>
        <w:t>&gt;BSSY&lt;/</w:t>
      </w:r>
      <w:proofErr w:type="spellStart"/>
      <w:r w:rsidRPr="00506518">
        <w:rPr>
          <w:highlight w:val="white"/>
        </w:rPr>
        <w:t>BuyInStat</w:t>
      </w:r>
      <w:proofErr w:type="spellEnd"/>
      <w:r w:rsidRPr="00506518">
        <w:rPr>
          <w:highlight w:val="white"/>
        </w:rPr>
        <w:t>&gt;</w:t>
      </w:r>
    </w:p>
    <w:p w14:paraId="5C21DC4F" w14:textId="16161C81" w:rsidR="00506518" w:rsidRPr="00506518" w:rsidRDefault="005449A0" w:rsidP="00A73834">
      <w:pPr>
        <w:pStyle w:val="XMLCode"/>
        <w:rPr>
          <w:highlight w:val="white"/>
        </w:rPr>
      </w:pPr>
      <w:r>
        <w:rPr>
          <w:highlight w:val="white"/>
        </w:rPr>
        <w:tab/>
      </w:r>
      <w:r>
        <w:rPr>
          <w:highlight w:val="white"/>
        </w:rPr>
        <w:tab/>
      </w:r>
      <w:r w:rsidR="00506518" w:rsidRPr="00506518">
        <w:rPr>
          <w:highlight w:val="white"/>
        </w:rPr>
        <w:t>&lt;</w:t>
      </w:r>
      <w:proofErr w:type="spellStart"/>
      <w:r w:rsidR="00506518" w:rsidRPr="00506518">
        <w:rPr>
          <w:highlight w:val="white"/>
        </w:rPr>
        <w:t>BuyInDfrrl</w:t>
      </w:r>
      <w:proofErr w:type="spellEnd"/>
      <w:r w:rsidR="00506518" w:rsidRPr="00506518">
        <w:rPr>
          <w:highlight w:val="white"/>
        </w:rPr>
        <w:t>&gt;DEFN&lt;/</w:t>
      </w:r>
      <w:proofErr w:type="spellStart"/>
      <w:r w:rsidR="00506518" w:rsidRPr="00506518">
        <w:rPr>
          <w:highlight w:val="white"/>
        </w:rPr>
        <w:t>BuyInDfrrl</w:t>
      </w:r>
      <w:proofErr w:type="spellEnd"/>
      <w:r w:rsidR="00506518" w:rsidRPr="00506518">
        <w:rPr>
          <w:highlight w:val="white"/>
        </w:rPr>
        <w:t>&gt;</w:t>
      </w:r>
    </w:p>
    <w:p w14:paraId="1A0D9952" w14:textId="642DCDF5" w:rsidR="00506518" w:rsidRPr="00506518" w:rsidRDefault="005449A0" w:rsidP="00A73834">
      <w:pPr>
        <w:pStyle w:val="XMLCode"/>
        <w:rPr>
          <w:highlight w:val="white"/>
        </w:rPr>
      </w:pPr>
      <w:r>
        <w:rPr>
          <w:highlight w:val="white"/>
        </w:rPr>
        <w:tab/>
      </w:r>
      <w:r>
        <w:rPr>
          <w:highlight w:val="white"/>
        </w:rPr>
        <w:tab/>
      </w:r>
      <w:r w:rsidR="00506518" w:rsidRPr="00506518">
        <w:rPr>
          <w:highlight w:val="white"/>
        </w:rPr>
        <w:t>&lt;</w:t>
      </w:r>
      <w:proofErr w:type="spellStart"/>
      <w:r w:rsidR="00506518" w:rsidRPr="00506518">
        <w:rPr>
          <w:highlight w:val="white"/>
        </w:rPr>
        <w:t>FinInstrmId</w:t>
      </w:r>
      <w:proofErr w:type="spellEnd"/>
      <w:r w:rsidR="00506518" w:rsidRPr="00506518">
        <w:rPr>
          <w:highlight w:val="white"/>
        </w:rPr>
        <w:t>&gt;</w:t>
      </w:r>
    </w:p>
    <w:p w14:paraId="16BF915E" w14:textId="5D90F974" w:rsidR="00506518" w:rsidRPr="00506518" w:rsidRDefault="005449A0" w:rsidP="00A73834">
      <w:pPr>
        <w:pStyle w:val="XMLCode"/>
        <w:rPr>
          <w:highlight w:val="white"/>
        </w:rPr>
      </w:pPr>
      <w:r>
        <w:rPr>
          <w:highlight w:val="white"/>
        </w:rPr>
        <w:lastRenderedPageBreak/>
        <w:tab/>
      </w:r>
      <w:r>
        <w:rPr>
          <w:highlight w:val="white"/>
        </w:rPr>
        <w:tab/>
      </w:r>
      <w:r w:rsidR="006547FE">
        <w:rPr>
          <w:highlight w:val="white"/>
        </w:rPr>
        <w:tab/>
      </w:r>
      <w:r w:rsidR="00506518" w:rsidRPr="00506518">
        <w:rPr>
          <w:highlight w:val="white"/>
        </w:rPr>
        <w:t>&lt;ISIN&gt;AA1234567890&lt;/ISIN&gt;</w:t>
      </w:r>
    </w:p>
    <w:p w14:paraId="4E388DED" w14:textId="15193FE8" w:rsidR="00506518" w:rsidRPr="00506518" w:rsidRDefault="005449A0" w:rsidP="00A73834">
      <w:pPr>
        <w:pStyle w:val="XMLCode"/>
        <w:rPr>
          <w:highlight w:val="white"/>
        </w:rPr>
      </w:pPr>
      <w:r>
        <w:rPr>
          <w:highlight w:val="white"/>
        </w:rPr>
        <w:tab/>
      </w:r>
      <w:r>
        <w:rPr>
          <w:highlight w:val="white"/>
        </w:rPr>
        <w:tab/>
      </w:r>
      <w:r w:rsidR="00506518" w:rsidRPr="00506518">
        <w:rPr>
          <w:highlight w:val="white"/>
        </w:rPr>
        <w:t>&lt;/</w:t>
      </w:r>
      <w:proofErr w:type="spellStart"/>
      <w:r w:rsidR="00506518" w:rsidRPr="00506518">
        <w:rPr>
          <w:highlight w:val="white"/>
        </w:rPr>
        <w:t>FinInstrmId</w:t>
      </w:r>
      <w:proofErr w:type="spellEnd"/>
      <w:r w:rsidR="00506518" w:rsidRPr="00506518">
        <w:rPr>
          <w:highlight w:val="white"/>
        </w:rPr>
        <w:t>&gt;</w:t>
      </w:r>
    </w:p>
    <w:p w14:paraId="6AA9A193" w14:textId="65375463" w:rsidR="00506518" w:rsidRPr="00506518" w:rsidRDefault="005449A0" w:rsidP="00A73834">
      <w:pPr>
        <w:pStyle w:val="XMLCode"/>
        <w:rPr>
          <w:highlight w:val="white"/>
        </w:rPr>
      </w:pPr>
      <w:r>
        <w:rPr>
          <w:highlight w:val="white"/>
        </w:rPr>
        <w:tab/>
      </w:r>
      <w:r>
        <w:rPr>
          <w:highlight w:val="white"/>
        </w:rPr>
        <w:tab/>
      </w:r>
      <w:r w:rsidR="00506518" w:rsidRPr="00506518">
        <w:rPr>
          <w:highlight w:val="white"/>
        </w:rPr>
        <w:t>&lt;</w:t>
      </w:r>
      <w:proofErr w:type="spellStart"/>
      <w:r w:rsidR="00506518" w:rsidRPr="00506518">
        <w:rPr>
          <w:highlight w:val="white"/>
        </w:rPr>
        <w:t>Qty</w:t>
      </w:r>
      <w:proofErr w:type="spellEnd"/>
      <w:r w:rsidR="00506518" w:rsidRPr="00506518">
        <w:rPr>
          <w:highlight w:val="white"/>
        </w:rPr>
        <w:t>&gt;</w:t>
      </w:r>
    </w:p>
    <w:p w14:paraId="08A87480" w14:textId="62D9FE4A" w:rsidR="00506518" w:rsidRPr="00506518" w:rsidRDefault="005449A0" w:rsidP="00A73834">
      <w:pPr>
        <w:pStyle w:val="XMLCode"/>
        <w:rPr>
          <w:highlight w:val="white"/>
        </w:rPr>
      </w:pPr>
      <w:r>
        <w:rPr>
          <w:highlight w:val="white"/>
        </w:rPr>
        <w:tab/>
      </w:r>
      <w:r>
        <w:rPr>
          <w:highlight w:val="white"/>
        </w:rPr>
        <w:tab/>
      </w:r>
      <w:r w:rsidR="006547FE">
        <w:rPr>
          <w:highlight w:val="white"/>
        </w:rPr>
        <w:tab/>
      </w:r>
      <w:r w:rsidR="00506518" w:rsidRPr="00506518">
        <w:rPr>
          <w:highlight w:val="white"/>
        </w:rPr>
        <w:t>&lt;Unit&gt;1000&lt;/Unit&gt;</w:t>
      </w:r>
    </w:p>
    <w:p w14:paraId="4189FBC9" w14:textId="4056CDAA" w:rsidR="00506518" w:rsidRPr="00506518" w:rsidRDefault="005449A0" w:rsidP="00A73834">
      <w:pPr>
        <w:pStyle w:val="XMLCode"/>
        <w:rPr>
          <w:highlight w:val="white"/>
        </w:rPr>
      </w:pPr>
      <w:r>
        <w:rPr>
          <w:highlight w:val="white"/>
        </w:rPr>
        <w:tab/>
      </w:r>
      <w:r>
        <w:rPr>
          <w:highlight w:val="white"/>
        </w:rPr>
        <w:tab/>
      </w:r>
      <w:r w:rsidR="00506518" w:rsidRPr="00506518">
        <w:rPr>
          <w:highlight w:val="white"/>
        </w:rPr>
        <w:t>&lt;/</w:t>
      </w:r>
      <w:proofErr w:type="spellStart"/>
      <w:r w:rsidR="00506518" w:rsidRPr="00506518">
        <w:rPr>
          <w:highlight w:val="white"/>
        </w:rPr>
        <w:t>Qty</w:t>
      </w:r>
      <w:proofErr w:type="spellEnd"/>
      <w:r w:rsidR="00506518" w:rsidRPr="00506518">
        <w:rPr>
          <w:highlight w:val="white"/>
        </w:rPr>
        <w:t>&gt;</w:t>
      </w:r>
    </w:p>
    <w:p w14:paraId="658D2B14" w14:textId="70A63A87" w:rsidR="00506518" w:rsidRPr="00506518" w:rsidRDefault="005449A0" w:rsidP="00A73834">
      <w:pPr>
        <w:pStyle w:val="XMLCode"/>
        <w:rPr>
          <w:highlight w:val="white"/>
        </w:rPr>
      </w:pPr>
      <w:r>
        <w:rPr>
          <w:highlight w:val="white"/>
        </w:rPr>
        <w:tab/>
      </w:r>
      <w:r>
        <w:rPr>
          <w:highlight w:val="white"/>
        </w:rPr>
        <w:tab/>
      </w:r>
      <w:r w:rsidR="00506518" w:rsidRPr="00506518">
        <w:rPr>
          <w:highlight w:val="white"/>
        </w:rPr>
        <w:t>&lt;</w:t>
      </w:r>
      <w:proofErr w:type="spellStart"/>
      <w:r w:rsidR="00506518" w:rsidRPr="00506518">
        <w:rPr>
          <w:highlight w:val="white"/>
        </w:rPr>
        <w:t>BuyInPric</w:t>
      </w:r>
      <w:proofErr w:type="spellEnd"/>
      <w:r w:rsidR="00506518" w:rsidRPr="00506518">
        <w:rPr>
          <w:highlight w:val="white"/>
        </w:rPr>
        <w:t>&gt;</w:t>
      </w:r>
    </w:p>
    <w:p w14:paraId="73BA8F08" w14:textId="2034183D" w:rsidR="00506518" w:rsidRPr="00506518" w:rsidRDefault="006547FE" w:rsidP="00A73834">
      <w:pPr>
        <w:pStyle w:val="XMLCode"/>
        <w:rPr>
          <w:highlight w:val="white"/>
        </w:rPr>
      </w:pPr>
      <w:r>
        <w:rPr>
          <w:highlight w:val="white"/>
        </w:rPr>
        <w:tab/>
      </w:r>
      <w:r w:rsidR="005449A0">
        <w:rPr>
          <w:highlight w:val="white"/>
        </w:rPr>
        <w:tab/>
      </w:r>
      <w:r w:rsidR="005449A0">
        <w:rPr>
          <w:highlight w:val="white"/>
        </w:rPr>
        <w:tab/>
      </w:r>
      <w:r w:rsidR="00506518" w:rsidRPr="00506518">
        <w:rPr>
          <w:highlight w:val="white"/>
        </w:rPr>
        <w:t>&lt;</w:t>
      </w:r>
      <w:proofErr w:type="spellStart"/>
      <w:r w:rsidR="00506518" w:rsidRPr="00506518">
        <w:rPr>
          <w:highlight w:val="white"/>
        </w:rPr>
        <w:t>Amt</w:t>
      </w:r>
      <w:proofErr w:type="spellEnd"/>
      <w:r w:rsidR="00506518" w:rsidRPr="00506518">
        <w:rPr>
          <w:highlight w:val="white"/>
        </w:rPr>
        <w:t xml:space="preserve"> </w:t>
      </w:r>
      <w:proofErr w:type="spellStart"/>
      <w:r w:rsidR="00506518" w:rsidRPr="00506518">
        <w:rPr>
          <w:highlight w:val="white"/>
        </w:rPr>
        <w:t>Ccy</w:t>
      </w:r>
      <w:proofErr w:type="spellEnd"/>
      <w:r w:rsidR="00506518" w:rsidRPr="00506518">
        <w:rPr>
          <w:highlight w:val="white"/>
        </w:rPr>
        <w:t>="EUR"&gt;98.76&lt;/</w:t>
      </w:r>
      <w:proofErr w:type="spellStart"/>
      <w:r w:rsidR="00506518" w:rsidRPr="00506518">
        <w:rPr>
          <w:highlight w:val="white"/>
        </w:rPr>
        <w:t>Amt</w:t>
      </w:r>
      <w:proofErr w:type="spellEnd"/>
      <w:r w:rsidR="00506518" w:rsidRPr="00506518">
        <w:rPr>
          <w:highlight w:val="white"/>
        </w:rPr>
        <w:t>&gt;</w:t>
      </w:r>
    </w:p>
    <w:p w14:paraId="570E0DE8" w14:textId="1B04E42B" w:rsidR="00506518" w:rsidRPr="00506518" w:rsidRDefault="005449A0" w:rsidP="00A73834">
      <w:pPr>
        <w:pStyle w:val="XMLCode"/>
        <w:rPr>
          <w:highlight w:val="white"/>
        </w:rPr>
      </w:pPr>
      <w:r>
        <w:rPr>
          <w:highlight w:val="white"/>
        </w:rPr>
        <w:tab/>
      </w:r>
      <w:r>
        <w:rPr>
          <w:highlight w:val="white"/>
        </w:rPr>
        <w:tab/>
      </w:r>
      <w:r w:rsidR="00506518" w:rsidRPr="00506518">
        <w:rPr>
          <w:highlight w:val="white"/>
        </w:rPr>
        <w:t>&lt;/</w:t>
      </w:r>
      <w:proofErr w:type="spellStart"/>
      <w:r w:rsidR="00506518" w:rsidRPr="00506518">
        <w:rPr>
          <w:highlight w:val="white"/>
        </w:rPr>
        <w:t>BuyInPric</w:t>
      </w:r>
      <w:proofErr w:type="spellEnd"/>
      <w:r w:rsidR="00506518" w:rsidRPr="00506518">
        <w:rPr>
          <w:highlight w:val="white"/>
        </w:rPr>
        <w:t>&gt;</w:t>
      </w:r>
    </w:p>
    <w:p w14:paraId="51385B9E" w14:textId="29B4FE74" w:rsidR="00506518" w:rsidRPr="00506518" w:rsidRDefault="005449A0" w:rsidP="00A73834">
      <w:pPr>
        <w:pStyle w:val="XMLCode"/>
        <w:rPr>
          <w:highlight w:val="white"/>
        </w:rPr>
      </w:pPr>
      <w:r>
        <w:rPr>
          <w:highlight w:val="white"/>
        </w:rPr>
        <w:tab/>
      </w:r>
      <w:r>
        <w:rPr>
          <w:highlight w:val="white"/>
        </w:rPr>
        <w:tab/>
      </w:r>
      <w:r w:rsidR="00506518" w:rsidRPr="00506518">
        <w:rPr>
          <w:highlight w:val="white"/>
        </w:rPr>
        <w:t>&lt;</w:t>
      </w:r>
      <w:proofErr w:type="spellStart"/>
      <w:r w:rsidR="00506518" w:rsidRPr="00506518">
        <w:rPr>
          <w:highlight w:val="white"/>
        </w:rPr>
        <w:t>BuyInSttlmDt</w:t>
      </w:r>
      <w:proofErr w:type="spellEnd"/>
      <w:r w:rsidR="00506518" w:rsidRPr="00506518">
        <w:rPr>
          <w:highlight w:val="white"/>
        </w:rPr>
        <w:t>&gt;</w:t>
      </w:r>
    </w:p>
    <w:p w14:paraId="7A1F8A2C" w14:textId="3AB77AE7" w:rsidR="00506518" w:rsidRPr="00506518" w:rsidRDefault="005449A0" w:rsidP="00A73834">
      <w:pPr>
        <w:pStyle w:val="XMLCode"/>
        <w:rPr>
          <w:highlight w:val="white"/>
        </w:rPr>
      </w:pPr>
      <w:r>
        <w:rPr>
          <w:highlight w:val="white"/>
        </w:rPr>
        <w:tab/>
      </w:r>
      <w:r>
        <w:rPr>
          <w:highlight w:val="white"/>
        </w:rPr>
        <w:tab/>
      </w:r>
      <w:r w:rsidR="006547FE">
        <w:rPr>
          <w:highlight w:val="white"/>
        </w:rPr>
        <w:tab/>
      </w:r>
      <w:r w:rsidR="00506518" w:rsidRPr="00506518">
        <w:rPr>
          <w:highlight w:val="white"/>
        </w:rPr>
        <w:t>&lt;</w:t>
      </w:r>
      <w:proofErr w:type="gramStart"/>
      <w:r w:rsidR="00506518" w:rsidRPr="00506518">
        <w:rPr>
          <w:highlight w:val="white"/>
        </w:rPr>
        <w:t>Dt&gt;</w:t>
      </w:r>
      <w:proofErr w:type="gramEnd"/>
      <w:r w:rsidR="00506518" w:rsidRPr="00506518">
        <w:rPr>
          <w:highlight w:val="white"/>
        </w:rPr>
        <w:t>2021-08-13&lt;/Dt&gt;</w:t>
      </w:r>
    </w:p>
    <w:p w14:paraId="2704A8A8" w14:textId="5D499451" w:rsidR="00506518" w:rsidRPr="00506518" w:rsidRDefault="005449A0" w:rsidP="00A73834">
      <w:pPr>
        <w:pStyle w:val="XMLCode"/>
        <w:rPr>
          <w:highlight w:val="white"/>
        </w:rPr>
      </w:pPr>
      <w:r>
        <w:rPr>
          <w:highlight w:val="white"/>
        </w:rPr>
        <w:tab/>
      </w:r>
      <w:r>
        <w:rPr>
          <w:highlight w:val="white"/>
        </w:rPr>
        <w:tab/>
      </w:r>
      <w:r w:rsidR="00506518" w:rsidRPr="00506518">
        <w:rPr>
          <w:highlight w:val="white"/>
        </w:rPr>
        <w:t>&lt;/</w:t>
      </w:r>
      <w:proofErr w:type="spellStart"/>
      <w:r w:rsidR="00506518" w:rsidRPr="00506518">
        <w:rPr>
          <w:highlight w:val="white"/>
        </w:rPr>
        <w:t>BuyInSttlmDt</w:t>
      </w:r>
      <w:proofErr w:type="spellEnd"/>
      <w:r w:rsidR="00506518" w:rsidRPr="00506518">
        <w:rPr>
          <w:highlight w:val="white"/>
        </w:rPr>
        <w:t>&gt;</w:t>
      </w:r>
    </w:p>
    <w:p w14:paraId="2F52E3F4" w14:textId="2ABB8616" w:rsidR="005449A0" w:rsidRDefault="005449A0" w:rsidP="00A73834">
      <w:pPr>
        <w:pStyle w:val="XMLCode"/>
        <w:rPr>
          <w:highlight w:val="white"/>
        </w:rPr>
      </w:pPr>
      <w:r>
        <w:rPr>
          <w:highlight w:val="white"/>
        </w:rPr>
        <w:tab/>
      </w:r>
      <w:r w:rsidR="00506518" w:rsidRPr="00506518">
        <w:rPr>
          <w:highlight w:val="white"/>
        </w:rPr>
        <w:t>&lt;/</w:t>
      </w:r>
      <w:proofErr w:type="spellStart"/>
      <w:r w:rsidR="00506518" w:rsidRPr="00506518">
        <w:rPr>
          <w:highlight w:val="white"/>
        </w:rPr>
        <w:t>BuyInAttrbts</w:t>
      </w:r>
      <w:proofErr w:type="spellEnd"/>
      <w:r w:rsidR="00506518" w:rsidRPr="00506518">
        <w:rPr>
          <w:highlight w:val="white"/>
        </w:rPr>
        <w:t>&gt;</w:t>
      </w:r>
    </w:p>
    <w:p w14:paraId="03764205" w14:textId="1CB69015" w:rsidR="00506518" w:rsidRPr="00506518" w:rsidRDefault="00506518" w:rsidP="00A73834">
      <w:pPr>
        <w:pStyle w:val="XMLCode"/>
        <w:rPr>
          <w:highlight w:val="white"/>
        </w:rPr>
      </w:pPr>
      <w:r w:rsidRPr="00506518">
        <w:rPr>
          <w:highlight w:val="white"/>
        </w:rPr>
        <w:t>&lt;/</w:t>
      </w:r>
      <w:proofErr w:type="spellStart"/>
      <w:r w:rsidRPr="00506518">
        <w:rPr>
          <w:highlight w:val="white"/>
        </w:rPr>
        <w:t>BuyInRgltryAdvc</w:t>
      </w:r>
      <w:proofErr w:type="spellEnd"/>
      <w:r w:rsidRPr="00506518">
        <w:rPr>
          <w:highlight w:val="white"/>
        </w:rPr>
        <w:t>&gt;</w:t>
      </w:r>
    </w:p>
    <w:p w14:paraId="1D7DB502" w14:textId="35CD841C" w:rsidR="009329C0" w:rsidRDefault="009329C0" w:rsidP="009329C0"/>
    <w:p w14:paraId="28520615" w14:textId="5B90DB78" w:rsidR="0088633C" w:rsidRDefault="0088633C">
      <w:pPr>
        <w:suppressAutoHyphens w:val="0"/>
        <w:spacing w:before="0"/>
      </w:pPr>
      <w:r>
        <w:br w:type="page"/>
      </w:r>
    </w:p>
    <w:p w14:paraId="5F40707F" w14:textId="77777777" w:rsidR="009329C0" w:rsidRPr="009329C0" w:rsidRDefault="009329C0" w:rsidP="009329C0"/>
    <w:p w14:paraId="05DF6BC4" w14:textId="680495E8" w:rsidR="000B58A4" w:rsidRPr="00FA37D7" w:rsidRDefault="00DF1690" w:rsidP="000B58A4">
      <w:pPr>
        <w:pStyle w:val="Heading2"/>
      </w:pPr>
      <w:bookmarkStart w:id="27" w:name="_Toc324500587"/>
      <w:bookmarkStart w:id="28" w:name="_Toc325451303"/>
      <w:bookmarkStart w:id="29" w:name="_Toc356540984"/>
      <w:bookmarkStart w:id="30" w:name="_Toc411494518"/>
      <w:bookmarkStart w:id="31" w:name="_Toc426629150"/>
      <w:bookmarkStart w:id="32" w:name="_Toc45097636"/>
      <w:proofErr w:type="spellStart"/>
      <w:r>
        <w:t>BuyIn</w:t>
      </w:r>
      <w:r w:rsidR="006036F8">
        <w:t>Regulatory</w:t>
      </w:r>
      <w:r w:rsidR="000B58A4" w:rsidRPr="00FA37D7">
        <w:t>Advice</w:t>
      </w:r>
      <w:r w:rsidR="006036F8">
        <w:t>Response</w:t>
      </w:r>
      <w:proofErr w:type="spellEnd"/>
      <w:r w:rsidR="002155ED" w:rsidRPr="00FA37D7">
        <w:t xml:space="preserve"> </w:t>
      </w:r>
      <w:r w:rsidR="00014EF2">
        <w:t>sese.</w:t>
      </w:r>
      <w:r w:rsidR="005F5258">
        <w:t>042</w:t>
      </w:r>
      <w:r w:rsidR="00014EF2">
        <w:t>.001</w:t>
      </w:r>
      <w:r w:rsidR="000B58A4" w:rsidRPr="00FA37D7">
        <w:t>.</w:t>
      </w:r>
      <w:bookmarkEnd w:id="27"/>
      <w:bookmarkEnd w:id="28"/>
      <w:bookmarkEnd w:id="29"/>
      <w:bookmarkEnd w:id="30"/>
      <w:bookmarkEnd w:id="31"/>
      <w:r w:rsidR="002155ED" w:rsidRPr="00FA37D7">
        <w:t>0</w:t>
      </w:r>
      <w:r>
        <w:t>1</w:t>
      </w:r>
      <w:bookmarkEnd w:id="32"/>
    </w:p>
    <w:p w14:paraId="05DF6BC5" w14:textId="77777777" w:rsidR="000B58A4" w:rsidRPr="00FA37D7" w:rsidRDefault="000B58A4" w:rsidP="000B58A4">
      <w:pPr>
        <w:pStyle w:val="BlockLabel"/>
      </w:pPr>
      <w:r w:rsidRPr="00FA37D7">
        <w:t>Description</w:t>
      </w:r>
    </w:p>
    <w:p w14:paraId="05DF6BC6" w14:textId="0E8FE733" w:rsidR="000B58A4" w:rsidRPr="00FA37D7" w:rsidRDefault="003E6D0C" w:rsidP="000B58A4">
      <w:bookmarkStart w:id="33" w:name="_Hlk41654294"/>
      <w:r>
        <w:t>Upon</w:t>
      </w:r>
      <w:r w:rsidR="0052399E">
        <w:t xml:space="preserve"> receiving </w:t>
      </w:r>
      <w:r w:rsidR="00262884">
        <w:t xml:space="preserve">a buy-in advice as described in the previous example, </w:t>
      </w:r>
      <w:r w:rsidR="0052399E">
        <w:t xml:space="preserve">CSD </w:t>
      </w:r>
      <w:r w:rsidR="00262884">
        <w:t xml:space="preserve">A confirms </w:t>
      </w:r>
      <w:r w:rsidR="00B61BDB">
        <w:t xml:space="preserve">the receipt of </w:t>
      </w:r>
      <w:r w:rsidR="00262884">
        <w:t>the message to institution ABCD</w:t>
      </w:r>
      <w:r w:rsidR="00A73834">
        <w:t>.</w:t>
      </w:r>
    </w:p>
    <w:bookmarkEnd w:id="33"/>
    <w:p w14:paraId="05DF6BC7" w14:textId="77777777" w:rsidR="000B58A4" w:rsidRPr="00FA37D7" w:rsidRDefault="00AD2D49" w:rsidP="000B58A4">
      <w:pPr>
        <w:pStyle w:val="BlockLabel"/>
      </w:pPr>
      <w:r w:rsidRPr="00FA37D7">
        <w:t>Business Data</w:t>
      </w:r>
    </w:p>
    <w:p w14:paraId="05DF6BC8" w14:textId="41A5379D" w:rsidR="000B58A4" w:rsidRPr="00FA37D7" w:rsidRDefault="000B58A4" w:rsidP="000B58A4">
      <w:pPr>
        <w:pStyle w:val="Normal2"/>
      </w:pPr>
      <w:r w:rsidRPr="00FA37D7">
        <w:t xml:space="preserve">Requested </w:t>
      </w:r>
      <w:r w:rsidR="00A73834">
        <w:t>r</w:t>
      </w:r>
      <w:r w:rsidRPr="00FA37D7">
        <w:t xml:space="preserve">eference: </w:t>
      </w:r>
      <w:r w:rsidR="00262884">
        <w:t>BUYINADV1</w:t>
      </w:r>
    </w:p>
    <w:p w14:paraId="05DF6BCD" w14:textId="7A5362B0" w:rsidR="000B58A4" w:rsidRPr="00FA37D7" w:rsidRDefault="000B58A4" w:rsidP="000B58A4">
      <w:pPr>
        <w:pStyle w:val="Normal2"/>
      </w:pPr>
      <w:r w:rsidRPr="00FA37D7">
        <w:t xml:space="preserve">Processing </w:t>
      </w:r>
      <w:r w:rsidR="002E2B3C">
        <w:t>s</w:t>
      </w:r>
      <w:r w:rsidRPr="00FA37D7">
        <w:t xml:space="preserve">tatus (no reason): </w:t>
      </w:r>
      <w:r w:rsidR="006036F8">
        <w:t>accepted</w:t>
      </w:r>
    </w:p>
    <w:p w14:paraId="05DF6BCE" w14:textId="77777777" w:rsidR="000B58A4" w:rsidRPr="00FA37D7" w:rsidRDefault="000B58A4" w:rsidP="000B58A4">
      <w:pPr>
        <w:pStyle w:val="BlockLabelBeforeXML"/>
      </w:pPr>
      <w:r w:rsidRPr="00FA37D7">
        <w:t>Message Instance</w:t>
      </w:r>
    </w:p>
    <w:p w14:paraId="09F15D4B" w14:textId="09B169FB" w:rsidR="0096019B" w:rsidRPr="0096019B" w:rsidRDefault="0096019B" w:rsidP="00A73834">
      <w:pPr>
        <w:pStyle w:val="XMLCode"/>
        <w:rPr>
          <w:highlight w:val="white"/>
        </w:rPr>
      </w:pPr>
      <w:r w:rsidRPr="0096019B">
        <w:rPr>
          <w:highlight w:val="white"/>
        </w:rPr>
        <w:t>&lt;</w:t>
      </w:r>
      <w:proofErr w:type="spellStart"/>
      <w:r w:rsidRPr="0096019B">
        <w:rPr>
          <w:highlight w:val="white"/>
        </w:rPr>
        <w:t>BuyInRgltryAdvcRspn</w:t>
      </w:r>
      <w:proofErr w:type="spellEnd"/>
      <w:r w:rsidRPr="0096019B">
        <w:rPr>
          <w:highlight w:val="white"/>
        </w:rPr>
        <w:t>&gt;</w:t>
      </w:r>
    </w:p>
    <w:p w14:paraId="0B94B322" w14:textId="4B42CBA0" w:rsidR="0096019B" w:rsidRPr="0096019B" w:rsidRDefault="005449A0" w:rsidP="00A73834">
      <w:pPr>
        <w:pStyle w:val="XMLCode"/>
        <w:rPr>
          <w:highlight w:val="white"/>
        </w:rPr>
      </w:pPr>
      <w:r>
        <w:rPr>
          <w:highlight w:val="white"/>
        </w:rPr>
        <w:tab/>
      </w:r>
      <w:r w:rsidR="0096019B" w:rsidRPr="0096019B">
        <w:rPr>
          <w:highlight w:val="white"/>
        </w:rPr>
        <w:t>&lt;</w:t>
      </w:r>
      <w:proofErr w:type="spellStart"/>
      <w:r w:rsidR="0096019B" w:rsidRPr="0096019B">
        <w:rPr>
          <w:highlight w:val="white"/>
        </w:rPr>
        <w:t>ReqRef</w:t>
      </w:r>
      <w:proofErr w:type="spellEnd"/>
      <w:r w:rsidR="0096019B" w:rsidRPr="0096019B">
        <w:rPr>
          <w:highlight w:val="white"/>
        </w:rPr>
        <w:t>&gt;</w:t>
      </w:r>
    </w:p>
    <w:p w14:paraId="62A8CB42" w14:textId="429D83AE" w:rsidR="0096019B" w:rsidRPr="0096019B" w:rsidRDefault="005449A0" w:rsidP="00A73834">
      <w:pPr>
        <w:pStyle w:val="XMLCode"/>
        <w:rPr>
          <w:highlight w:val="white"/>
        </w:rPr>
      </w:pPr>
      <w:r>
        <w:rPr>
          <w:highlight w:val="white"/>
        </w:rPr>
        <w:tab/>
      </w:r>
      <w:r>
        <w:rPr>
          <w:highlight w:val="white"/>
        </w:rPr>
        <w:tab/>
      </w:r>
      <w:r w:rsidR="0096019B" w:rsidRPr="0096019B">
        <w:rPr>
          <w:highlight w:val="white"/>
        </w:rPr>
        <w:t>&lt;Id&gt;BUYINADV1&lt;/Id&gt;</w:t>
      </w:r>
    </w:p>
    <w:p w14:paraId="008A8DC1" w14:textId="13BB18C9" w:rsidR="0096019B" w:rsidRPr="0096019B" w:rsidRDefault="005449A0" w:rsidP="00A73834">
      <w:pPr>
        <w:pStyle w:val="XMLCode"/>
        <w:rPr>
          <w:highlight w:val="white"/>
        </w:rPr>
      </w:pPr>
      <w:r>
        <w:rPr>
          <w:highlight w:val="white"/>
        </w:rPr>
        <w:tab/>
      </w:r>
      <w:r w:rsidR="0096019B" w:rsidRPr="0096019B">
        <w:rPr>
          <w:highlight w:val="white"/>
        </w:rPr>
        <w:t>&lt;/</w:t>
      </w:r>
      <w:proofErr w:type="spellStart"/>
      <w:r w:rsidR="0096019B" w:rsidRPr="0096019B">
        <w:rPr>
          <w:highlight w:val="white"/>
        </w:rPr>
        <w:t>ReqRef</w:t>
      </w:r>
      <w:proofErr w:type="spellEnd"/>
      <w:r w:rsidR="0096019B" w:rsidRPr="0096019B">
        <w:rPr>
          <w:highlight w:val="white"/>
        </w:rPr>
        <w:t>&gt;</w:t>
      </w:r>
    </w:p>
    <w:p w14:paraId="5E6CD25E" w14:textId="5D41073F" w:rsidR="0096019B" w:rsidRPr="0096019B" w:rsidRDefault="005449A0" w:rsidP="00A73834">
      <w:pPr>
        <w:pStyle w:val="XMLCode"/>
        <w:rPr>
          <w:highlight w:val="white"/>
        </w:rPr>
      </w:pPr>
      <w:r>
        <w:rPr>
          <w:highlight w:val="white"/>
        </w:rPr>
        <w:tab/>
      </w:r>
      <w:r w:rsidR="0096019B" w:rsidRPr="0096019B">
        <w:rPr>
          <w:highlight w:val="white"/>
        </w:rPr>
        <w:t>&lt;</w:t>
      </w:r>
      <w:proofErr w:type="spellStart"/>
      <w:r w:rsidR="0096019B" w:rsidRPr="0096019B">
        <w:rPr>
          <w:highlight w:val="white"/>
        </w:rPr>
        <w:t>AcctOwnr</w:t>
      </w:r>
      <w:proofErr w:type="spellEnd"/>
      <w:r w:rsidR="0096019B" w:rsidRPr="0096019B">
        <w:rPr>
          <w:highlight w:val="white"/>
        </w:rPr>
        <w:t>&gt;</w:t>
      </w:r>
    </w:p>
    <w:p w14:paraId="0FCF5544" w14:textId="18163D0E" w:rsidR="0096019B" w:rsidRPr="0096019B" w:rsidRDefault="005449A0" w:rsidP="00A73834">
      <w:pPr>
        <w:pStyle w:val="XMLCode"/>
        <w:rPr>
          <w:highlight w:val="white"/>
        </w:rPr>
      </w:pPr>
      <w:r>
        <w:rPr>
          <w:highlight w:val="white"/>
        </w:rPr>
        <w:tab/>
      </w:r>
      <w:r>
        <w:rPr>
          <w:highlight w:val="white"/>
        </w:rPr>
        <w:tab/>
      </w:r>
      <w:r w:rsidR="0096019B" w:rsidRPr="0096019B">
        <w:rPr>
          <w:highlight w:val="white"/>
        </w:rPr>
        <w:t>&lt;Id&gt;</w:t>
      </w:r>
    </w:p>
    <w:p w14:paraId="2006CCF9" w14:textId="5D3C7B1C" w:rsidR="0096019B" w:rsidRPr="0096019B" w:rsidRDefault="005449A0" w:rsidP="00A73834">
      <w:pPr>
        <w:pStyle w:val="XMLCode"/>
        <w:rPr>
          <w:highlight w:val="white"/>
        </w:rPr>
      </w:pPr>
      <w:r>
        <w:rPr>
          <w:highlight w:val="white"/>
        </w:rPr>
        <w:tab/>
      </w:r>
      <w:r>
        <w:rPr>
          <w:highlight w:val="white"/>
        </w:rPr>
        <w:tab/>
      </w:r>
      <w:r w:rsidR="006547FE">
        <w:rPr>
          <w:highlight w:val="white"/>
        </w:rPr>
        <w:tab/>
      </w:r>
      <w:r w:rsidR="0096019B" w:rsidRPr="0096019B">
        <w:rPr>
          <w:highlight w:val="white"/>
        </w:rPr>
        <w:t>&lt;</w:t>
      </w:r>
      <w:proofErr w:type="spellStart"/>
      <w:r w:rsidR="0096019B" w:rsidRPr="0096019B">
        <w:rPr>
          <w:highlight w:val="white"/>
        </w:rPr>
        <w:t>AnyBIC</w:t>
      </w:r>
      <w:proofErr w:type="spellEnd"/>
      <w:r w:rsidR="0096019B" w:rsidRPr="0096019B">
        <w:rPr>
          <w:highlight w:val="white"/>
        </w:rPr>
        <w:t>&gt;ABCDABCD041&lt;/</w:t>
      </w:r>
      <w:proofErr w:type="spellStart"/>
      <w:r w:rsidR="0096019B" w:rsidRPr="0096019B">
        <w:rPr>
          <w:highlight w:val="white"/>
        </w:rPr>
        <w:t>AnyBIC</w:t>
      </w:r>
      <w:proofErr w:type="spellEnd"/>
      <w:r w:rsidR="0096019B" w:rsidRPr="0096019B">
        <w:rPr>
          <w:highlight w:val="white"/>
        </w:rPr>
        <w:t>&gt;</w:t>
      </w:r>
    </w:p>
    <w:p w14:paraId="3FF239EF" w14:textId="5F1FE65A" w:rsidR="0096019B" w:rsidRPr="0096019B" w:rsidRDefault="005449A0" w:rsidP="00A73834">
      <w:pPr>
        <w:pStyle w:val="XMLCode"/>
        <w:rPr>
          <w:highlight w:val="white"/>
        </w:rPr>
      </w:pPr>
      <w:r>
        <w:rPr>
          <w:highlight w:val="white"/>
        </w:rPr>
        <w:tab/>
      </w:r>
      <w:r>
        <w:rPr>
          <w:highlight w:val="white"/>
        </w:rPr>
        <w:tab/>
      </w:r>
      <w:r w:rsidR="0096019B" w:rsidRPr="0096019B">
        <w:rPr>
          <w:highlight w:val="white"/>
        </w:rPr>
        <w:t>&lt;/Id&gt;</w:t>
      </w:r>
    </w:p>
    <w:p w14:paraId="4AA5589F" w14:textId="37C27A3B" w:rsidR="0096019B" w:rsidRPr="0096019B" w:rsidRDefault="005449A0" w:rsidP="00A73834">
      <w:pPr>
        <w:pStyle w:val="XMLCode"/>
        <w:rPr>
          <w:highlight w:val="white"/>
        </w:rPr>
      </w:pPr>
      <w:r>
        <w:rPr>
          <w:highlight w:val="white"/>
        </w:rPr>
        <w:tab/>
      </w:r>
      <w:r w:rsidR="0096019B" w:rsidRPr="0096019B">
        <w:rPr>
          <w:highlight w:val="white"/>
        </w:rPr>
        <w:t>&lt;/</w:t>
      </w:r>
      <w:proofErr w:type="spellStart"/>
      <w:r w:rsidR="0096019B" w:rsidRPr="0096019B">
        <w:rPr>
          <w:highlight w:val="white"/>
        </w:rPr>
        <w:t>AcctOwnr</w:t>
      </w:r>
      <w:proofErr w:type="spellEnd"/>
      <w:r w:rsidR="0096019B" w:rsidRPr="0096019B">
        <w:rPr>
          <w:highlight w:val="white"/>
        </w:rPr>
        <w:t>&gt;</w:t>
      </w:r>
    </w:p>
    <w:p w14:paraId="44459A96" w14:textId="08D7CA93" w:rsidR="0096019B" w:rsidRPr="0096019B" w:rsidRDefault="005449A0" w:rsidP="00A73834">
      <w:pPr>
        <w:pStyle w:val="XMLCode"/>
        <w:rPr>
          <w:highlight w:val="white"/>
        </w:rPr>
      </w:pPr>
      <w:r>
        <w:rPr>
          <w:highlight w:val="white"/>
        </w:rPr>
        <w:tab/>
      </w:r>
      <w:r w:rsidR="0096019B" w:rsidRPr="0096019B">
        <w:rPr>
          <w:highlight w:val="white"/>
        </w:rPr>
        <w:t>&lt;</w:t>
      </w:r>
      <w:proofErr w:type="spellStart"/>
      <w:r w:rsidR="0096019B" w:rsidRPr="0096019B">
        <w:rPr>
          <w:highlight w:val="white"/>
        </w:rPr>
        <w:t>SfkpgAcct</w:t>
      </w:r>
      <w:proofErr w:type="spellEnd"/>
      <w:r w:rsidR="0096019B" w:rsidRPr="0096019B">
        <w:rPr>
          <w:highlight w:val="white"/>
        </w:rPr>
        <w:t>&gt;</w:t>
      </w:r>
    </w:p>
    <w:p w14:paraId="3D4849A1" w14:textId="6292E6CA" w:rsidR="0096019B" w:rsidRPr="0096019B" w:rsidRDefault="005449A0" w:rsidP="00A73834">
      <w:pPr>
        <w:pStyle w:val="XMLCode"/>
        <w:rPr>
          <w:highlight w:val="white"/>
        </w:rPr>
      </w:pPr>
      <w:r>
        <w:rPr>
          <w:highlight w:val="white"/>
        </w:rPr>
        <w:tab/>
      </w:r>
      <w:r>
        <w:rPr>
          <w:highlight w:val="white"/>
        </w:rPr>
        <w:tab/>
      </w:r>
      <w:r w:rsidR="0096019B" w:rsidRPr="0096019B">
        <w:rPr>
          <w:highlight w:val="white"/>
        </w:rPr>
        <w:t>&lt;Id&gt;ACC1&lt;/Id&gt;</w:t>
      </w:r>
    </w:p>
    <w:p w14:paraId="193D76DD" w14:textId="54168E86" w:rsidR="0096019B" w:rsidRPr="0096019B" w:rsidRDefault="005449A0" w:rsidP="00A73834">
      <w:pPr>
        <w:pStyle w:val="XMLCode"/>
        <w:rPr>
          <w:highlight w:val="white"/>
        </w:rPr>
      </w:pPr>
      <w:r>
        <w:rPr>
          <w:highlight w:val="white"/>
        </w:rPr>
        <w:tab/>
      </w:r>
      <w:r w:rsidR="0096019B" w:rsidRPr="0096019B">
        <w:rPr>
          <w:highlight w:val="white"/>
        </w:rPr>
        <w:t>&lt;/</w:t>
      </w:r>
      <w:proofErr w:type="spellStart"/>
      <w:r w:rsidR="0096019B" w:rsidRPr="0096019B">
        <w:rPr>
          <w:highlight w:val="white"/>
        </w:rPr>
        <w:t>SfkpgAcct</w:t>
      </w:r>
      <w:proofErr w:type="spellEnd"/>
      <w:r w:rsidR="0096019B" w:rsidRPr="0096019B">
        <w:rPr>
          <w:highlight w:val="white"/>
        </w:rPr>
        <w:t>&gt;</w:t>
      </w:r>
    </w:p>
    <w:p w14:paraId="51B7E38D" w14:textId="79A8C075" w:rsidR="0096019B" w:rsidRPr="0096019B" w:rsidRDefault="005449A0" w:rsidP="00A73834">
      <w:pPr>
        <w:pStyle w:val="XMLCode"/>
        <w:rPr>
          <w:highlight w:val="white"/>
        </w:rPr>
      </w:pPr>
      <w:r>
        <w:rPr>
          <w:highlight w:val="white"/>
        </w:rPr>
        <w:tab/>
      </w:r>
      <w:r w:rsidR="0096019B" w:rsidRPr="0096019B">
        <w:rPr>
          <w:highlight w:val="white"/>
        </w:rPr>
        <w:t>&lt;</w:t>
      </w:r>
      <w:proofErr w:type="spellStart"/>
      <w:r w:rsidR="0096019B" w:rsidRPr="0096019B">
        <w:rPr>
          <w:highlight w:val="white"/>
        </w:rPr>
        <w:t>PrcgSts</w:t>
      </w:r>
      <w:proofErr w:type="spellEnd"/>
      <w:r w:rsidR="0096019B" w:rsidRPr="0096019B">
        <w:rPr>
          <w:highlight w:val="white"/>
        </w:rPr>
        <w:t>&gt;</w:t>
      </w:r>
    </w:p>
    <w:p w14:paraId="16A182A0" w14:textId="697EF22A" w:rsidR="0096019B" w:rsidRPr="0096019B" w:rsidRDefault="005449A0" w:rsidP="00A73834">
      <w:pPr>
        <w:pStyle w:val="XMLCode"/>
        <w:rPr>
          <w:highlight w:val="white"/>
        </w:rPr>
      </w:pPr>
      <w:r>
        <w:rPr>
          <w:highlight w:val="white"/>
        </w:rPr>
        <w:tab/>
      </w:r>
      <w:r>
        <w:rPr>
          <w:highlight w:val="white"/>
        </w:rPr>
        <w:tab/>
      </w:r>
      <w:r w:rsidR="0096019B" w:rsidRPr="0096019B">
        <w:rPr>
          <w:highlight w:val="white"/>
        </w:rPr>
        <w:t>&lt;</w:t>
      </w:r>
      <w:proofErr w:type="spellStart"/>
      <w:r w:rsidR="0096019B" w:rsidRPr="0096019B">
        <w:rPr>
          <w:highlight w:val="white"/>
        </w:rPr>
        <w:t>AckdAccptd</w:t>
      </w:r>
      <w:proofErr w:type="spellEnd"/>
      <w:r w:rsidR="0096019B" w:rsidRPr="0096019B">
        <w:rPr>
          <w:highlight w:val="white"/>
        </w:rPr>
        <w:t>&gt;</w:t>
      </w:r>
    </w:p>
    <w:p w14:paraId="4D1CE4E7" w14:textId="602EA011" w:rsidR="0096019B" w:rsidRPr="0096019B" w:rsidRDefault="005449A0" w:rsidP="00A73834">
      <w:pPr>
        <w:pStyle w:val="XMLCode"/>
        <w:rPr>
          <w:highlight w:val="white"/>
        </w:rPr>
      </w:pPr>
      <w:r>
        <w:rPr>
          <w:highlight w:val="white"/>
        </w:rPr>
        <w:tab/>
      </w:r>
      <w:r>
        <w:rPr>
          <w:highlight w:val="white"/>
        </w:rPr>
        <w:tab/>
      </w:r>
      <w:r w:rsidR="006547FE">
        <w:rPr>
          <w:highlight w:val="white"/>
        </w:rPr>
        <w:tab/>
      </w:r>
      <w:r w:rsidR="0096019B" w:rsidRPr="0096019B">
        <w:rPr>
          <w:highlight w:val="white"/>
        </w:rPr>
        <w:t>&lt;</w:t>
      </w:r>
      <w:proofErr w:type="spellStart"/>
      <w:r w:rsidR="0096019B" w:rsidRPr="0096019B">
        <w:rPr>
          <w:highlight w:val="white"/>
        </w:rPr>
        <w:t>NoSpcfdRsn</w:t>
      </w:r>
      <w:proofErr w:type="spellEnd"/>
      <w:r w:rsidR="0096019B" w:rsidRPr="0096019B">
        <w:rPr>
          <w:highlight w:val="white"/>
        </w:rPr>
        <w:t>&gt;NORE&lt;/</w:t>
      </w:r>
      <w:proofErr w:type="spellStart"/>
      <w:r w:rsidR="0096019B" w:rsidRPr="0096019B">
        <w:rPr>
          <w:highlight w:val="white"/>
        </w:rPr>
        <w:t>NoSpcfdRsn</w:t>
      </w:r>
      <w:proofErr w:type="spellEnd"/>
      <w:r w:rsidR="0096019B" w:rsidRPr="0096019B">
        <w:rPr>
          <w:highlight w:val="white"/>
        </w:rPr>
        <w:t>&gt;</w:t>
      </w:r>
    </w:p>
    <w:p w14:paraId="68865545" w14:textId="70B099A9" w:rsidR="0096019B" w:rsidRPr="0096019B" w:rsidRDefault="005449A0" w:rsidP="00A73834">
      <w:pPr>
        <w:pStyle w:val="XMLCode"/>
        <w:rPr>
          <w:highlight w:val="white"/>
        </w:rPr>
      </w:pPr>
      <w:r>
        <w:rPr>
          <w:highlight w:val="white"/>
        </w:rPr>
        <w:tab/>
      </w:r>
      <w:r>
        <w:rPr>
          <w:highlight w:val="white"/>
        </w:rPr>
        <w:tab/>
      </w:r>
      <w:r w:rsidR="0096019B" w:rsidRPr="0096019B">
        <w:rPr>
          <w:highlight w:val="white"/>
        </w:rPr>
        <w:t>&lt;/</w:t>
      </w:r>
      <w:proofErr w:type="spellStart"/>
      <w:r w:rsidR="0096019B" w:rsidRPr="0096019B">
        <w:rPr>
          <w:highlight w:val="white"/>
        </w:rPr>
        <w:t>AckdAccptd</w:t>
      </w:r>
      <w:proofErr w:type="spellEnd"/>
      <w:r w:rsidR="0096019B" w:rsidRPr="0096019B">
        <w:rPr>
          <w:highlight w:val="white"/>
        </w:rPr>
        <w:t>&gt;</w:t>
      </w:r>
    </w:p>
    <w:p w14:paraId="681E7E8F" w14:textId="2AD9A916" w:rsidR="005449A0" w:rsidRDefault="005449A0" w:rsidP="00A73834">
      <w:pPr>
        <w:pStyle w:val="XMLCode"/>
        <w:rPr>
          <w:highlight w:val="white"/>
        </w:rPr>
      </w:pPr>
      <w:r>
        <w:rPr>
          <w:highlight w:val="white"/>
        </w:rPr>
        <w:tab/>
      </w:r>
      <w:r w:rsidR="0096019B" w:rsidRPr="0096019B">
        <w:rPr>
          <w:highlight w:val="white"/>
        </w:rPr>
        <w:t>&lt;/</w:t>
      </w:r>
      <w:proofErr w:type="spellStart"/>
      <w:r w:rsidR="0096019B" w:rsidRPr="0096019B">
        <w:rPr>
          <w:highlight w:val="white"/>
        </w:rPr>
        <w:t>PrcgSts</w:t>
      </w:r>
      <w:proofErr w:type="spellEnd"/>
      <w:r w:rsidR="0096019B" w:rsidRPr="0096019B">
        <w:rPr>
          <w:highlight w:val="white"/>
        </w:rPr>
        <w:t>&gt;</w:t>
      </w:r>
    </w:p>
    <w:p w14:paraId="3F636597" w14:textId="638829AC" w:rsidR="006036F8" w:rsidRPr="005449A0" w:rsidRDefault="0096019B" w:rsidP="00A73834">
      <w:pPr>
        <w:pStyle w:val="XMLCode"/>
        <w:rPr>
          <w:highlight w:val="white"/>
        </w:rPr>
      </w:pPr>
      <w:r w:rsidRPr="0096019B">
        <w:rPr>
          <w:highlight w:val="white"/>
        </w:rPr>
        <w:t>&lt;/</w:t>
      </w:r>
      <w:proofErr w:type="spellStart"/>
      <w:r w:rsidRPr="0096019B">
        <w:rPr>
          <w:highlight w:val="white"/>
        </w:rPr>
        <w:t>BuyInRgltryAdvcRspn</w:t>
      </w:r>
      <w:proofErr w:type="spellEnd"/>
      <w:r w:rsidRPr="0096019B">
        <w:rPr>
          <w:highlight w:val="white"/>
        </w:rPr>
        <w:t>&gt;</w:t>
      </w:r>
    </w:p>
    <w:p w14:paraId="15F2AA6E" w14:textId="7B68F393" w:rsidR="006036F8" w:rsidRDefault="006036F8" w:rsidP="006036F8">
      <w:pPr>
        <w:pStyle w:val="XMLCode"/>
      </w:pPr>
    </w:p>
    <w:p w14:paraId="045539B4" w14:textId="6BFE0647" w:rsidR="006036F8" w:rsidRDefault="006036F8" w:rsidP="006036F8">
      <w:pPr>
        <w:pStyle w:val="XMLCode"/>
      </w:pPr>
      <w:r>
        <w:t>Note that</w:t>
      </w:r>
      <w:r w:rsidR="00892E50">
        <w:t xml:space="preserve"> the</w:t>
      </w:r>
      <w:r>
        <w:t xml:space="preserve"> </w:t>
      </w:r>
      <w:r w:rsidR="00A73834">
        <w:t>buy</w:t>
      </w:r>
      <w:r>
        <w:t xml:space="preserve">-in details </w:t>
      </w:r>
      <w:r w:rsidR="006547FE">
        <w:t>may</w:t>
      </w:r>
      <w:r>
        <w:t xml:space="preserve"> optionally be</w:t>
      </w:r>
      <w:r w:rsidR="006547FE">
        <w:t xml:space="preserve"> </w:t>
      </w:r>
      <w:r>
        <w:t>included in the response message.</w:t>
      </w:r>
    </w:p>
    <w:p w14:paraId="05DF6BE0" w14:textId="64F71050" w:rsidR="000B58A4" w:rsidRPr="00FA37D7" w:rsidRDefault="000B58A4" w:rsidP="000B58A4">
      <w:pPr>
        <w:pStyle w:val="XMLCode"/>
      </w:pPr>
    </w:p>
    <w:bookmarkEnd w:id="6"/>
    <w:p w14:paraId="05DF6EF3" w14:textId="77777777" w:rsidR="00176D27" w:rsidRPr="00FA37D7" w:rsidRDefault="00176D27" w:rsidP="00176D27">
      <w:pPr>
        <w:sectPr w:rsidR="00176D27" w:rsidRPr="00FA37D7" w:rsidSect="006E0076">
          <w:headerReference w:type="even" r:id="rId27"/>
          <w:headerReference w:type="default" r:id="rId28"/>
          <w:footerReference w:type="even" r:id="rId29"/>
          <w:type w:val="oddPage"/>
          <w:pgSz w:w="11909" w:h="15840" w:code="9"/>
          <w:pgMar w:top="1021" w:right="1304" w:bottom="1701" w:left="1304" w:header="567" w:footer="567" w:gutter="0"/>
          <w:cols w:space="720"/>
        </w:sectPr>
      </w:pPr>
    </w:p>
    <w:p w14:paraId="7F517849" w14:textId="77777777" w:rsidR="006D657A" w:rsidRPr="00516F3F" w:rsidRDefault="006D657A" w:rsidP="006D657A">
      <w:pPr>
        <w:pStyle w:val="Heading"/>
      </w:pPr>
      <w:bookmarkStart w:id="34" w:name="_Toc468204409"/>
      <w:bookmarkStart w:id="35" w:name="_Toc45097637"/>
      <w:bookmarkStart w:id="36" w:name="_Toc314668495"/>
      <w:bookmarkStart w:id="37" w:name="_Toc315342000"/>
      <w:bookmarkStart w:id="38" w:name="_Toc315425656"/>
      <w:bookmarkStart w:id="39" w:name="_Toc315438499"/>
      <w:r>
        <w:lastRenderedPageBreak/>
        <w:t>Revision Record</w:t>
      </w:r>
      <w:bookmarkEnd w:id="34"/>
      <w:bookmarkEnd w:id="35"/>
    </w:p>
    <w:tbl>
      <w:tblPr>
        <w:tblStyle w:val="TableGrid"/>
        <w:tblW w:w="0" w:type="auto"/>
        <w:tblInd w:w="250" w:type="dxa"/>
        <w:tblLook w:val="04A0" w:firstRow="1" w:lastRow="0" w:firstColumn="1" w:lastColumn="0" w:noHBand="0" w:noVBand="1"/>
      </w:tblPr>
      <w:tblGrid>
        <w:gridCol w:w="1126"/>
        <w:gridCol w:w="1404"/>
        <w:gridCol w:w="1786"/>
        <w:gridCol w:w="2840"/>
        <w:gridCol w:w="1885"/>
      </w:tblGrid>
      <w:tr w:rsidR="006D657A" w14:paraId="093CD789" w14:textId="77777777" w:rsidTr="009E5B07">
        <w:tc>
          <w:tcPr>
            <w:tcW w:w="1126" w:type="dxa"/>
            <w:tcBorders>
              <w:top w:val="single" w:sz="4" w:space="0" w:color="auto"/>
              <w:left w:val="single" w:sz="4" w:space="0" w:color="auto"/>
              <w:bottom w:val="single" w:sz="4" w:space="0" w:color="auto"/>
              <w:right w:val="single" w:sz="4" w:space="0" w:color="auto"/>
            </w:tcBorders>
            <w:hideMark/>
          </w:tcPr>
          <w:p w14:paraId="7380875F" w14:textId="77777777" w:rsidR="006D657A" w:rsidRPr="006D657A" w:rsidRDefault="006D657A" w:rsidP="006D657A">
            <w:pPr>
              <w:pStyle w:val="TableHeading"/>
            </w:pPr>
            <w:r w:rsidRPr="00A15787">
              <w:t>Revision</w:t>
            </w:r>
          </w:p>
        </w:tc>
        <w:tc>
          <w:tcPr>
            <w:tcW w:w="1404" w:type="dxa"/>
            <w:tcBorders>
              <w:top w:val="single" w:sz="4" w:space="0" w:color="auto"/>
              <w:left w:val="single" w:sz="4" w:space="0" w:color="auto"/>
              <w:bottom w:val="single" w:sz="4" w:space="0" w:color="auto"/>
              <w:right w:val="single" w:sz="4" w:space="0" w:color="auto"/>
            </w:tcBorders>
            <w:hideMark/>
          </w:tcPr>
          <w:p w14:paraId="24D63549" w14:textId="77777777" w:rsidR="006D657A" w:rsidRPr="006D657A" w:rsidRDefault="006D657A" w:rsidP="006D657A">
            <w:pPr>
              <w:pStyle w:val="TableHeading"/>
            </w:pPr>
            <w:r w:rsidRPr="00A15787">
              <w:t>Date</w:t>
            </w:r>
          </w:p>
        </w:tc>
        <w:tc>
          <w:tcPr>
            <w:tcW w:w="1786" w:type="dxa"/>
            <w:tcBorders>
              <w:top w:val="single" w:sz="4" w:space="0" w:color="auto"/>
              <w:left w:val="single" w:sz="4" w:space="0" w:color="auto"/>
              <w:bottom w:val="single" w:sz="4" w:space="0" w:color="auto"/>
              <w:right w:val="single" w:sz="4" w:space="0" w:color="auto"/>
            </w:tcBorders>
            <w:hideMark/>
          </w:tcPr>
          <w:p w14:paraId="48C6E90B" w14:textId="77777777" w:rsidR="006D657A" w:rsidRPr="006D657A" w:rsidRDefault="006D657A" w:rsidP="006D657A">
            <w:pPr>
              <w:pStyle w:val="TableHeading"/>
            </w:pPr>
            <w:r w:rsidRPr="00A15787">
              <w:t>Author</w:t>
            </w:r>
          </w:p>
        </w:tc>
        <w:tc>
          <w:tcPr>
            <w:tcW w:w="2840" w:type="dxa"/>
            <w:tcBorders>
              <w:top w:val="single" w:sz="4" w:space="0" w:color="auto"/>
              <w:left w:val="single" w:sz="4" w:space="0" w:color="auto"/>
              <w:bottom w:val="single" w:sz="4" w:space="0" w:color="auto"/>
              <w:right w:val="single" w:sz="4" w:space="0" w:color="auto"/>
            </w:tcBorders>
            <w:hideMark/>
          </w:tcPr>
          <w:p w14:paraId="11E71554" w14:textId="77777777" w:rsidR="006D657A" w:rsidRPr="006D657A" w:rsidRDefault="006D657A" w:rsidP="006D657A">
            <w:pPr>
              <w:pStyle w:val="TableHeading"/>
            </w:pPr>
            <w:r w:rsidRPr="00A15787">
              <w:t>Description</w:t>
            </w:r>
          </w:p>
        </w:tc>
        <w:tc>
          <w:tcPr>
            <w:tcW w:w="1885" w:type="dxa"/>
            <w:tcBorders>
              <w:top w:val="single" w:sz="4" w:space="0" w:color="auto"/>
              <w:left w:val="single" w:sz="4" w:space="0" w:color="auto"/>
              <w:bottom w:val="single" w:sz="4" w:space="0" w:color="auto"/>
              <w:right w:val="single" w:sz="4" w:space="0" w:color="auto"/>
            </w:tcBorders>
            <w:hideMark/>
          </w:tcPr>
          <w:p w14:paraId="6929F22F" w14:textId="77777777" w:rsidR="006D657A" w:rsidRPr="006D657A" w:rsidRDefault="006D657A" w:rsidP="006D657A">
            <w:pPr>
              <w:pStyle w:val="TableHeading"/>
            </w:pPr>
            <w:r w:rsidRPr="00A15787">
              <w:t>Section Affected</w:t>
            </w:r>
          </w:p>
        </w:tc>
      </w:tr>
      <w:tr w:rsidR="009E5B07" w14:paraId="3BFEAF28" w14:textId="77777777" w:rsidTr="009E5B07">
        <w:tc>
          <w:tcPr>
            <w:tcW w:w="1126" w:type="dxa"/>
            <w:tcBorders>
              <w:top w:val="single" w:sz="4" w:space="0" w:color="auto"/>
              <w:left w:val="single" w:sz="4" w:space="0" w:color="auto"/>
              <w:bottom w:val="single" w:sz="4" w:space="0" w:color="auto"/>
              <w:right w:val="single" w:sz="4" w:space="0" w:color="auto"/>
            </w:tcBorders>
          </w:tcPr>
          <w:p w14:paraId="4610ECB1" w14:textId="07A67D5B" w:rsidR="009E5B07" w:rsidRPr="009E5B07" w:rsidRDefault="009E5B07" w:rsidP="009E5B07">
            <w:pPr>
              <w:pStyle w:val="TableText"/>
            </w:pPr>
            <w:r>
              <w:t>1.1</w:t>
            </w:r>
          </w:p>
        </w:tc>
        <w:tc>
          <w:tcPr>
            <w:tcW w:w="1404" w:type="dxa"/>
            <w:tcBorders>
              <w:top w:val="single" w:sz="4" w:space="0" w:color="auto"/>
              <w:left w:val="single" w:sz="4" w:space="0" w:color="auto"/>
              <w:bottom w:val="single" w:sz="4" w:space="0" w:color="auto"/>
              <w:right w:val="single" w:sz="4" w:space="0" w:color="auto"/>
            </w:tcBorders>
            <w:hideMark/>
          </w:tcPr>
          <w:p w14:paraId="12551061" w14:textId="58F96A86" w:rsidR="009E5B07" w:rsidRPr="009E5B07" w:rsidRDefault="009E5B07" w:rsidP="009E5B07">
            <w:pPr>
              <w:pStyle w:val="TableText"/>
            </w:pPr>
            <w:r>
              <w:t>15</w:t>
            </w:r>
            <w:r w:rsidRPr="009E5B07">
              <w:t>.</w:t>
            </w:r>
            <w:r>
              <w:t>07</w:t>
            </w:r>
            <w:r w:rsidRPr="009E5B07">
              <w:t>.2020</w:t>
            </w:r>
          </w:p>
        </w:tc>
        <w:tc>
          <w:tcPr>
            <w:tcW w:w="1786" w:type="dxa"/>
            <w:tcBorders>
              <w:top w:val="single" w:sz="4" w:space="0" w:color="auto"/>
              <w:left w:val="single" w:sz="4" w:space="0" w:color="auto"/>
              <w:bottom w:val="single" w:sz="4" w:space="0" w:color="auto"/>
              <w:right w:val="single" w:sz="4" w:space="0" w:color="auto"/>
            </w:tcBorders>
            <w:hideMark/>
          </w:tcPr>
          <w:p w14:paraId="6462170D" w14:textId="4DC767E9" w:rsidR="009E5B07" w:rsidRPr="009E5B07" w:rsidRDefault="009E5B07" w:rsidP="008B2EA5">
            <w:pPr>
              <w:pStyle w:val="TableText"/>
            </w:pPr>
            <w:r>
              <w:t>RA</w:t>
            </w:r>
            <w:r w:rsidR="008B2EA5">
              <w:t xml:space="preserve"> </w:t>
            </w:r>
            <w:r>
              <w:t>and KDPW</w:t>
            </w:r>
          </w:p>
        </w:tc>
        <w:tc>
          <w:tcPr>
            <w:tcW w:w="2840" w:type="dxa"/>
            <w:tcBorders>
              <w:top w:val="single" w:sz="4" w:space="0" w:color="auto"/>
              <w:left w:val="single" w:sz="4" w:space="0" w:color="auto"/>
              <w:bottom w:val="single" w:sz="4" w:space="0" w:color="auto"/>
              <w:right w:val="single" w:sz="4" w:space="0" w:color="auto"/>
            </w:tcBorders>
          </w:tcPr>
          <w:p w14:paraId="221B484F" w14:textId="53B806F2" w:rsidR="009E5B07" w:rsidRPr="009E5B07" w:rsidRDefault="009E5B07" w:rsidP="009E5B07">
            <w:pPr>
              <w:pStyle w:val="TableText"/>
            </w:pPr>
            <w:r>
              <w:t xml:space="preserve">Quality review </w:t>
            </w:r>
          </w:p>
        </w:tc>
        <w:tc>
          <w:tcPr>
            <w:tcW w:w="1885" w:type="dxa"/>
            <w:tcBorders>
              <w:top w:val="single" w:sz="4" w:space="0" w:color="auto"/>
              <w:left w:val="single" w:sz="4" w:space="0" w:color="auto"/>
              <w:bottom w:val="single" w:sz="4" w:space="0" w:color="auto"/>
              <w:right w:val="single" w:sz="4" w:space="0" w:color="auto"/>
            </w:tcBorders>
          </w:tcPr>
          <w:p w14:paraId="0BB1B879" w14:textId="77777777" w:rsidR="009E5B07" w:rsidRPr="009E5B07" w:rsidRDefault="009E5B07" w:rsidP="009E5B07">
            <w:pPr>
              <w:pStyle w:val="TableText"/>
            </w:pPr>
            <w:r>
              <w:t>All</w:t>
            </w:r>
          </w:p>
        </w:tc>
      </w:tr>
      <w:tr w:rsidR="00B44C96" w14:paraId="09A5A109" w14:textId="77777777" w:rsidTr="009E5B07">
        <w:tc>
          <w:tcPr>
            <w:tcW w:w="1126" w:type="dxa"/>
            <w:tcBorders>
              <w:top w:val="single" w:sz="4" w:space="0" w:color="auto"/>
              <w:left w:val="single" w:sz="4" w:space="0" w:color="auto"/>
              <w:bottom w:val="single" w:sz="4" w:space="0" w:color="auto"/>
              <w:right w:val="single" w:sz="4" w:space="0" w:color="auto"/>
            </w:tcBorders>
          </w:tcPr>
          <w:p w14:paraId="78AEE671" w14:textId="626A0123" w:rsidR="00B44C96" w:rsidRPr="00B44C96" w:rsidRDefault="00B44C96" w:rsidP="00B44C96">
            <w:pPr>
              <w:pStyle w:val="TableText"/>
            </w:pPr>
            <w:r>
              <w:t>1.0</w:t>
            </w:r>
          </w:p>
        </w:tc>
        <w:tc>
          <w:tcPr>
            <w:tcW w:w="1404" w:type="dxa"/>
            <w:tcBorders>
              <w:top w:val="single" w:sz="4" w:space="0" w:color="auto"/>
              <w:left w:val="single" w:sz="4" w:space="0" w:color="auto"/>
              <w:bottom w:val="single" w:sz="4" w:space="0" w:color="auto"/>
              <w:right w:val="single" w:sz="4" w:space="0" w:color="auto"/>
            </w:tcBorders>
            <w:hideMark/>
          </w:tcPr>
          <w:p w14:paraId="68CB637A" w14:textId="243B26F2" w:rsidR="00B44C96" w:rsidRPr="00B44C96" w:rsidRDefault="00B44C96" w:rsidP="00B44C96">
            <w:pPr>
              <w:pStyle w:val="TableText"/>
            </w:pPr>
            <w:r>
              <w:t>05</w:t>
            </w:r>
            <w:r w:rsidRPr="00B44C96">
              <w:t>.06.2020</w:t>
            </w:r>
          </w:p>
        </w:tc>
        <w:tc>
          <w:tcPr>
            <w:tcW w:w="1786" w:type="dxa"/>
            <w:tcBorders>
              <w:top w:val="single" w:sz="4" w:space="0" w:color="auto"/>
              <w:left w:val="single" w:sz="4" w:space="0" w:color="auto"/>
              <w:bottom w:val="single" w:sz="4" w:space="0" w:color="auto"/>
              <w:right w:val="single" w:sz="4" w:space="0" w:color="auto"/>
            </w:tcBorders>
            <w:hideMark/>
          </w:tcPr>
          <w:p w14:paraId="5DB424D9" w14:textId="77777777" w:rsidR="00B44C96" w:rsidRPr="00B44C96" w:rsidRDefault="00B44C96" w:rsidP="00B44C96">
            <w:pPr>
              <w:pStyle w:val="TableText"/>
            </w:pPr>
            <w:r>
              <w:t>KDPW</w:t>
            </w:r>
          </w:p>
        </w:tc>
        <w:tc>
          <w:tcPr>
            <w:tcW w:w="2840" w:type="dxa"/>
            <w:tcBorders>
              <w:top w:val="single" w:sz="4" w:space="0" w:color="auto"/>
              <w:left w:val="single" w:sz="4" w:space="0" w:color="auto"/>
              <w:bottom w:val="single" w:sz="4" w:space="0" w:color="auto"/>
              <w:right w:val="single" w:sz="4" w:space="0" w:color="auto"/>
            </w:tcBorders>
          </w:tcPr>
          <w:p w14:paraId="62F67764" w14:textId="052291AA" w:rsidR="00B44C96" w:rsidRPr="00B44C96" w:rsidRDefault="00904996" w:rsidP="00B44C96">
            <w:pPr>
              <w:pStyle w:val="TableText"/>
            </w:pPr>
            <w:r>
              <w:t>U</w:t>
            </w:r>
            <w:r w:rsidR="00B31646">
              <w:t>pdated message and field</w:t>
            </w:r>
            <w:r w:rsidR="00B87F74">
              <w:t>names</w:t>
            </w:r>
          </w:p>
        </w:tc>
        <w:tc>
          <w:tcPr>
            <w:tcW w:w="1885" w:type="dxa"/>
            <w:tcBorders>
              <w:top w:val="single" w:sz="4" w:space="0" w:color="auto"/>
              <w:left w:val="single" w:sz="4" w:space="0" w:color="auto"/>
              <w:bottom w:val="single" w:sz="4" w:space="0" w:color="auto"/>
              <w:right w:val="single" w:sz="4" w:space="0" w:color="auto"/>
            </w:tcBorders>
          </w:tcPr>
          <w:p w14:paraId="244F1A03" w14:textId="77777777" w:rsidR="00B44C96" w:rsidRPr="00B44C96" w:rsidRDefault="00B44C96" w:rsidP="00B44C96">
            <w:pPr>
              <w:pStyle w:val="TableText"/>
            </w:pPr>
            <w:r>
              <w:t>All</w:t>
            </w:r>
          </w:p>
        </w:tc>
      </w:tr>
      <w:tr w:rsidR="006D657A" w14:paraId="2B0C18C1" w14:textId="77777777" w:rsidTr="009E5B07">
        <w:tc>
          <w:tcPr>
            <w:tcW w:w="1126" w:type="dxa"/>
            <w:tcBorders>
              <w:top w:val="single" w:sz="4" w:space="0" w:color="auto"/>
              <w:left w:val="single" w:sz="4" w:space="0" w:color="auto"/>
              <w:bottom w:val="single" w:sz="4" w:space="0" w:color="auto"/>
              <w:right w:val="single" w:sz="4" w:space="0" w:color="auto"/>
            </w:tcBorders>
          </w:tcPr>
          <w:p w14:paraId="7E2549CE" w14:textId="77777777" w:rsidR="006D657A" w:rsidRPr="006D657A" w:rsidRDefault="006D657A" w:rsidP="006D657A">
            <w:pPr>
              <w:pStyle w:val="TableText"/>
            </w:pPr>
            <w:r>
              <w:t>0.1</w:t>
            </w:r>
          </w:p>
        </w:tc>
        <w:tc>
          <w:tcPr>
            <w:tcW w:w="1404" w:type="dxa"/>
            <w:tcBorders>
              <w:top w:val="single" w:sz="4" w:space="0" w:color="auto"/>
              <w:left w:val="single" w:sz="4" w:space="0" w:color="auto"/>
              <w:bottom w:val="single" w:sz="4" w:space="0" w:color="auto"/>
              <w:right w:val="single" w:sz="4" w:space="0" w:color="auto"/>
            </w:tcBorders>
            <w:hideMark/>
          </w:tcPr>
          <w:p w14:paraId="778D5606" w14:textId="0078184E" w:rsidR="006D657A" w:rsidRPr="006D657A" w:rsidRDefault="0099451F" w:rsidP="006D657A">
            <w:pPr>
              <w:pStyle w:val="TableText"/>
            </w:pPr>
            <w:r>
              <w:t>01</w:t>
            </w:r>
            <w:r w:rsidR="00DF1690">
              <w:t>.0</w:t>
            </w:r>
            <w:r>
              <w:t>6</w:t>
            </w:r>
            <w:r w:rsidR="00DF1690">
              <w:t>.2020</w:t>
            </w:r>
          </w:p>
        </w:tc>
        <w:tc>
          <w:tcPr>
            <w:tcW w:w="1786" w:type="dxa"/>
            <w:tcBorders>
              <w:top w:val="single" w:sz="4" w:space="0" w:color="auto"/>
              <w:left w:val="single" w:sz="4" w:space="0" w:color="auto"/>
              <w:bottom w:val="single" w:sz="4" w:space="0" w:color="auto"/>
              <w:right w:val="single" w:sz="4" w:space="0" w:color="auto"/>
            </w:tcBorders>
            <w:hideMark/>
          </w:tcPr>
          <w:p w14:paraId="042A1D7E" w14:textId="3B08FF34" w:rsidR="006D657A" w:rsidRPr="006D657A" w:rsidRDefault="00DF1690" w:rsidP="006D657A">
            <w:pPr>
              <w:pStyle w:val="TableText"/>
            </w:pPr>
            <w:r>
              <w:t>KDPW</w:t>
            </w:r>
          </w:p>
        </w:tc>
        <w:tc>
          <w:tcPr>
            <w:tcW w:w="2840" w:type="dxa"/>
            <w:tcBorders>
              <w:top w:val="single" w:sz="4" w:space="0" w:color="auto"/>
              <w:left w:val="single" w:sz="4" w:space="0" w:color="auto"/>
              <w:bottom w:val="single" w:sz="4" w:space="0" w:color="auto"/>
              <w:right w:val="single" w:sz="4" w:space="0" w:color="auto"/>
            </w:tcBorders>
          </w:tcPr>
          <w:p w14:paraId="5EBA213F" w14:textId="1CDEB342" w:rsidR="006D657A" w:rsidRPr="006D657A" w:rsidRDefault="00DF1690" w:rsidP="006D657A">
            <w:pPr>
              <w:pStyle w:val="TableText"/>
            </w:pPr>
            <w:r>
              <w:t>Draft</w:t>
            </w:r>
          </w:p>
        </w:tc>
        <w:tc>
          <w:tcPr>
            <w:tcW w:w="1885" w:type="dxa"/>
            <w:tcBorders>
              <w:top w:val="single" w:sz="4" w:space="0" w:color="auto"/>
              <w:left w:val="single" w:sz="4" w:space="0" w:color="auto"/>
              <w:bottom w:val="single" w:sz="4" w:space="0" w:color="auto"/>
              <w:right w:val="single" w:sz="4" w:space="0" w:color="auto"/>
            </w:tcBorders>
          </w:tcPr>
          <w:p w14:paraId="259A49C0" w14:textId="77777777" w:rsidR="006D657A" w:rsidRPr="006D657A" w:rsidRDefault="006D657A" w:rsidP="006D657A">
            <w:pPr>
              <w:pStyle w:val="TableText"/>
            </w:pPr>
            <w:r>
              <w:t>All</w:t>
            </w:r>
          </w:p>
        </w:tc>
      </w:tr>
      <w:tr w:rsidR="006D657A" w14:paraId="1D61B297" w14:textId="77777777" w:rsidTr="009E5B07">
        <w:tc>
          <w:tcPr>
            <w:tcW w:w="1126" w:type="dxa"/>
            <w:tcBorders>
              <w:top w:val="single" w:sz="4" w:space="0" w:color="auto"/>
              <w:left w:val="single" w:sz="4" w:space="0" w:color="auto"/>
              <w:bottom w:val="single" w:sz="4" w:space="0" w:color="auto"/>
              <w:right w:val="single" w:sz="4" w:space="0" w:color="auto"/>
            </w:tcBorders>
          </w:tcPr>
          <w:p w14:paraId="0A1E5AF7" w14:textId="6F8A8E04" w:rsidR="006D657A" w:rsidRPr="006D657A" w:rsidRDefault="006D657A" w:rsidP="006D657A">
            <w:pPr>
              <w:pStyle w:val="TableText"/>
            </w:pPr>
          </w:p>
        </w:tc>
        <w:tc>
          <w:tcPr>
            <w:tcW w:w="1404" w:type="dxa"/>
            <w:tcBorders>
              <w:top w:val="single" w:sz="4" w:space="0" w:color="auto"/>
              <w:left w:val="single" w:sz="4" w:space="0" w:color="auto"/>
              <w:bottom w:val="single" w:sz="4" w:space="0" w:color="auto"/>
              <w:right w:val="single" w:sz="4" w:space="0" w:color="auto"/>
            </w:tcBorders>
          </w:tcPr>
          <w:p w14:paraId="499467B5" w14:textId="45051885" w:rsidR="006D657A" w:rsidRPr="006D657A" w:rsidRDefault="006D657A" w:rsidP="006D657A">
            <w:pPr>
              <w:pStyle w:val="TableText"/>
            </w:pPr>
          </w:p>
        </w:tc>
        <w:tc>
          <w:tcPr>
            <w:tcW w:w="1786" w:type="dxa"/>
            <w:tcBorders>
              <w:top w:val="single" w:sz="4" w:space="0" w:color="auto"/>
              <w:left w:val="single" w:sz="4" w:space="0" w:color="auto"/>
              <w:bottom w:val="single" w:sz="4" w:space="0" w:color="auto"/>
              <w:right w:val="single" w:sz="4" w:space="0" w:color="auto"/>
            </w:tcBorders>
          </w:tcPr>
          <w:p w14:paraId="5D5B6A83" w14:textId="5BC8E4F9" w:rsidR="006D657A" w:rsidRPr="006D657A" w:rsidRDefault="006D657A" w:rsidP="006D657A">
            <w:pPr>
              <w:pStyle w:val="TableText"/>
            </w:pPr>
          </w:p>
        </w:tc>
        <w:tc>
          <w:tcPr>
            <w:tcW w:w="2840" w:type="dxa"/>
            <w:tcBorders>
              <w:top w:val="single" w:sz="4" w:space="0" w:color="auto"/>
              <w:left w:val="single" w:sz="4" w:space="0" w:color="auto"/>
              <w:bottom w:val="single" w:sz="4" w:space="0" w:color="auto"/>
              <w:right w:val="single" w:sz="4" w:space="0" w:color="auto"/>
            </w:tcBorders>
          </w:tcPr>
          <w:p w14:paraId="171202AD" w14:textId="24A7FE06" w:rsidR="006D657A" w:rsidRPr="006D657A" w:rsidRDefault="006D657A" w:rsidP="006D657A">
            <w:pPr>
              <w:pStyle w:val="TableText"/>
            </w:pPr>
          </w:p>
        </w:tc>
        <w:tc>
          <w:tcPr>
            <w:tcW w:w="1885" w:type="dxa"/>
            <w:tcBorders>
              <w:top w:val="single" w:sz="4" w:space="0" w:color="auto"/>
              <w:left w:val="single" w:sz="4" w:space="0" w:color="auto"/>
              <w:bottom w:val="single" w:sz="4" w:space="0" w:color="auto"/>
              <w:right w:val="single" w:sz="4" w:space="0" w:color="auto"/>
            </w:tcBorders>
          </w:tcPr>
          <w:p w14:paraId="28FD6D95" w14:textId="0FA0BE0F" w:rsidR="006D657A" w:rsidRPr="006D657A" w:rsidRDefault="006D657A" w:rsidP="006D657A">
            <w:pPr>
              <w:pStyle w:val="TableText"/>
            </w:pPr>
          </w:p>
        </w:tc>
      </w:tr>
      <w:tr w:rsidR="00797843" w14:paraId="0658E34E" w14:textId="77777777" w:rsidTr="009E5B07">
        <w:tc>
          <w:tcPr>
            <w:tcW w:w="1126" w:type="dxa"/>
            <w:tcBorders>
              <w:top w:val="single" w:sz="4" w:space="0" w:color="auto"/>
              <w:left w:val="single" w:sz="4" w:space="0" w:color="auto"/>
              <w:bottom w:val="single" w:sz="4" w:space="0" w:color="auto"/>
              <w:right w:val="single" w:sz="4" w:space="0" w:color="auto"/>
            </w:tcBorders>
          </w:tcPr>
          <w:p w14:paraId="3D427D0E" w14:textId="6F14A3ED" w:rsidR="00797843" w:rsidRDefault="00797843" w:rsidP="006D657A">
            <w:pPr>
              <w:pStyle w:val="TableText"/>
            </w:pPr>
          </w:p>
        </w:tc>
        <w:tc>
          <w:tcPr>
            <w:tcW w:w="1404" w:type="dxa"/>
            <w:tcBorders>
              <w:top w:val="single" w:sz="4" w:space="0" w:color="auto"/>
              <w:left w:val="single" w:sz="4" w:space="0" w:color="auto"/>
              <w:bottom w:val="single" w:sz="4" w:space="0" w:color="auto"/>
              <w:right w:val="single" w:sz="4" w:space="0" w:color="auto"/>
            </w:tcBorders>
          </w:tcPr>
          <w:p w14:paraId="3AC463DE" w14:textId="7B791481" w:rsidR="00797843" w:rsidRDefault="00797843" w:rsidP="006D657A">
            <w:pPr>
              <w:pStyle w:val="TableText"/>
            </w:pPr>
          </w:p>
        </w:tc>
        <w:tc>
          <w:tcPr>
            <w:tcW w:w="1786" w:type="dxa"/>
            <w:tcBorders>
              <w:top w:val="single" w:sz="4" w:space="0" w:color="auto"/>
              <w:left w:val="single" w:sz="4" w:space="0" w:color="auto"/>
              <w:bottom w:val="single" w:sz="4" w:space="0" w:color="auto"/>
              <w:right w:val="single" w:sz="4" w:space="0" w:color="auto"/>
            </w:tcBorders>
          </w:tcPr>
          <w:p w14:paraId="1B381710" w14:textId="1B21D1C4" w:rsidR="00797843" w:rsidRDefault="00797843" w:rsidP="006D657A">
            <w:pPr>
              <w:pStyle w:val="TableText"/>
            </w:pPr>
          </w:p>
        </w:tc>
        <w:tc>
          <w:tcPr>
            <w:tcW w:w="2840" w:type="dxa"/>
            <w:tcBorders>
              <w:top w:val="single" w:sz="4" w:space="0" w:color="auto"/>
              <w:left w:val="single" w:sz="4" w:space="0" w:color="auto"/>
              <w:bottom w:val="single" w:sz="4" w:space="0" w:color="auto"/>
              <w:right w:val="single" w:sz="4" w:space="0" w:color="auto"/>
            </w:tcBorders>
          </w:tcPr>
          <w:p w14:paraId="51D98B5E" w14:textId="40EB3A21" w:rsidR="00797843" w:rsidRDefault="00797843" w:rsidP="006D657A">
            <w:pPr>
              <w:pStyle w:val="TableText"/>
            </w:pPr>
          </w:p>
        </w:tc>
        <w:tc>
          <w:tcPr>
            <w:tcW w:w="1885" w:type="dxa"/>
            <w:tcBorders>
              <w:top w:val="single" w:sz="4" w:space="0" w:color="auto"/>
              <w:left w:val="single" w:sz="4" w:space="0" w:color="auto"/>
              <w:bottom w:val="single" w:sz="4" w:space="0" w:color="auto"/>
              <w:right w:val="single" w:sz="4" w:space="0" w:color="auto"/>
            </w:tcBorders>
          </w:tcPr>
          <w:p w14:paraId="21C464B9" w14:textId="31771847" w:rsidR="00797843" w:rsidRDefault="00797843" w:rsidP="006D657A">
            <w:pPr>
              <w:pStyle w:val="TableText"/>
            </w:pPr>
          </w:p>
        </w:tc>
      </w:tr>
      <w:tr w:rsidR="00E05464" w14:paraId="75AB7B5F" w14:textId="77777777" w:rsidTr="009E5B07">
        <w:tc>
          <w:tcPr>
            <w:tcW w:w="1126" w:type="dxa"/>
            <w:tcBorders>
              <w:top w:val="single" w:sz="4" w:space="0" w:color="auto"/>
              <w:left w:val="single" w:sz="4" w:space="0" w:color="auto"/>
              <w:bottom w:val="single" w:sz="4" w:space="0" w:color="auto"/>
              <w:right w:val="single" w:sz="4" w:space="0" w:color="auto"/>
            </w:tcBorders>
          </w:tcPr>
          <w:p w14:paraId="7E5ECC4E" w14:textId="339C5B75" w:rsidR="00E05464" w:rsidRPr="00E05464" w:rsidRDefault="00E05464" w:rsidP="00E05464">
            <w:pPr>
              <w:pStyle w:val="TableText"/>
            </w:pPr>
          </w:p>
        </w:tc>
        <w:tc>
          <w:tcPr>
            <w:tcW w:w="1404" w:type="dxa"/>
            <w:tcBorders>
              <w:top w:val="single" w:sz="4" w:space="0" w:color="auto"/>
              <w:left w:val="single" w:sz="4" w:space="0" w:color="auto"/>
              <w:bottom w:val="single" w:sz="4" w:space="0" w:color="auto"/>
              <w:right w:val="single" w:sz="4" w:space="0" w:color="auto"/>
            </w:tcBorders>
          </w:tcPr>
          <w:p w14:paraId="15D0D2FC" w14:textId="0BBB82FA" w:rsidR="00E05464" w:rsidRPr="00E05464" w:rsidRDefault="00E05464" w:rsidP="00E05464">
            <w:pPr>
              <w:pStyle w:val="TableText"/>
            </w:pPr>
          </w:p>
        </w:tc>
        <w:tc>
          <w:tcPr>
            <w:tcW w:w="1786" w:type="dxa"/>
            <w:tcBorders>
              <w:top w:val="single" w:sz="4" w:space="0" w:color="auto"/>
              <w:left w:val="single" w:sz="4" w:space="0" w:color="auto"/>
              <w:bottom w:val="single" w:sz="4" w:space="0" w:color="auto"/>
              <w:right w:val="single" w:sz="4" w:space="0" w:color="auto"/>
            </w:tcBorders>
          </w:tcPr>
          <w:p w14:paraId="073AD0C3" w14:textId="6C68CE34" w:rsidR="00E05464" w:rsidRPr="00E05464" w:rsidRDefault="00E05464" w:rsidP="00E05464">
            <w:pPr>
              <w:pStyle w:val="TableText"/>
            </w:pPr>
          </w:p>
        </w:tc>
        <w:tc>
          <w:tcPr>
            <w:tcW w:w="2840" w:type="dxa"/>
            <w:tcBorders>
              <w:top w:val="single" w:sz="4" w:space="0" w:color="auto"/>
              <w:left w:val="single" w:sz="4" w:space="0" w:color="auto"/>
              <w:bottom w:val="single" w:sz="4" w:space="0" w:color="auto"/>
              <w:right w:val="single" w:sz="4" w:space="0" w:color="auto"/>
            </w:tcBorders>
          </w:tcPr>
          <w:p w14:paraId="766779B1" w14:textId="40934271" w:rsidR="00E05464" w:rsidRPr="00E05464" w:rsidRDefault="00E05464" w:rsidP="00E05464">
            <w:pPr>
              <w:pStyle w:val="TableText"/>
            </w:pPr>
          </w:p>
        </w:tc>
        <w:tc>
          <w:tcPr>
            <w:tcW w:w="1885" w:type="dxa"/>
            <w:tcBorders>
              <w:top w:val="single" w:sz="4" w:space="0" w:color="auto"/>
              <w:left w:val="single" w:sz="4" w:space="0" w:color="auto"/>
              <w:bottom w:val="single" w:sz="4" w:space="0" w:color="auto"/>
              <w:right w:val="single" w:sz="4" w:space="0" w:color="auto"/>
            </w:tcBorders>
          </w:tcPr>
          <w:p w14:paraId="7AB4659F" w14:textId="05E1C019" w:rsidR="00E05464" w:rsidRPr="00E05464" w:rsidRDefault="00E05464" w:rsidP="00783295">
            <w:pPr>
              <w:pStyle w:val="TableText"/>
            </w:pPr>
          </w:p>
        </w:tc>
      </w:tr>
      <w:tr w:rsidR="00E05464" w14:paraId="74FF39F1" w14:textId="77777777" w:rsidTr="009E5B07">
        <w:tc>
          <w:tcPr>
            <w:tcW w:w="1126" w:type="dxa"/>
            <w:tcBorders>
              <w:top w:val="single" w:sz="4" w:space="0" w:color="auto"/>
              <w:left w:val="single" w:sz="4" w:space="0" w:color="auto"/>
              <w:bottom w:val="single" w:sz="4" w:space="0" w:color="auto"/>
              <w:right w:val="single" w:sz="4" w:space="0" w:color="auto"/>
            </w:tcBorders>
          </w:tcPr>
          <w:p w14:paraId="1BEBC945" w14:textId="77777777" w:rsidR="00E05464" w:rsidRDefault="00E05464" w:rsidP="006D657A">
            <w:pPr>
              <w:pStyle w:val="TableText"/>
            </w:pPr>
          </w:p>
        </w:tc>
        <w:tc>
          <w:tcPr>
            <w:tcW w:w="1404" w:type="dxa"/>
            <w:tcBorders>
              <w:top w:val="single" w:sz="4" w:space="0" w:color="auto"/>
              <w:left w:val="single" w:sz="4" w:space="0" w:color="auto"/>
              <w:bottom w:val="single" w:sz="4" w:space="0" w:color="auto"/>
              <w:right w:val="single" w:sz="4" w:space="0" w:color="auto"/>
            </w:tcBorders>
          </w:tcPr>
          <w:p w14:paraId="3F951A42" w14:textId="77777777" w:rsidR="00E05464" w:rsidRDefault="00E05464" w:rsidP="006D657A">
            <w:pPr>
              <w:pStyle w:val="TableText"/>
            </w:pPr>
          </w:p>
        </w:tc>
        <w:tc>
          <w:tcPr>
            <w:tcW w:w="1786" w:type="dxa"/>
            <w:tcBorders>
              <w:top w:val="single" w:sz="4" w:space="0" w:color="auto"/>
              <w:left w:val="single" w:sz="4" w:space="0" w:color="auto"/>
              <w:bottom w:val="single" w:sz="4" w:space="0" w:color="auto"/>
              <w:right w:val="single" w:sz="4" w:space="0" w:color="auto"/>
            </w:tcBorders>
          </w:tcPr>
          <w:p w14:paraId="561D26AC" w14:textId="77777777" w:rsidR="00E05464" w:rsidRDefault="00E05464" w:rsidP="006D657A">
            <w:pPr>
              <w:pStyle w:val="TableText"/>
            </w:pPr>
          </w:p>
        </w:tc>
        <w:tc>
          <w:tcPr>
            <w:tcW w:w="2840" w:type="dxa"/>
            <w:tcBorders>
              <w:top w:val="single" w:sz="4" w:space="0" w:color="auto"/>
              <w:left w:val="single" w:sz="4" w:space="0" w:color="auto"/>
              <w:bottom w:val="single" w:sz="4" w:space="0" w:color="auto"/>
              <w:right w:val="single" w:sz="4" w:space="0" w:color="auto"/>
            </w:tcBorders>
          </w:tcPr>
          <w:p w14:paraId="37618660" w14:textId="77777777" w:rsidR="00E05464" w:rsidRDefault="00E05464" w:rsidP="006D657A">
            <w:pPr>
              <w:pStyle w:val="TableText"/>
            </w:pPr>
          </w:p>
        </w:tc>
        <w:tc>
          <w:tcPr>
            <w:tcW w:w="1885" w:type="dxa"/>
            <w:tcBorders>
              <w:top w:val="single" w:sz="4" w:space="0" w:color="auto"/>
              <w:left w:val="single" w:sz="4" w:space="0" w:color="auto"/>
              <w:bottom w:val="single" w:sz="4" w:space="0" w:color="auto"/>
              <w:right w:val="single" w:sz="4" w:space="0" w:color="auto"/>
            </w:tcBorders>
          </w:tcPr>
          <w:p w14:paraId="336CEE50" w14:textId="77777777" w:rsidR="00E05464" w:rsidRDefault="00E05464" w:rsidP="006D657A">
            <w:pPr>
              <w:pStyle w:val="TableText"/>
            </w:pPr>
          </w:p>
        </w:tc>
      </w:tr>
    </w:tbl>
    <w:p w14:paraId="480D0CF1" w14:textId="77777777" w:rsidR="006D657A" w:rsidRPr="00A15787" w:rsidRDefault="006D657A" w:rsidP="006D657A">
      <w:pPr>
        <w:pStyle w:val="BlockLabel"/>
      </w:pPr>
      <w:r w:rsidRPr="00A15787">
        <w:t>Disclaimer</w:t>
      </w:r>
    </w:p>
    <w:p w14:paraId="37B65B55" w14:textId="77777777" w:rsidR="006D657A" w:rsidRPr="00A15787" w:rsidRDefault="006D657A" w:rsidP="006D657A">
      <w:r w:rsidRPr="00A15787">
        <w:t xml:space="preserve">Although the Registration Authority has used all reasonable efforts to ensure accuracy of the contents of the iso20022.org website and the information published thereon, the Registration Authority assumes no liability whatsoever for any inadvertent errors or omissions that may appear thereon. Moreover, the information </w:t>
      </w:r>
      <w:proofErr w:type="gramStart"/>
      <w:r w:rsidRPr="00A15787">
        <w:t>is provided</w:t>
      </w:r>
      <w:proofErr w:type="gramEnd"/>
      <w:r w:rsidRPr="00A15787">
        <w:t xml:space="preserve"> on an "as is" basis. The Registration Authority disclaims all warranties and conditions, either express or implied, including but not limited to implied warranties of merchantability, title, non-infringement and fitness for a particular purpose.</w:t>
      </w:r>
    </w:p>
    <w:p w14:paraId="69DAA74A" w14:textId="77777777" w:rsidR="006D657A" w:rsidRPr="00A15787" w:rsidRDefault="006D657A" w:rsidP="006D657A">
      <w:r w:rsidRPr="00A15787">
        <w:t xml:space="preserve">The Registration Authority shall not be liable for any direct, indirect, special or consequential damages arising out of the use of the information published on the iso20022.org website, even if the Registration Authority </w:t>
      </w:r>
      <w:proofErr w:type="gramStart"/>
      <w:r w:rsidRPr="00A15787">
        <w:t>has been advised</w:t>
      </w:r>
      <w:proofErr w:type="gramEnd"/>
      <w:r w:rsidRPr="00A15787">
        <w:t xml:space="preserve"> of the possibility of such damages.</w:t>
      </w:r>
    </w:p>
    <w:p w14:paraId="0450B2CE" w14:textId="77777777" w:rsidR="006D657A" w:rsidRPr="00A15787" w:rsidRDefault="006D657A" w:rsidP="006D657A">
      <w:pPr>
        <w:pStyle w:val="BlockLabel"/>
      </w:pPr>
      <w:r w:rsidRPr="00A15787">
        <w:t>Intellectual Property Rights</w:t>
      </w:r>
    </w:p>
    <w:p w14:paraId="05DF6EFD" w14:textId="17512B9C" w:rsidR="00DD3851" w:rsidRPr="00FA37D7" w:rsidRDefault="006D657A" w:rsidP="00D9770F">
      <w:proofErr w:type="gramStart"/>
      <w:r w:rsidRPr="00A15787">
        <w:t>The</w:t>
      </w:r>
      <w:r>
        <w:t xml:space="preserve"> I</w:t>
      </w:r>
      <w:r w:rsidRPr="00A15787">
        <w:t xml:space="preserve">SO 20022 </w:t>
      </w:r>
      <w:proofErr w:type="spellStart"/>
      <w:r w:rsidRPr="00A15787">
        <w:t>MessageDefinitions</w:t>
      </w:r>
      <w:proofErr w:type="spellEnd"/>
      <w:r w:rsidRPr="00A15787">
        <w:t xml:space="preserve"> described in this document were contributed by SWIFT</w:t>
      </w:r>
      <w:proofErr w:type="gramEnd"/>
      <w:r w:rsidRPr="00A15787">
        <w:t>. The ISO 20022 IPR policy is available at www.ISO20022.org &gt; About ISO 20022 &gt; Intellectual Property Rights.</w:t>
      </w:r>
      <w:bookmarkEnd w:id="36"/>
      <w:bookmarkEnd w:id="37"/>
      <w:bookmarkEnd w:id="38"/>
      <w:bookmarkEnd w:id="39"/>
    </w:p>
    <w:sectPr w:rsidR="00DD3851" w:rsidRPr="00FA37D7" w:rsidSect="006E0076">
      <w:headerReference w:type="default" r:id="rId30"/>
      <w:pgSz w:w="11909" w:h="15840" w:code="9"/>
      <w:pgMar w:top="1021" w:right="1304" w:bottom="1701" w:left="1304"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6615CA" w14:textId="77777777" w:rsidR="00F324FD" w:rsidRDefault="00F324FD" w:rsidP="005A6353">
      <w:r>
        <w:separator/>
      </w:r>
    </w:p>
  </w:endnote>
  <w:endnote w:type="continuationSeparator" w:id="0">
    <w:p w14:paraId="1D2D6B03" w14:textId="77777777" w:rsidR="00F324FD" w:rsidRDefault="00F324FD" w:rsidP="005A6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798E9" w14:textId="77777777" w:rsidR="003723D1" w:rsidRDefault="003723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F6F90" w14:textId="77777777" w:rsidR="009E5B07" w:rsidRDefault="009E5B07" w:rsidP="005A6353"/>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9E5B07" w14:paraId="05DF6F92" w14:textId="77777777" w:rsidTr="00FA65F6">
      <w:trPr>
        <w:cantSplit/>
        <w:trHeight w:hRule="exact" w:val="50"/>
      </w:trPr>
      <w:tc>
        <w:tcPr>
          <w:tcW w:w="9242" w:type="dxa"/>
        </w:tcPr>
        <w:p w14:paraId="05DF6F91" w14:textId="77777777" w:rsidR="009E5B07" w:rsidRDefault="009E5B07" w:rsidP="005A6353"/>
      </w:tc>
    </w:tr>
  </w:tbl>
  <w:p w14:paraId="05DF6F93" w14:textId="77777777" w:rsidR="009E5B07" w:rsidRDefault="009E5B07" w:rsidP="005A6353">
    <w:r>
      <w:t xml:space="preserve">&lt;Release date&gt; &lt;Revision number&gt; </w:t>
    </w:r>
    <w:r w:rsidRPr="00ED5BA8">
      <w:t>&lt;Revision date&gt;</w:t>
    </w:r>
    <w:r>
      <w:tab/>
    </w:r>
    <w:r>
      <w:fldChar w:fldCharType="begin"/>
    </w:r>
    <w:r>
      <w:instrText xml:space="preserve"> PAGE </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A4DEE" w14:textId="77777777" w:rsidR="003723D1" w:rsidRDefault="003723D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F6FA1" w14:textId="77777777" w:rsidR="009E5B07" w:rsidRDefault="009E5B07" w:rsidP="00282FC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9E5B07" w14:paraId="05DF6FA3" w14:textId="77777777" w:rsidTr="000E2675">
      <w:trPr>
        <w:cantSplit/>
        <w:trHeight w:hRule="exact" w:val="50"/>
      </w:trPr>
      <w:tc>
        <w:tcPr>
          <w:tcW w:w="9242" w:type="dxa"/>
        </w:tcPr>
        <w:p w14:paraId="05DF6FA2" w14:textId="77777777" w:rsidR="009E5B07" w:rsidRDefault="009E5B07" w:rsidP="005A6353"/>
      </w:tc>
    </w:tr>
  </w:tbl>
  <w:p w14:paraId="05DF6FA4" w14:textId="77777777" w:rsidR="009E5B07" w:rsidRPr="00BB3079" w:rsidRDefault="009E5B07" w:rsidP="00282FC2">
    <w:pPr>
      <w:pStyle w:val="Footereven"/>
    </w:pPr>
    <w:r>
      <w:rPr>
        <w:rFonts w:eastAsia="Times"/>
      </w:rPr>
      <w:fldChar w:fldCharType="begin"/>
    </w:r>
    <w:r>
      <w:rPr>
        <w:rFonts w:eastAsia="Times"/>
      </w:rPr>
      <w:instrText xml:space="preserve"> PAGE </w:instrText>
    </w:r>
    <w:r>
      <w:rPr>
        <w:rFonts w:eastAsia="Times"/>
      </w:rPr>
      <w:fldChar w:fldCharType="separate"/>
    </w:r>
    <w:r>
      <w:rPr>
        <w:rFonts w:eastAsia="Times"/>
        <w:noProof/>
      </w:rPr>
      <w:t>2</w:t>
    </w:r>
    <w:r>
      <w:rPr>
        <w:rFonts w:eastAsia="Times"/>
      </w:rPr>
      <w:fldChar w:fldCharType="end"/>
    </w:r>
    <w:r>
      <w:rPr>
        <w:rFonts w:eastAsia="Times"/>
      </w:rPr>
      <w:tab/>
      <w:t>&lt;Document title&gt;</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F6FA5" w14:textId="77777777" w:rsidR="009E5B07" w:rsidRDefault="009E5B07" w:rsidP="005A756E">
    <w:pPr>
      <w:pStyle w:val="Footerodd"/>
      <w:tabs>
        <w:tab w:val="clear" w:pos="9242"/>
      </w:tabs>
    </w:pPr>
  </w:p>
  <w:tbl>
    <w:tblPr>
      <w:tblStyle w:val="TableGrid"/>
      <w:tblW w:w="0" w:type="auto"/>
      <w:tblInd w:w="0" w:type="dxa"/>
      <w:tblBorders>
        <w:top w:val="double" w:sz="4"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left w:w="0" w:type="dxa"/>
        <w:right w:w="0" w:type="dxa"/>
      </w:tblCellMar>
      <w:tblLook w:val="04A0" w:firstRow="1" w:lastRow="0" w:firstColumn="1" w:lastColumn="0" w:noHBand="0" w:noVBand="1"/>
    </w:tblPr>
    <w:tblGrid>
      <w:gridCol w:w="4253"/>
      <w:gridCol w:w="567"/>
      <w:gridCol w:w="4394"/>
    </w:tblGrid>
    <w:tr w:rsidR="009E5B07" w14:paraId="05DF6FAA" w14:textId="77777777" w:rsidTr="006E0076">
      <w:tc>
        <w:tcPr>
          <w:tcW w:w="4253" w:type="dxa"/>
        </w:tcPr>
        <w:p w14:paraId="05DF6FA6" w14:textId="7896CA41" w:rsidR="009E5B07" w:rsidRDefault="003723D1" w:rsidP="000017C4">
          <w:pPr>
            <w:pStyle w:val="Footereven"/>
            <w:rPr>
              <w:noProof/>
            </w:rPr>
          </w:pPr>
          <w:fldSimple w:instr=" STYLEREF  &quot;Product Name&quot;  \* MERGEFORMAT ">
            <w:r w:rsidR="00755342">
              <w:rPr>
                <w:noProof/>
              </w:rPr>
              <w:t>CSDR Buy In Reporting</w:t>
            </w:r>
          </w:fldSimple>
        </w:p>
        <w:p w14:paraId="05DF6FA7" w14:textId="77777777" w:rsidR="009E5B07" w:rsidRPr="006E0076" w:rsidRDefault="009E5B07" w:rsidP="006E0076">
          <w:pPr>
            <w:pStyle w:val="Footerodd"/>
          </w:pPr>
        </w:p>
      </w:tc>
      <w:tc>
        <w:tcPr>
          <w:tcW w:w="567" w:type="dxa"/>
        </w:tcPr>
        <w:p w14:paraId="05DF6FA8" w14:textId="0B9B9450" w:rsidR="009E5B07" w:rsidRDefault="009E5B07" w:rsidP="000017C4">
          <w:pPr>
            <w:pStyle w:val="Footereven"/>
          </w:pPr>
          <w:r>
            <w:rPr>
              <w:rFonts w:eastAsia="Times"/>
            </w:rPr>
            <w:fldChar w:fldCharType="begin"/>
          </w:r>
          <w:r>
            <w:rPr>
              <w:rFonts w:eastAsia="Times"/>
            </w:rPr>
            <w:instrText xml:space="preserve"> PAGE </w:instrText>
          </w:r>
          <w:r>
            <w:rPr>
              <w:rFonts w:eastAsia="Times"/>
            </w:rPr>
            <w:fldChar w:fldCharType="separate"/>
          </w:r>
          <w:r w:rsidR="00755342">
            <w:rPr>
              <w:rFonts w:eastAsia="Times"/>
              <w:noProof/>
            </w:rPr>
            <w:t>2</w:t>
          </w:r>
          <w:r>
            <w:rPr>
              <w:rFonts w:eastAsia="Times"/>
            </w:rPr>
            <w:fldChar w:fldCharType="end"/>
          </w:r>
        </w:p>
      </w:tc>
      <w:tc>
        <w:tcPr>
          <w:tcW w:w="4394" w:type="dxa"/>
        </w:tcPr>
        <w:p w14:paraId="05DF6FA9" w14:textId="0229095F" w:rsidR="009E5B07" w:rsidRDefault="009E5B07" w:rsidP="00BB3D52">
          <w:pPr>
            <w:pStyle w:val="Footereven"/>
            <w:tabs>
              <w:tab w:val="center" w:pos="2197"/>
              <w:tab w:val="right" w:pos="4394"/>
            </w:tabs>
          </w:pPr>
          <w:r>
            <w:tab/>
          </w:r>
          <w:fldSimple w:instr=" STYLEREF  &quot;Release date&quot;  \* MERGEFORMAT ">
            <w:r w:rsidR="00755342">
              <w:rPr>
                <w:noProof/>
              </w:rPr>
              <w:t>November 2020</w:t>
            </w:r>
          </w:fldSimple>
        </w:p>
      </w:tc>
    </w:tr>
  </w:tbl>
  <w:p w14:paraId="05DF6FAB" w14:textId="77777777" w:rsidR="009E5B07" w:rsidRPr="000017C4" w:rsidRDefault="009E5B07" w:rsidP="000017C4">
    <w:pPr>
      <w:pStyle w:val="Footereven"/>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F6FB6" w14:textId="77777777" w:rsidR="009E5B07" w:rsidRDefault="009E5B07" w:rsidP="00282FC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9E5B07" w14:paraId="05DF6FB8" w14:textId="77777777" w:rsidTr="000E2675">
      <w:trPr>
        <w:cantSplit/>
        <w:trHeight w:hRule="exact" w:val="50"/>
      </w:trPr>
      <w:tc>
        <w:tcPr>
          <w:tcW w:w="9242" w:type="dxa"/>
        </w:tcPr>
        <w:p w14:paraId="05DF6FB7" w14:textId="77777777" w:rsidR="009E5B07" w:rsidRDefault="009E5B07" w:rsidP="005A6353"/>
      </w:tc>
    </w:tr>
  </w:tbl>
  <w:p w14:paraId="05DF6FB9" w14:textId="77777777" w:rsidR="009E5B07" w:rsidRPr="00BB3079" w:rsidRDefault="009E5B07" w:rsidP="00282FC2">
    <w:pPr>
      <w:pStyle w:val="Footereven"/>
    </w:pPr>
    <w:r>
      <w:rPr>
        <w:rFonts w:eastAsia="Times"/>
      </w:rPr>
      <w:fldChar w:fldCharType="begin"/>
    </w:r>
    <w:r>
      <w:rPr>
        <w:rFonts w:eastAsia="Times"/>
      </w:rPr>
      <w:instrText xml:space="preserve"> PAGE </w:instrText>
    </w:r>
    <w:r>
      <w:rPr>
        <w:rFonts w:eastAsia="Times"/>
      </w:rPr>
      <w:fldChar w:fldCharType="separate"/>
    </w:r>
    <w:r>
      <w:rPr>
        <w:rFonts w:eastAsia="Times"/>
        <w:noProof/>
      </w:rPr>
      <w:t>8</w:t>
    </w:r>
    <w:r>
      <w:rPr>
        <w:rFonts w:eastAsia="Times"/>
      </w:rPr>
      <w:fldChar w:fldCharType="end"/>
    </w:r>
    <w:r>
      <w:rPr>
        <w:rFonts w:eastAsia="Times"/>
      </w:rPr>
      <w:tab/>
    </w:r>
    <w:fldSimple w:instr=" TITLE   \* MERGEFORMAT ">
      <w:r w:rsidRPr="00F13FDA">
        <w:rPr>
          <w:rFonts w:eastAsia="Times"/>
        </w:rPr>
        <w:t>Standards MX</w:t>
      </w:r>
      <w:r>
        <w:t xml:space="preserve"> Template</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F0975D" w14:textId="77777777" w:rsidR="00F324FD" w:rsidRDefault="00F324FD" w:rsidP="005A6353">
      <w:r>
        <w:separator/>
      </w:r>
    </w:p>
  </w:footnote>
  <w:footnote w:type="continuationSeparator" w:id="0">
    <w:p w14:paraId="699C1C60" w14:textId="77777777" w:rsidR="00F324FD" w:rsidRDefault="00F324FD" w:rsidP="005A63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F6F8A" w14:textId="77777777" w:rsidR="009E5B07" w:rsidRDefault="009E5B07" w:rsidP="00282FC2">
    <w:pPr>
      <w:pStyle w:val="Headereven"/>
    </w:pPr>
    <w:r>
      <w:t>&lt;Product name&gt; - &lt;Release number&gt;</w:t>
    </w:r>
    <w:r>
      <w:tab/>
    </w:r>
    <w:r w:rsidRPr="0021786C">
      <w:rPr>
        <w:color w:val="008000"/>
      </w:rPr>
      <w:t>&lt;CONFIDENTIALITY&gt;</w:t>
    </w:r>
    <w:r w:rsidRPr="00282FC2">
      <w:rPr>
        <w:color w:val="008000"/>
      </w:rPr>
      <w:t xml:space="preserve"> - </w:t>
    </w:r>
    <w:r w:rsidRPr="0021786C">
      <w:rPr>
        <w:color w:val="008000"/>
      </w:rPr>
      <w:t>&lt;REVISION STATUS&gt;</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9E5B07" w14:paraId="05DF6F8C" w14:textId="77777777" w:rsidTr="006864CC">
      <w:trPr>
        <w:cantSplit/>
        <w:trHeight w:hRule="exact" w:val="50"/>
      </w:trPr>
      <w:tc>
        <w:tcPr>
          <w:tcW w:w="9242" w:type="dxa"/>
        </w:tcPr>
        <w:p w14:paraId="05DF6F8B" w14:textId="77777777" w:rsidR="009E5B07" w:rsidRDefault="009E5B07" w:rsidP="005A6353"/>
      </w:tc>
    </w:tr>
  </w:tbl>
  <w:p w14:paraId="05DF6F8D" w14:textId="77777777" w:rsidR="009E5B07" w:rsidRDefault="009E5B07" w:rsidP="00282FC2">
    <w:pPr>
      <w:pStyle w:val="Headereven"/>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323FE" w14:textId="77777777" w:rsidR="003723D1" w:rsidRDefault="003723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Shaded1stRow"/>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5"/>
      <w:gridCol w:w="4088"/>
    </w:tblGrid>
    <w:tr w:rsidR="009E5B07" w14:paraId="05DF6F98" w14:textId="77777777" w:rsidTr="00C45139">
      <w:trPr>
        <w:cnfStyle w:val="100000000000" w:firstRow="1" w:lastRow="0" w:firstColumn="0" w:lastColumn="0" w:oddVBand="0" w:evenVBand="0" w:oddHBand="0" w:evenHBand="0" w:firstRowFirstColumn="0" w:firstRowLastColumn="0" w:lastRowFirstColumn="0" w:lastRowLastColumn="0"/>
      </w:trPr>
      <w:tc>
        <w:tcPr>
          <w:tcW w:w="522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05DF6F94" w14:textId="27FEFE12" w:rsidR="009E5B07" w:rsidRDefault="009E5B07" w:rsidP="00C45139">
          <w:pPr>
            <w:pStyle w:val="Header"/>
            <w:spacing w:before="0"/>
            <w:rPr>
              <w:lang w:val="fr-BE"/>
            </w:rPr>
          </w:pPr>
        </w:p>
      </w:tc>
      <w:tc>
        <w:tcPr>
          <w:tcW w:w="4183"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05DF6F95" w14:textId="77777777" w:rsidR="009E5B07" w:rsidRDefault="009E5B07" w:rsidP="005A6353">
          <w:pPr>
            <w:pStyle w:val="Header"/>
            <w:rPr>
              <w:lang w:val="fr-BE"/>
            </w:rPr>
          </w:pPr>
        </w:p>
        <w:p w14:paraId="05DF6F96" w14:textId="77777777" w:rsidR="009E5B07" w:rsidRDefault="009E5B07" w:rsidP="005A6353">
          <w:pPr>
            <w:pStyle w:val="Header"/>
            <w:rPr>
              <w:lang w:val="fr-BE"/>
            </w:rPr>
          </w:pPr>
        </w:p>
        <w:p w14:paraId="05DF6F97" w14:textId="77777777" w:rsidR="009E5B07" w:rsidRDefault="009E5B07" w:rsidP="005A6353">
          <w:pPr>
            <w:pStyle w:val="Header"/>
            <w:rPr>
              <w:lang w:val="fr-BE"/>
            </w:rPr>
          </w:pPr>
        </w:p>
      </w:tc>
    </w:tr>
  </w:tbl>
  <w:p w14:paraId="05DF6F99" w14:textId="77777777" w:rsidR="009E5B07" w:rsidRPr="00237847" w:rsidRDefault="009E5B07" w:rsidP="005A6353">
    <w:pPr>
      <w:pStyle w:val="Header"/>
      <w:rPr>
        <w:lang w:val="fr-BE"/>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F6F9B" w14:textId="77777777" w:rsidR="009E5B07" w:rsidRDefault="009E5B07" w:rsidP="00282FC2">
    <w:pPr>
      <w:pStyle w:val="Headereven"/>
    </w:pPr>
    <w:r>
      <w:t>&lt;Product name&gt; - &lt;Release number&gt;</w:t>
    </w:r>
    <w:r>
      <w:tab/>
    </w:r>
    <w:fldSimple w:instr=" DOCPROPERTY  Confidentiality  \* MERGEFORMAT ">
      <w:r w:rsidRPr="00F13FDA">
        <w:rPr>
          <w:color w:val="008000"/>
        </w:rPr>
        <w:t>&lt;CONFIDENTIALITY&gt;</w:t>
      </w:r>
    </w:fldSimple>
    <w:r w:rsidRPr="00282FC2">
      <w:rPr>
        <w:color w:val="008000"/>
      </w:rPr>
      <w:t xml:space="preserve"> - </w:t>
    </w:r>
    <w:fldSimple w:instr=" DOCPROPERTY  &quot;Revision status&quot;  \* MERGEFORMAT ">
      <w:r w:rsidRPr="00F13FDA">
        <w:rPr>
          <w:color w:val="008000"/>
        </w:rPr>
        <w:t>&lt;REVISION STATUS&gt;</w:t>
      </w:r>
    </w:fldSimple>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9E5B07" w14:paraId="05DF6F9D" w14:textId="77777777" w:rsidTr="000E2675">
      <w:trPr>
        <w:cantSplit/>
        <w:trHeight w:hRule="exact" w:val="50"/>
      </w:trPr>
      <w:tc>
        <w:tcPr>
          <w:tcW w:w="9242" w:type="dxa"/>
        </w:tcPr>
        <w:p w14:paraId="05DF6F9C" w14:textId="77777777" w:rsidR="009E5B07" w:rsidRDefault="009E5B07" w:rsidP="005A6353"/>
      </w:tc>
    </w:tr>
  </w:tbl>
  <w:p w14:paraId="05DF6F9E" w14:textId="77777777" w:rsidR="009E5B07" w:rsidRDefault="009E5B07" w:rsidP="00282FC2">
    <w:pPr>
      <w:pStyle w:val="Headereven"/>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F6F9F" w14:textId="77777777" w:rsidR="009E5B07" w:rsidRDefault="009E5B07" w:rsidP="00C331E3">
    <w:pPr>
      <w:pStyle w:val="Headerodd"/>
      <w:pBdr>
        <w:bottom w:val="double" w:sz="4" w:space="1" w:color="auto"/>
      </w:pBdr>
      <w:spacing w:before="120" w:line="240" w:lineRule="atLeast"/>
    </w:pPr>
  </w:p>
  <w:p w14:paraId="05DF6FA0" w14:textId="1B74EC08" w:rsidR="009E5B07" w:rsidRDefault="003723D1" w:rsidP="00C331E3">
    <w:pPr>
      <w:pStyle w:val="Headerodd"/>
      <w:pBdr>
        <w:bottom w:val="double" w:sz="4" w:space="1" w:color="auto"/>
      </w:pBdr>
      <w:spacing w:before="120" w:line="240" w:lineRule="atLeast"/>
      <w:rPr>
        <w:noProof/>
      </w:rPr>
    </w:pPr>
    <w:fldSimple w:instr=" STYLEREF  &quot;Document Title&quot;  \* MERGEFORMAT ">
      <w:r w:rsidR="00755342">
        <w:rPr>
          <w:noProof/>
        </w:rPr>
        <w:t>Message Definition Report Part 1</w:t>
      </w:r>
    </w:fldSimple>
    <w:r w:rsidR="009E5B07">
      <w:rPr>
        <w:noProof/>
      </w:rPr>
      <w:tab/>
    </w:r>
    <w:fldSimple w:instr=" STYLEREF  &quot;Intro Heading&quot;  \* MERGEFORMAT ">
      <w:r w:rsidR="00755342">
        <w:rPr>
          <w:noProof/>
        </w:rPr>
        <w:t>Table of Contents</w:t>
      </w:r>
    </w:fldSimple>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F6FAC" w14:textId="77777777" w:rsidR="009E5B07" w:rsidRDefault="009E5B07" w:rsidP="00282FC2">
    <w:pPr>
      <w:pStyle w:val="Headereven"/>
    </w:pPr>
    <w:r>
      <w:tab/>
    </w:r>
    <w:fldSimple w:instr=" STYLEREF  &quot;Intro Heading&quot;  \* MERGEFORMAT ">
      <w:r>
        <w:rPr>
          <w:noProof/>
        </w:rPr>
        <w:t>Table of Contents</w:t>
      </w:r>
    </w:fldSimple>
    <w:r>
      <w:t xml:space="preserve"> - Table of Contents</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9E5B07" w14:paraId="05DF6FAE" w14:textId="77777777" w:rsidTr="000E2675">
      <w:trPr>
        <w:cantSplit/>
        <w:trHeight w:hRule="exact" w:val="50"/>
      </w:trPr>
      <w:tc>
        <w:tcPr>
          <w:tcW w:w="9242" w:type="dxa"/>
        </w:tcPr>
        <w:p w14:paraId="05DF6FAD" w14:textId="77777777" w:rsidR="009E5B07" w:rsidRDefault="009E5B07" w:rsidP="005A6353"/>
      </w:tc>
    </w:tr>
  </w:tbl>
  <w:p w14:paraId="05DF6FAF" w14:textId="77777777" w:rsidR="009E5B07" w:rsidRDefault="009E5B07" w:rsidP="00282FC2">
    <w:pPr>
      <w:pStyle w:val="Headereven"/>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253"/>
      <w:gridCol w:w="567"/>
      <w:gridCol w:w="4394"/>
    </w:tblGrid>
    <w:tr w:rsidR="009E5B07" w14:paraId="05DF6FB4" w14:textId="77777777" w:rsidTr="00724AB5">
      <w:tc>
        <w:tcPr>
          <w:tcW w:w="4253" w:type="dxa"/>
        </w:tcPr>
        <w:p w14:paraId="05DF6FB1" w14:textId="1A0EB6FA" w:rsidR="009E5B07" w:rsidRDefault="003723D1" w:rsidP="00072427">
          <w:pPr>
            <w:pStyle w:val="Headereven"/>
            <w:tabs>
              <w:tab w:val="clear" w:pos="9242"/>
            </w:tabs>
          </w:pPr>
          <w:fldSimple w:instr=" STYLEREF  &quot;Document Title&quot;  \* MERGEFORMAT ">
            <w:r w:rsidR="00755342">
              <w:rPr>
                <w:noProof/>
              </w:rPr>
              <w:t>Message Definition Report Part 1</w:t>
            </w:r>
          </w:fldSimple>
        </w:p>
      </w:tc>
      <w:tc>
        <w:tcPr>
          <w:tcW w:w="567" w:type="dxa"/>
        </w:tcPr>
        <w:p w14:paraId="05DF6FB2" w14:textId="77777777" w:rsidR="009E5B07" w:rsidRDefault="009E5B07" w:rsidP="00E11451">
          <w:pPr>
            <w:pStyle w:val="Headereven"/>
          </w:pPr>
        </w:p>
      </w:tc>
      <w:tc>
        <w:tcPr>
          <w:tcW w:w="4394" w:type="dxa"/>
        </w:tcPr>
        <w:p w14:paraId="05DF6FB3" w14:textId="0CA8E411" w:rsidR="009E5B07" w:rsidRDefault="003723D1" w:rsidP="00072427">
          <w:pPr>
            <w:pStyle w:val="Headereven"/>
            <w:jc w:val="right"/>
          </w:pPr>
          <w:fldSimple w:instr=" STYLEREF  &quot;Heading 1&quot;  \* MERGEFORMAT ">
            <w:r w:rsidR="00755342" w:rsidRPr="00755342">
              <w:rPr>
                <w:b/>
                <w:bCs/>
                <w:noProof/>
                <w:lang w:val="pl-PL"/>
              </w:rPr>
              <w:t>Business</w:t>
            </w:r>
            <w:r w:rsidR="00755342">
              <w:rPr>
                <w:noProof/>
              </w:rPr>
              <w:t xml:space="preserve"> Examples</w:t>
            </w:r>
          </w:fldSimple>
        </w:p>
      </w:tc>
    </w:tr>
  </w:tbl>
  <w:p w14:paraId="05DF6FB5" w14:textId="77777777" w:rsidR="009E5B07" w:rsidRDefault="009E5B07" w:rsidP="00D81FE1">
    <w:pPr>
      <w:pStyle w:val="Headerodd"/>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F6FBA" w14:textId="77777777" w:rsidR="009E5B07" w:rsidRDefault="009E5B07" w:rsidP="00E20C1F">
    <w:pPr>
      <w:pStyle w:val="Headerodd"/>
      <w:pBdr>
        <w:bottom w:val="double" w:sz="4" w:space="1" w:color="auto"/>
      </w:pBdr>
      <w:spacing w:line="240" w:lineRule="atLeast"/>
    </w:pPr>
  </w:p>
  <w:p w14:paraId="05DF6FBB" w14:textId="0FDEDADF" w:rsidR="009E5B07" w:rsidRDefault="003723D1" w:rsidP="00E20C1F">
    <w:pPr>
      <w:pStyle w:val="Headerodd"/>
      <w:pBdr>
        <w:bottom w:val="double" w:sz="4" w:space="1" w:color="auto"/>
      </w:pBdr>
      <w:spacing w:line="240" w:lineRule="atLeast"/>
      <w:rPr>
        <w:noProof/>
      </w:rPr>
    </w:pPr>
    <w:fldSimple w:instr=" STYLEREF  &quot;Document Title&quot;  \* MERGEFORMAT ">
      <w:r w:rsidR="00755342">
        <w:rPr>
          <w:noProof/>
        </w:rPr>
        <w:t>Message Definition Report Part 1</w:t>
      </w:r>
    </w:fldSimple>
    <w:r w:rsidR="009E5B07">
      <w:rPr>
        <w:noProof/>
      </w:rPr>
      <w:tab/>
    </w:r>
    <w:fldSimple w:instr=" STYLEREF  Heading  \* MERGEFORMAT ">
      <w:r w:rsidR="00755342">
        <w:rPr>
          <w:noProof/>
        </w:rPr>
        <w:t>Revision Record</w:t>
      </w:r>
    </w:fldSimple>
  </w:p>
  <w:p w14:paraId="05DF6FBC" w14:textId="77777777" w:rsidR="009E5B07" w:rsidRDefault="009E5B07" w:rsidP="00D81FE1">
    <w:pPr>
      <w:pStyle w:val="Headerod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B80D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2D23CEC"/>
    <w:lvl w:ilvl="0">
      <w:start w:val="1"/>
      <w:numFmt w:val="decimal"/>
      <w:pStyle w:val="ListNumber4"/>
      <w:lvlText w:val="%1."/>
      <w:lvlJc w:val="left"/>
      <w:pPr>
        <w:tabs>
          <w:tab w:val="num" w:pos="1209"/>
        </w:tabs>
        <w:ind w:left="1209" w:hanging="360"/>
      </w:pPr>
    </w:lvl>
  </w:abstractNum>
  <w:abstractNum w:abstractNumId="2" w15:restartNumberingAfterBreak="0">
    <w:nsid w:val="FFFFFF7F"/>
    <w:multiLevelType w:val="singleLevel"/>
    <w:tmpl w:val="C820046E"/>
    <w:lvl w:ilvl="0">
      <w:start w:val="1"/>
      <w:numFmt w:val="lowerLetter"/>
      <w:pStyle w:val="ListNumber2"/>
      <w:lvlText w:val="%1."/>
      <w:lvlJc w:val="left"/>
      <w:pPr>
        <w:tabs>
          <w:tab w:val="num" w:pos="1985"/>
        </w:tabs>
        <w:ind w:left="1985" w:hanging="426"/>
      </w:pPr>
      <w:rPr>
        <w:rFonts w:hint="default"/>
      </w:rPr>
    </w:lvl>
  </w:abstractNum>
  <w:abstractNum w:abstractNumId="3" w15:restartNumberingAfterBreak="0">
    <w:nsid w:val="FFFFFF80"/>
    <w:multiLevelType w:val="singleLevel"/>
    <w:tmpl w:val="30686E58"/>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62C0F1EA"/>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1BA6F0CA"/>
    <w:lvl w:ilvl="0">
      <w:start w:val="1"/>
      <w:numFmt w:val="bullet"/>
      <w:pStyle w:val="ListBullet3"/>
      <w:lvlText w:val="o"/>
      <w:lvlJc w:val="left"/>
      <w:pPr>
        <w:ind w:left="1636" w:hanging="360"/>
      </w:pPr>
      <w:rPr>
        <w:rFonts w:ascii="Courier New" w:hAnsi="Courier New" w:cs="Courier New" w:hint="default"/>
      </w:rPr>
    </w:lvl>
  </w:abstractNum>
  <w:abstractNum w:abstractNumId="6" w15:restartNumberingAfterBreak="0">
    <w:nsid w:val="FFFFFF83"/>
    <w:multiLevelType w:val="singleLevel"/>
    <w:tmpl w:val="BA04E34A"/>
    <w:lvl w:ilvl="0">
      <w:start w:val="1"/>
      <w:numFmt w:val="bullet"/>
      <w:pStyle w:val="ListBullet2"/>
      <w:lvlText w:val=""/>
      <w:lvlJc w:val="left"/>
      <w:pPr>
        <w:tabs>
          <w:tab w:val="num" w:pos="1985"/>
        </w:tabs>
        <w:ind w:left="1985" w:hanging="426"/>
      </w:pPr>
      <w:rPr>
        <w:rFonts w:ascii="Symbol" w:hAnsi="Symbol" w:hint="default"/>
      </w:rPr>
    </w:lvl>
  </w:abstractNum>
  <w:abstractNum w:abstractNumId="7" w15:restartNumberingAfterBreak="0">
    <w:nsid w:val="FFFFFF88"/>
    <w:multiLevelType w:val="singleLevel"/>
    <w:tmpl w:val="5F56C128"/>
    <w:lvl w:ilvl="0">
      <w:start w:val="1"/>
      <w:numFmt w:val="decimal"/>
      <w:pStyle w:val="ListNumber"/>
      <w:lvlText w:val="%1."/>
      <w:lvlJc w:val="left"/>
      <w:pPr>
        <w:tabs>
          <w:tab w:val="num" w:pos="1559"/>
        </w:tabs>
        <w:ind w:left="1559" w:hanging="425"/>
      </w:pPr>
      <w:rPr>
        <w:rFonts w:hint="default"/>
      </w:rPr>
    </w:lvl>
  </w:abstractNum>
  <w:abstractNum w:abstractNumId="8" w15:restartNumberingAfterBreak="0">
    <w:nsid w:val="FFFFFF89"/>
    <w:multiLevelType w:val="singleLevel"/>
    <w:tmpl w:val="47ACF834"/>
    <w:lvl w:ilvl="0">
      <w:start w:val="1"/>
      <w:numFmt w:val="bullet"/>
      <w:pStyle w:val="ListBullet"/>
      <w:lvlText w:val=""/>
      <w:lvlJc w:val="left"/>
      <w:pPr>
        <w:tabs>
          <w:tab w:val="num" w:pos="1559"/>
        </w:tabs>
        <w:ind w:left="1559" w:hanging="425"/>
      </w:pPr>
      <w:rPr>
        <w:rFonts w:ascii="Symbol" w:hAnsi="Symbol" w:hint="default"/>
        <w:sz w:val="20"/>
      </w:rPr>
    </w:lvl>
  </w:abstractNum>
  <w:abstractNum w:abstractNumId="9" w15:restartNumberingAfterBreak="0">
    <w:nsid w:val="00ED2120"/>
    <w:multiLevelType w:val="multilevel"/>
    <w:tmpl w:val="0BCA95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0BB00D09"/>
    <w:multiLevelType w:val="hybridMultilevel"/>
    <w:tmpl w:val="9E92E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26C61C0"/>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56F07BE"/>
    <w:multiLevelType w:val="hybridMultilevel"/>
    <w:tmpl w:val="1F4ACAFC"/>
    <w:lvl w:ilvl="0" w:tplc="78D87D4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2A37BEE"/>
    <w:multiLevelType w:val="hybridMultilevel"/>
    <w:tmpl w:val="9634B38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6041736"/>
    <w:multiLevelType w:val="hybridMultilevel"/>
    <w:tmpl w:val="4AD436BE"/>
    <w:lvl w:ilvl="0" w:tplc="8C6461D2">
      <w:start w:val="1"/>
      <w:numFmt w:val="lowerRoman"/>
      <w:pStyle w:val="ListNumber3"/>
      <w:lvlText w:val="%1."/>
      <w:lvlJc w:val="right"/>
      <w:pPr>
        <w:ind w:left="1996" w:hanging="360"/>
      </w:pPr>
    </w:lvl>
    <w:lvl w:ilvl="1" w:tplc="08090019" w:tentative="1">
      <w:start w:val="1"/>
      <w:numFmt w:val="lowerLetter"/>
      <w:lvlText w:val="%2."/>
      <w:lvlJc w:val="left"/>
      <w:pPr>
        <w:ind w:left="2716" w:hanging="360"/>
      </w:pPr>
    </w:lvl>
    <w:lvl w:ilvl="2" w:tplc="0809001B" w:tentative="1">
      <w:start w:val="1"/>
      <w:numFmt w:val="lowerRoman"/>
      <w:lvlText w:val="%3."/>
      <w:lvlJc w:val="right"/>
      <w:pPr>
        <w:ind w:left="3436" w:hanging="180"/>
      </w:pPr>
    </w:lvl>
    <w:lvl w:ilvl="3" w:tplc="0809000F" w:tentative="1">
      <w:start w:val="1"/>
      <w:numFmt w:val="decimal"/>
      <w:lvlText w:val="%4."/>
      <w:lvlJc w:val="left"/>
      <w:pPr>
        <w:ind w:left="4156" w:hanging="360"/>
      </w:pPr>
    </w:lvl>
    <w:lvl w:ilvl="4" w:tplc="08090019" w:tentative="1">
      <w:start w:val="1"/>
      <w:numFmt w:val="lowerLetter"/>
      <w:lvlText w:val="%5."/>
      <w:lvlJc w:val="left"/>
      <w:pPr>
        <w:ind w:left="4876" w:hanging="360"/>
      </w:pPr>
    </w:lvl>
    <w:lvl w:ilvl="5" w:tplc="0809001B" w:tentative="1">
      <w:start w:val="1"/>
      <w:numFmt w:val="lowerRoman"/>
      <w:lvlText w:val="%6."/>
      <w:lvlJc w:val="right"/>
      <w:pPr>
        <w:ind w:left="5596" w:hanging="180"/>
      </w:pPr>
    </w:lvl>
    <w:lvl w:ilvl="6" w:tplc="0809000F" w:tentative="1">
      <w:start w:val="1"/>
      <w:numFmt w:val="decimal"/>
      <w:lvlText w:val="%7."/>
      <w:lvlJc w:val="left"/>
      <w:pPr>
        <w:ind w:left="6316" w:hanging="360"/>
      </w:pPr>
    </w:lvl>
    <w:lvl w:ilvl="7" w:tplc="08090019" w:tentative="1">
      <w:start w:val="1"/>
      <w:numFmt w:val="lowerLetter"/>
      <w:lvlText w:val="%8."/>
      <w:lvlJc w:val="left"/>
      <w:pPr>
        <w:ind w:left="7036" w:hanging="360"/>
      </w:pPr>
    </w:lvl>
    <w:lvl w:ilvl="8" w:tplc="0809001B" w:tentative="1">
      <w:start w:val="1"/>
      <w:numFmt w:val="lowerRoman"/>
      <w:lvlText w:val="%9."/>
      <w:lvlJc w:val="right"/>
      <w:pPr>
        <w:ind w:left="7756" w:hanging="180"/>
      </w:pPr>
    </w:lvl>
  </w:abstractNum>
  <w:abstractNum w:abstractNumId="15" w15:restartNumberingAfterBreak="0">
    <w:nsid w:val="262F24F0"/>
    <w:multiLevelType w:val="hybridMultilevel"/>
    <w:tmpl w:val="A314C2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FC546D6"/>
    <w:multiLevelType w:val="singleLevel"/>
    <w:tmpl w:val="991EBFE2"/>
    <w:lvl w:ilvl="0">
      <w:start w:val="1"/>
      <w:numFmt w:val="bullet"/>
      <w:pStyle w:val="TableBullet"/>
      <w:lvlText w:val=""/>
      <w:lvlJc w:val="left"/>
      <w:pPr>
        <w:tabs>
          <w:tab w:val="num" w:pos="284"/>
        </w:tabs>
        <w:ind w:left="284" w:hanging="284"/>
      </w:pPr>
      <w:rPr>
        <w:rFonts w:ascii="Symbol" w:hAnsi="Symbol" w:hint="default"/>
      </w:rPr>
    </w:lvl>
  </w:abstractNum>
  <w:abstractNum w:abstractNumId="17" w15:restartNumberingAfterBreak="0">
    <w:nsid w:val="3AFA3790"/>
    <w:multiLevelType w:val="hybridMultilevel"/>
    <w:tmpl w:val="BDAAC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69753F8"/>
    <w:multiLevelType w:val="multilevel"/>
    <w:tmpl w:val="F50448B8"/>
    <w:lvl w:ilvl="0">
      <w:start w:val="1"/>
      <w:numFmt w:val="none"/>
      <w:pStyle w:val="Note"/>
      <w:lvlText w:val="Note"/>
      <w:lvlJc w:val="left"/>
      <w:pPr>
        <w:tabs>
          <w:tab w:val="num" w:pos="2098"/>
        </w:tabs>
        <w:ind w:left="2098" w:hanging="964"/>
      </w:pPr>
      <w:rPr>
        <w:rFonts w:hint="default"/>
        <w:b/>
        <w:i w:val="0"/>
      </w:rPr>
    </w:lvl>
    <w:lvl w:ilvl="1">
      <w:start w:val="1"/>
      <w:numFmt w:val="decimal"/>
      <w:lvlText w:val="%1.%2"/>
      <w:lvlJc w:val="left"/>
      <w:pPr>
        <w:tabs>
          <w:tab w:val="num" w:pos="2268"/>
        </w:tabs>
        <w:ind w:left="2268" w:hanging="1134"/>
      </w:pPr>
      <w:rPr>
        <w:rFonts w:hint="default"/>
      </w:rPr>
    </w:lvl>
    <w:lvl w:ilvl="2">
      <w:start w:val="1"/>
      <w:numFmt w:val="decimal"/>
      <w:lvlText w:val="%1.%2.%3"/>
      <w:lvlJc w:val="left"/>
      <w:pPr>
        <w:tabs>
          <w:tab w:val="num" w:pos="2214"/>
        </w:tabs>
        <w:ind w:left="1985" w:hanging="851"/>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decimal"/>
      <w:lvlText w:val="%1.%2.%3.%4.%5.%6"/>
      <w:lvlJc w:val="left"/>
      <w:pPr>
        <w:tabs>
          <w:tab w:val="num" w:pos="2286"/>
        </w:tabs>
        <w:ind w:left="2286" w:hanging="1152"/>
      </w:pPr>
      <w:rPr>
        <w:rFonts w:hint="default"/>
      </w:rPr>
    </w:lvl>
    <w:lvl w:ilvl="6">
      <w:start w:val="1"/>
      <w:numFmt w:val="decimal"/>
      <w:lvlText w:val="%1.%2.%3.%4.%5.%6.%7"/>
      <w:lvlJc w:val="left"/>
      <w:pPr>
        <w:tabs>
          <w:tab w:val="num" w:pos="2430"/>
        </w:tabs>
        <w:ind w:left="2430" w:hanging="1296"/>
      </w:pPr>
      <w:rPr>
        <w:rFonts w:hint="default"/>
      </w:rPr>
    </w:lvl>
    <w:lvl w:ilvl="7">
      <w:start w:val="1"/>
      <w:numFmt w:val="decimal"/>
      <w:lvlText w:val="%1.%2.%3.%4.%5.%6.%7.%8"/>
      <w:lvlJc w:val="left"/>
      <w:pPr>
        <w:tabs>
          <w:tab w:val="num" w:pos="2574"/>
        </w:tabs>
        <w:ind w:left="2574" w:hanging="1440"/>
      </w:pPr>
      <w:rPr>
        <w:rFonts w:hint="default"/>
      </w:rPr>
    </w:lvl>
    <w:lvl w:ilvl="8">
      <w:start w:val="1"/>
      <w:numFmt w:val="decimal"/>
      <w:lvlText w:val="%1.%2.%3.%4.%5.%6.%7.%8.%9"/>
      <w:lvlJc w:val="left"/>
      <w:pPr>
        <w:tabs>
          <w:tab w:val="num" w:pos="2718"/>
        </w:tabs>
        <w:ind w:left="2718" w:hanging="1584"/>
      </w:pPr>
      <w:rPr>
        <w:rFonts w:hint="default"/>
      </w:rPr>
    </w:lvl>
  </w:abstractNum>
  <w:abstractNum w:abstractNumId="19" w15:restartNumberingAfterBreak="0">
    <w:nsid w:val="4E7E709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8D104BF"/>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671E36D5"/>
    <w:multiLevelType w:val="multilevel"/>
    <w:tmpl w:val="473C5208"/>
    <w:lvl w:ilvl="0">
      <w:start w:val="1"/>
      <w:numFmt w:val="none"/>
      <w:pStyle w:val="Warning"/>
      <w:lvlText w:val="Warning"/>
      <w:lvlJc w:val="left"/>
      <w:pPr>
        <w:tabs>
          <w:tab w:val="num" w:pos="2098"/>
        </w:tabs>
        <w:ind w:left="2098" w:hanging="964"/>
      </w:pPr>
      <w:rPr>
        <w:rFonts w:ascii="Arial" w:hAnsi="Arial" w:hint="default"/>
        <w:b/>
        <w:i w:val="0"/>
        <w:sz w:val="20"/>
      </w:rPr>
    </w:lvl>
    <w:lvl w:ilvl="1">
      <w:start w:val="1"/>
      <w:numFmt w:val="decimal"/>
      <w:lvlText w:val="%1.%2"/>
      <w:lvlJc w:val="left"/>
      <w:pPr>
        <w:tabs>
          <w:tab w:val="num" w:pos="1710"/>
        </w:tabs>
        <w:ind w:left="1710" w:hanging="576"/>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upperLetter"/>
      <w:lvlText w:val="%6"/>
      <w:lvlJc w:val="left"/>
      <w:pPr>
        <w:tabs>
          <w:tab w:val="num" w:pos="2286"/>
        </w:tabs>
        <w:ind w:left="2286" w:hanging="1152"/>
      </w:pPr>
      <w:rPr>
        <w:rFonts w:hint="default"/>
      </w:rPr>
    </w:lvl>
    <w:lvl w:ilvl="6">
      <w:start w:val="1"/>
      <w:numFmt w:val="upperLetter"/>
      <w:lvlText w:val="Appendix %7"/>
      <w:lvlJc w:val="left"/>
      <w:pPr>
        <w:tabs>
          <w:tab w:val="num" w:pos="3294"/>
        </w:tabs>
        <w:ind w:left="2430" w:hanging="1296"/>
      </w:pPr>
      <w:rPr>
        <w:rFonts w:ascii="Arial" w:hAnsi="Arial" w:hint="default"/>
        <w:b/>
        <w:i w:val="0"/>
        <w:sz w:val="40"/>
      </w:rPr>
    </w:lvl>
    <w:lvl w:ilvl="7">
      <w:start w:val="1"/>
      <w:numFmt w:val="decimal"/>
      <w:lvlText w:val="%7.%8"/>
      <w:lvlJc w:val="left"/>
      <w:pPr>
        <w:tabs>
          <w:tab w:val="num" w:pos="2574"/>
        </w:tabs>
        <w:ind w:left="2574" w:hanging="1440"/>
      </w:pPr>
      <w:rPr>
        <w:rFonts w:ascii="Arial" w:hAnsi="Arial" w:hint="default"/>
        <w:b/>
        <w:i w:val="0"/>
        <w:sz w:val="36"/>
      </w:rPr>
    </w:lvl>
    <w:lvl w:ilvl="8">
      <w:start w:val="1"/>
      <w:numFmt w:val="decimal"/>
      <w:lvlText w:val="%7.%8.%9"/>
      <w:lvlJc w:val="left"/>
      <w:pPr>
        <w:tabs>
          <w:tab w:val="num" w:pos="2718"/>
        </w:tabs>
        <w:ind w:left="2718" w:hanging="1584"/>
      </w:pPr>
      <w:rPr>
        <w:rFonts w:hint="default"/>
      </w:rPr>
    </w:lvl>
  </w:abstractNum>
  <w:abstractNum w:abstractNumId="22" w15:restartNumberingAfterBreak="0">
    <w:nsid w:val="7A4A3830"/>
    <w:multiLevelType w:val="singleLevel"/>
    <w:tmpl w:val="DBF4C0A4"/>
    <w:lvl w:ilvl="0">
      <w:start w:val="1"/>
      <w:numFmt w:val="none"/>
      <w:pStyle w:val="Tip"/>
      <w:lvlText w:val="Tip"/>
      <w:lvlJc w:val="left"/>
      <w:pPr>
        <w:tabs>
          <w:tab w:val="num" w:pos="2098"/>
        </w:tabs>
        <w:ind w:left="2098" w:hanging="964"/>
      </w:pPr>
      <w:rPr>
        <w:rFonts w:hint="default"/>
        <w:b/>
        <w:i w:val="0"/>
      </w:rPr>
    </w:lvl>
  </w:abstractNum>
  <w:abstractNum w:abstractNumId="23" w15:restartNumberingAfterBreak="0">
    <w:nsid w:val="7AFA0C93"/>
    <w:multiLevelType w:val="singleLevel"/>
    <w:tmpl w:val="325C7A4E"/>
    <w:lvl w:ilvl="0">
      <w:start w:val="1"/>
      <w:numFmt w:val="decimal"/>
      <w:pStyle w:val="TableNumber"/>
      <w:lvlText w:val="%1."/>
      <w:lvlJc w:val="left"/>
      <w:pPr>
        <w:tabs>
          <w:tab w:val="num" w:pos="284"/>
        </w:tabs>
        <w:ind w:left="284" w:hanging="284"/>
      </w:pPr>
      <w:rPr>
        <w:rFonts w:hint="default"/>
      </w:rPr>
    </w:lvl>
  </w:abstractNum>
  <w:abstractNum w:abstractNumId="24" w15:restartNumberingAfterBreak="0">
    <w:nsid w:val="7F2F049B"/>
    <w:multiLevelType w:val="multilevel"/>
    <w:tmpl w:val="D0DAF4AA"/>
    <w:lvl w:ilvl="0">
      <w:start w:val="1"/>
      <w:numFmt w:val="upperLetter"/>
      <w:pStyle w:val="Append"/>
      <w:suff w:val="nothing"/>
      <w:lvlText w:val="Appendix %1"/>
      <w:lvlJc w:val="left"/>
      <w:pPr>
        <w:ind w:left="0" w:firstLine="0"/>
      </w:pPr>
      <w:rPr>
        <w:rFonts w:hint="default"/>
      </w:rPr>
    </w:lvl>
    <w:lvl w:ilvl="1">
      <w:start w:val="1"/>
      <w:numFmt w:val="decimal"/>
      <w:pStyle w:val="Append1"/>
      <w:lvlText w:val="%1.%2"/>
      <w:lvlJc w:val="left"/>
      <w:pPr>
        <w:tabs>
          <w:tab w:val="num" w:pos="1134"/>
        </w:tabs>
        <w:ind w:left="1134" w:hanging="1134"/>
      </w:pPr>
      <w:rPr>
        <w:rFonts w:hint="default"/>
      </w:rPr>
    </w:lvl>
    <w:lvl w:ilvl="2">
      <w:start w:val="1"/>
      <w:numFmt w:val="decimal"/>
      <w:pStyle w:val="Append2"/>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none"/>
      <w:suff w:val="nothing"/>
      <w:lvlText w:val=""/>
      <w:lvlJc w:val="left"/>
      <w:pPr>
        <w:ind w:left="-567" w:firstLine="0"/>
      </w:pPr>
      <w:rPr>
        <w:rFonts w:hint="default"/>
      </w:rPr>
    </w:lvl>
    <w:lvl w:ilvl="5">
      <w:start w:val="1"/>
      <w:numFmt w:val="none"/>
      <w:suff w:val="nothing"/>
      <w:lvlText w:val=""/>
      <w:lvlJc w:val="left"/>
      <w:pPr>
        <w:ind w:left="-567" w:firstLine="0"/>
      </w:pPr>
      <w:rPr>
        <w:rFonts w:hint="default"/>
      </w:rPr>
    </w:lvl>
    <w:lvl w:ilvl="6">
      <w:start w:val="1"/>
      <w:numFmt w:val="none"/>
      <w:suff w:val="nothing"/>
      <w:lvlText w:val=""/>
      <w:lvlJc w:val="left"/>
      <w:pPr>
        <w:ind w:left="-567" w:firstLine="0"/>
      </w:pPr>
      <w:rPr>
        <w:rFonts w:hint="default"/>
      </w:rPr>
    </w:lvl>
    <w:lvl w:ilvl="7">
      <w:start w:val="1"/>
      <w:numFmt w:val="none"/>
      <w:suff w:val="nothing"/>
      <w:lvlText w:val=""/>
      <w:lvlJc w:val="left"/>
      <w:pPr>
        <w:ind w:left="-567" w:firstLine="0"/>
      </w:pPr>
      <w:rPr>
        <w:rFonts w:hint="default"/>
      </w:rPr>
    </w:lvl>
    <w:lvl w:ilvl="8">
      <w:start w:val="1"/>
      <w:numFmt w:val="none"/>
      <w:suff w:val="nothing"/>
      <w:lvlText w:val=""/>
      <w:lvlJc w:val="left"/>
      <w:pPr>
        <w:ind w:left="-567" w:firstLine="0"/>
      </w:pPr>
      <w:rPr>
        <w:rFonts w:hint="default"/>
      </w:rPr>
    </w:lvl>
  </w:abstractNum>
  <w:num w:numId="1">
    <w:abstractNumId w:val="22"/>
  </w:num>
  <w:num w:numId="2">
    <w:abstractNumId w:val="21"/>
  </w:num>
  <w:num w:numId="3">
    <w:abstractNumId w:val="16"/>
  </w:num>
  <w:num w:numId="4">
    <w:abstractNumId w:val="23"/>
  </w:num>
  <w:num w:numId="5">
    <w:abstractNumId w:val="8"/>
  </w:num>
  <w:num w:numId="6">
    <w:abstractNumId w:val="6"/>
  </w:num>
  <w:num w:numId="7">
    <w:abstractNumId w:val="5"/>
  </w:num>
  <w:num w:numId="8">
    <w:abstractNumId w:val="4"/>
  </w:num>
  <w:num w:numId="9">
    <w:abstractNumId w:val="3"/>
  </w:num>
  <w:num w:numId="10">
    <w:abstractNumId w:val="7"/>
  </w:num>
  <w:num w:numId="11">
    <w:abstractNumId w:val="1"/>
  </w:num>
  <w:num w:numId="12">
    <w:abstractNumId w:val="0"/>
  </w:num>
  <w:num w:numId="13">
    <w:abstractNumId w:val="18"/>
  </w:num>
  <w:num w:numId="14">
    <w:abstractNumId w:val="24"/>
  </w:num>
  <w:num w:numId="15">
    <w:abstractNumId w:val="2"/>
  </w:num>
  <w:num w:numId="16">
    <w:abstractNumId w:val="11"/>
  </w:num>
  <w:num w:numId="17">
    <w:abstractNumId w:val="9"/>
  </w:num>
  <w:num w:numId="18">
    <w:abstractNumId w:val="14"/>
  </w:num>
  <w:num w:numId="19">
    <w:abstractNumId w:val="20"/>
  </w:num>
  <w:num w:numId="20">
    <w:abstractNumId w:val="19"/>
  </w:num>
  <w:num w:numId="21">
    <w:abstractNumId w:val="12"/>
  </w:num>
  <w:num w:numId="22">
    <w:abstractNumId w:val="13"/>
  </w:num>
  <w:num w:numId="23">
    <w:abstractNumId w:val="10"/>
  </w:num>
  <w:num w:numId="24">
    <w:abstractNumId w:val="17"/>
  </w:num>
  <w:num w:numId="25">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GB" w:vendorID="8" w:dllVersion="513" w:checkStyle="1"/>
  <w:activeWritingStyle w:appName="MSWord" w:lang="en-US" w:vendorID="8" w:dllVersion="513" w:checkStyle="1"/>
  <w:activeWritingStyle w:appName="MSWord" w:lang="nl-BE" w:vendorID="1" w:dllVersion="512" w:checkStyle="1"/>
  <w:proofState w:spelling="clean" w:grammar="clean"/>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1" w:cryptProviderType="rsaFull" w:cryptAlgorithmClass="hash" w:cryptAlgorithmType="typeAny" w:cryptAlgorithmSid="4" w:cryptSpinCount="100000" w:hash="VGfylw2vLkacdVa8KmZVxnSWq8I=" w:salt="TxShfQCShUFhP7sc0upegg=="/>
  <w:styleLockTheme/>
  <w:styleLockQFSet/>
  <w:defaultTabStop w:val="1440"/>
  <w:hyphenationZone w:val="425"/>
  <w:drawingGridHorizontalSpacing w:val="95"/>
  <w:displayHorizontalDrawingGridEvery w:val="0"/>
  <w:displayVerticalDrawingGridEvery w:val="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FDA"/>
    <w:rsid w:val="000017C4"/>
    <w:rsid w:val="0000191D"/>
    <w:rsid w:val="00001AC8"/>
    <w:rsid w:val="00002EE3"/>
    <w:rsid w:val="0000764E"/>
    <w:rsid w:val="00012387"/>
    <w:rsid w:val="00014EF2"/>
    <w:rsid w:val="00021790"/>
    <w:rsid w:val="00022175"/>
    <w:rsid w:val="00022528"/>
    <w:rsid w:val="00023FBA"/>
    <w:rsid w:val="00025F8F"/>
    <w:rsid w:val="00026814"/>
    <w:rsid w:val="00027C67"/>
    <w:rsid w:val="00032862"/>
    <w:rsid w:val="00033355"/>
    <w:rsid w:val="000353A8"/>
    <w:rsid w:val="0004007E"/>
    <w:rsid w:val="000408B1"/>
    <w:rsid w:val="00043FDC"/>
    <w:rsid w:val="000508C7"/>
    <w:rsid w:val="00050F1F"/>
    <w:rsid w:val="000579C1"/>
    <w:rsid w:val="000612B5"/>
    <w:rsid w:val="00061661"/>
    <w:rsid w:val="00064C82"/>
    <w:rsid w:val="00064E57"/>
    <w:rsid w:val="00071606"/>
    <w:rsid w:val="00072427"/>
    <w:rsid w:val="00074109"/>
    <w:rsid w:val="000749EF"/>
    <w:rsid w:val="000775D4"/>
    <w:rsid w:val="00077A6B"/>
    <w:rsid w:val="0008028F"/>
    <w:rsid w:val="000851E4"/>
    <w:rsid w:val="0008679D"/>
    <w:rsid w:val="0008688D"/>
    <w:rsid w:val="000877E0"/>
    <w:rsid w:val="000904F3"/>
    <w:rsid w:val="000906F7"/>
    <w:rsid w:val="00095809"/>
    <w:rsid w:val="00096428"/>
    <w:rsid w:val="000A15E5"/>
    <w:rsid w:val="000A2910"/>
    <w:rsid w:val="000A4349"/>
    <w:rsid w:val="000A528A"/>
    <w:rsid w:val="000A5526"/>
    <w:rsid w:val="000A5C61"/>
    <w:rsid w:val="000A5F59"/>
    <w:rsid w:val="000A6454"/>
    <w:rsid w:val="000B160B"/>
    <w:rsid w:val="000B1881"/>
    <w:rsid w:val="000B23FB"/>
    <w:rsid w:val="000B3AB0"/>
    <w:rsid w:val="000B58A4"/>
    <w:rsid w:val="000C16D5"/>
    <w:rsid w:val="000D23EE"/>
    <w:rsid w:val="000D2EA0"/>
    <w:rsid w:val="000D3040"/>
    <w:rsid w:val="000D3FDA"/>
    <w:rsid w:val="000D5FC4"/>
    <w:rsid w:val="000E1EA4"/>
    <w:rsid w:val="000E2675"/>
    <w:rsid w:val="000E41EC"/>
    <w:rsid w:val="000E48E5"/>
    <w:rsid w:val="000E53BB"/>
    <w:rsid w:val="000E5626"/>
    <w:rsid w:val="000E7A5E"/>
    <w:rsid w:val="000F0D00"/>
    <w:rsid w:val="000F48CC"/>
    <w:rsid w:val="000F4B1B"/>
    <w:rsid w:val="000F7FE0"/>
    <w:rsid w:val="0010237A"/>
    <w:rsid w:val="00105DCE"/>
    <w:rsid w:val="0011062C"/>
    <w:rsid w:val="00120821"/>
    <w:rsid w:val="00122B75"/>
    <w:rsid w:val="00133F0B"/>
    <w:rsid w:val="00137EB4"/>
    <w:rsid w:val="0014250E"/>
    <w:rsid w:val="001428D2"/>
    <w:rsid w:val="001434FC"/>
    <w:rsid w:val="0014371E"/>
    <w:rsid w:val="001447BA"/>
    <w:rsid w:val="00144B7A"/>
    <w:rsid w:val="001470F2"/>
    <w:rsid w:val="00147F37"/>
    <w:rsid w:val="00165005"/>
    <w:rsid w:val="00165A7B"/>
    <w:rsid w:val="001703A8"/>
    <w:rsid w:val="0017372E"/>
    <w:rsid w:val="001744B1"/>
    <w:rsid w:val="00176D27"/>
    <w:rsid w:val="001834B7"/>
    <w:rsid w:val="00184FF4"/>
    <w:rsid w:val="001865FA"/>
    <w:rsid w:val="001876E4"/>
    <w:rsid w:val="00193C94"/>
    <w:rsid w:val="00195758"/>
    <w:rsid w:val="00197DF2"/>
    <w:rsid w:val="001A43DE"/>
    <w:rsid w:val="001A46C4"/>
    <w:rsid w:val="001C1507"/>
    <w:rsid w:val="001C20B2"/>
    <w:rsid w:val="001C23B2"/>
    <w:rsid w:val="001C280A"/>
    <w:rsid w:val="001C5B21"/>
    <w:rsid w:val="001D6A7F"/>
    <w:rsid w:val="001D7165"/>
    <w:rsid w:val="001E1ED4"/>
    <w:rsid w:val="001E3726"/>
    <w:rsid w:val="001E3863"/>
    <w:rsid w:val="001E571F"/>
    <w:rsid w:val="001E6C2F"/>
    <w:rsid w:val="001E7ECC"/>
    <w:rsid w:val="001F3010"/>
    <w:rsid w:val="001F5B47"/>
    <w:rsid w:val="001F5BB3"/>
    <w:rsid w:val="00200C0C"/>
    <w:rsid w:val="00201F40"/>
    <w:rsid w:val="00202218"/>
    <w:rsid w:val="00203EB9"/>
    <w:rsid w:val="002132FF"/>
    <w:rsid w:val="00214128"/>
    <w:rsid w:val="00214D55"/>
    <w:rsid w:val="00215351"/>
    <w:rsid w:val="002155ED"/>
    <w:rsid w:val="0021752D"/>
    <w:rsid w:val="0021786C"/>
    <w:rsid w:val="00221872"/>
    <w:rsid w:val="00221C92"/>
    <w:rsid w:val="00222090"/>
    <w:rsid w:val="00223ABE"/>
    <w:rsid w:val="002240CE"/>
    <w:rsid w:val="00225DE5"/>
    <w:rsid w:val="002273FB"/>
    <w:rsid w:val="00233B18"/>
    <w:rsid w:val="0023645B"/>
    <w:rsid w:val="00236C6A"/>
    <w:rsid w:val="00237847"/>
    <w:rsid w:val="00241336"/>
    <w:rsid w:val="00242C1A"/>
    <w:rsid w:val="00243E68"/>
    <w:rsid w:val="00246684"/>
    <w:rsid w:val="00246AF9"/>
    <w:rsid w:val="00246C22"/>
    <w:rsid w:val="002505D6"/>
    <w:rsid w:val="002509E5"/>
    <w:rsid w:val="00251978"/>
    <w:rsid w:val="002555E2"/>
    <w:rsid w:val="00256BEE"/>
    <w:rsid w:val="002626DA"/>
    <w:rsid w:val="00262884"/>
    <w:rsid w:val="00267D72"/>
    <w:rsid w:val="002701E6"/>
    <w:rsid w:val="0027190E"/>
    <w:rsid w:val="0027357E"/>
    <w:rsid w:val="00280B82"/>
    <w:rsid w:val="00281D72"/>
    <w:rsid w:val="00282FC2"/>
    <w:rsid w:val="00286BFB"/>
    <w:rsid w:val="00287177"/>
    <w:rsid w:val="00297ABD"/>
    <w:rsid w:val="002A32C6"/>
    <w:rsid w:val="002A331D"/>
    <w:rsid w:val="002A3F47"/>
    <w:rsid w:val="002A6C1D"/>
    <w:rsid w:val="002A7935"/>
    <w:rsid w:val="002B0A30"/>
    <w:rsid w:val="002B205E"/>
    <w:rsid w:val="002B271A"/>
    <w:rsid w:val="002B48DB"/>
    <w:rsid w:val="002C2BE7"/>
    <w:rsid w:val="002C4ED0"/>
    <w:rsid w:val="002D0B82"/>
    <w:rsid w:val="002D0E51"/>
    <w:rsid w:val="002D26C0"/>
    <w:rsid w:val="002D3B7B"/>
    <w:rsid w:val="002D4D2B"/>
    <w:rsid w:val="002D61FC"/>
    <w:rsid w:val="002D6766"/>
    <w:rsid w:val="002E1CB1"/>
    <w:rsid w:val="002E2B3C"/>
    <w:rsid w:val="002E4358"/>
    <w:rsid w:val="002E78D3"/>
    <w:rsid w:val="002F0D01"/>
    <w:rsid w:val="002F0ECF"/>
    <w:rsid w:val="002F26F2"/>
    <w:rsid w:val="002F434A"/>
    <w:rsid w:val="002F6D51"/>
    <w:rsid w:val="002F757C"/>
    <w:rsid w:val="003000FE"/>
    <w:rsid w:val="003032A8"/>
    <w:rsid w:val="0030697D"/>
    <w:rsid w:val="00307BA0"/>
    <w:rsid w:val="00307F6D"/>
    <w:rsid w:val="00312565"/>
    <w:rsid w:val="00321B49"/>
    <w:rsid w:val="00323082"/>
    <w:rsid w:val="00323B78"/>
    <w:rsid w:val="003276C8"/>
    <w:rsid w:val="0033406B"/>
    <w:rsid w:val="003355DB"/>
    <w:rsid w:val="00340C02"/>
    <w:rsid w:val="003422AF"/>
    <w:rsid w:val="003474FF"/>
    <w:rsid w:val="00351220"/>
    <w:rsid w:val="00351325"/>
    <w:rsid w:val="00352438"/>
    <w:rsid w:val="003527CB"/>
    <w:rsid w:val="0035445E"/>
    <w:rsid w:val="00360506"/>
    <w:rsid w:val="0036065A"/>
    <w:rsid w:val="00361DB9"/>
    <w:rsid w:val="00363C13"/>
    <w:rsid w:val="003653C3"/>
    <w:rsid w:val="003676DD"/>
    <w:rsid w:val="00371083"/>
    <w:rsid w:val="00371ECC"/>
    <w:rsid w:val="003723D1"/>
    <w:rsid w:val="00372530"/>
    <w:rsid w:val="003739B1"/>
    <w:rsid w:val="00374A50"/>
    <w:rsid w:val="00375400"/>
    <w:rsid w:val="003770E4"/>
    <w:rsid w:val="00387A3E"/>
    <w:rsid w:val="00387D4D"/>
    <w:rsid w:val="00390C64"/>
    <w:rsid w:val="003910D0"/>
    <w:rsid w:val="0039527E"/>
    <w:rsid w:val="00396A44"/>
    <w:rsid w:val="003A26B0"/>
    <w:rsid w:val="003A2A43"/>
    <w:rsid w:val="003A2E29"/>
    <w:rsid w:val="003A4180"/>
    <w:rsid w:val="003A6CAC"/>
    <w:rsid w:val="003A7A37"/>
    <w:rsid w:val="003A7BAD"/>
    <w:rsid w:val="003B0295"/>
    <w:rsid w:val="003B036A"/>
    <w:rsid w:val="003B0F33"/>
    <w:rsid w:val="003B0FA1"/>
    <w:rsid w:val="003B17E8"/>
    <w:rsid w:val="003B1846"/>
    <w:rsid w:val="003B3916"/>
    <w:rsid w:val="003B3B10"/>
    <w:rsid w:val="003B4A8D"/>
    <w:rsid w:val="003C3AD7"/>
    <w:rsid w:val="003C5953"/>
    <w:rsid w:val="003C7885"/>
    <w:rsid w:val="003D0381"/>
    <w:rsid w:val="003D1038"/>
    <w:rsid w:val="003D18C9"/>
    <w:rsid w:val="003D5C0E"/>
    <w:rsid w:val="003D7590"/>
    <w:rsid w:val="003E169D"/>
    <w:rsid w:val="003E4C38"/>
    <w:rsid w:val="003E5171"/>
    <w:rsid w:val="003E6D0C"/>
    <w:rsid w:val="003F2C1A"/>
    <w:rsid w:val="003F3047"/>
    <w:rsid w:val="003F4CE9"/>
    <w:rsid w:val="003F570F"/>
    <w:rsid w:val="00400887"/>
    <w:rsid w:val="004035AD"/>
    <w:rsid w:val="00404F55"/>
    <w:rsid w:val="00404F6E"/>
    <w:rsid w:val="00407CD4"/>
    <w:rsid w:val="00416EB7"/>
    <w:rsid w:val="00422A04"/>
    <w:rsid w:val="00423208"/>
    <w:rsid w:val="0042596A"/>
    <w:rsid w:val="00427DE3"/>
    <w:rsid w:val="00431339"/>
    <w:rsid w:val="00436476"/>
    <w:rsid w:val="004445E7"/>
    <w:rsid w:val="00445638"/>
    <w:rsid w:val="00445A24"/>
    <w:rsid w:val="0045140F"/>
    <w:rsid w:val="004520C2"/>
    <w:rsid w:val="00452B93"/>
    <w:rsid w:val="0045413D"/>
    <w:rsid w:val="00455B7B"/>
    <w:rsid w:val="00456CDF"/>
    <w:rsid w:val="00461E97"/>
    <w:rsid w:val="0046271E"/>
    <w:rsid w:val="00463898"/>
    <w:rsid w:val="00467622"/>
    <w:rsid w:val="004741C3"/>
    <w:rsid w:val="00474D08"/>
    <w:rsid w:val="00476DF8"/>
    <w:rsid w:val="0048019C"/>
    <w:rsid w:val="004813B6"/>
    <w:rsid w:val="004816F7"/>
    <w:rsid w:val="00481DCB"/>
    <w:rsid w:val="00484C78"/>
    <w:rsid w:val="00485E19"/>
    <w:rsid w:val="004909DE"/>
    <w:rsid w:val="00492D44"/>
    <w:rsid w:val="00493BE1"/>
    <w:rsid w:val="004A5404"/>
    <w:rsid w:val="004A6081"/>
    <w:rsid w:val="004A79CF"/>
    <w:rsid w:val="004A7F3C"/>
    <w:rsid w:val="004B0ADF"/>
    <w:rsid w:val="004B11D1"/>
    <w:rsid w:val="004B133A"/>
    <w:rsid w:val="004B2081"/>
    <w:rsid w:val="004B306C"/>
    <w:rsid w:val="004B4842"/>
    <w:rsid w:val="004B6255"/>
    <w:rsid w:val="004B6E52"/>
    <w:rsid w:val="004B73DE"/>
    <w:rsid w:val="004C2603"/>
    <w:rsid w:val="004C2D9C"/>
    <w:rsid w:val="004C3457"/>
    <w:rsid w:val="004C6828"/>
    <w:rsid w:val="004C7075"/>
    <w:rsid w:val="004D01EB"/>
    <w:rsid w:val="004D6A21"/>
    <w:rsid w:val="004D738B"/>
    <w:rsid w:val="004E05DC"/>
    <w:rsid w:val="004E2775"/>
    <w:rsid w:val="004E508A"/>
    <w:rsid w:val="004E5194"/>
    <w:rsid w:val="004E7565"/>
    <w:rsid w:val="004F0158"/>
    <w:rsid w:val="004F3C56"/>
    <w:rsid w:val="004F717E"/>
    <w:rsid w:val="004F7F2D"/>
    <w:rsid w:val="004F7F9F"/>
    <w:rsid w:val="0050332A"/>
    <w:rsid w:val="00504C0E"/>
    <w:rsid w:val="00506518"/>
    <w:rsid w:val="00515B5E"/>
    <w:rsid w:val="00517922"/>
    <w:rsid w:val="00517AD5"/>
    <w:rsid w:val="00517BF2"/>
    <w:rsid w:val="005210B1"/>
    <w:rsid w:val="0052399E"/>
    <w:rsid w:val="005243D5"/>
    <w:rsid w:val="0052573B"/>
    <w:rsid w:val="00526C98"/>
    <w:rsid w:val="0052733C"/>
    <w:rsid w:val="005414BF"/>
    <w:rsid w:val="00541D70"/>
    <w:rsid w:val="00542BA6"/>
    <w:rsid w:val="00543CAD"/>
    <w:rsid w:val="005449A0"/>
    <w:rsid w:val="00546DC3"/>
    <w:rsid w:val="00556158"/>
    <w:rsid w:val="005627F5"/>
    <w:rsid w:val="005633B5"/>
    <w:rsid w:val="00564FEA"/>
    <w:rsid w:val="00566678"/>
    <w:rsid w:val="00572875"/>
    <w:rsid w:val="005844D6"/>
    <w:rsid w:val="00584FAE"/>
    <w:rsid w:val="00590B92"/>
    <w:rsid w:val="00592CE2"/>
    <w:rsid w:val="005930E4"/>
    <w:rsid w:val="0059570F"/>
    <w:rsid w:val="0059710B"/>
    <w:rsid w:val="0059725E"/>
    <w:rsid w:val="005A1AEE"/>
    <w:rsid w:val="005A1FD7"/>
    <w:rsid w:val="005A38DA"/>
    <w:rsid w:val="005A5116"/>
    <w:rsid w:val="005A5954"/>
    <w:rsid w:val="005A6353"/>
    <w:rsid w:val="005A756E"/>
    <w:rsid w:val="005B1A07"/>
    <w:rsid w:val="005B39A5"/>
    <w:rsid w:val="005C079E"/>
    <w:rsid w:val="005C4598"/>
    <w:rsid w:val="005C4C2A"/>
    <w:rsid w:val="005C7AFC"/>
    <w:rsid w:val="005D0E5B"/>
    <w:rsid w:val="005D0EDB"/>
    <w:rsid w:val="005D2228"/>
    <w:rsid w:val="005D6EE8"/>
    <w:rsid w:val="005D78D6"/>
    <w:rsid w:val="005E10B6"/>
    <w:rsid w:val="005E5087"/>
    <w:rsid w:val="005E568A"/>
    <w:rsid w:val="005E59C1"/>
    <w:rsid w:val="005F1803"/>
    <w:rsid w:val="005F2A35"/>
    <w:rsid w:val="005F3B5D"/>
    <w:rsid w:val="005F5258"/>
    <w:rsid w:val="005F6318"/>
    <w:rsid w:val="005F69D6"/>
    <w:rsid w:val="0060053A"/>
    <w:rsid w:val="006006EA"/>
    <w:rsid w:val="00601CA1"/>
    <w:rsid w:val="00602440"/>
    <w:rsid w:val="006036F8"/>
    <w:rsid w:val="00605282"/>
    <w:rsid w:val="006056FC"/>
    <w:rsid w:val="006076DF"/>
    <w:rsid w:val="0061046B"/>
    <w:rsid w:val="00612AEB"/>
    <w:rsid w:val="00612F4E"/>
    <w:rsid w:val="00614957"/>
    <w:rsid w:val="00617B2D"/>
    <w:rsid w:val="006222A1"/>
    <w:rsid w:val="006259F0"/>
    <w:rsid w:val="00632938"/>
    <w:rsid w:val="00633D49"/>
    <w:rsid w:val="0063452A"/>
    <w:rsid w:val="006350A5"/>
    <w:rsid w:val="006367CC"/>
    <w:rsid w:val="0063697A"/>
    <w:rsid w:val="00641B04"/>
    <w:rsid w:val="00645E62"/>
    <w:rsid w:val="00646E29"/>
    <w:rsid w:val="00647DBD"/>
    <w:rsid w:val="00651196"/>
    <w:rsid w:val="006538FA"/>
    <w:rsid w:val="00654345"/>
    <w:rsid w:val="006547FE"/>
    <w:rsid w:val="006563CE"/>
    <w:rsid w:val="00657A1D"/>
    <w:rsid w:val="00657C40"/>
    <w:rsid w:val="00661526"/>
    <w:rsid w:val="00663557"/>
    <w:rsid w:val="00665B53"/>
    <w:rsid w:val="00665D80"/>
    <w:rsid w:val="00672DCF"/>
    <w:rsid w:val="00673030"/>
    <w:rsid w:val="00673863"/>
    <w:rsid w:val="00674C06"/>
    <w:rsid w:val="00675EAE"/>
    <w:rsid w:val="006821EA"/>
    <w:rsid w:val="006853A8"/>
    <w:rsid w:val="006864CC"/>
    <w:rsid w:val="0069044F"/>
    <w:rsid w:val="00690EB8"/>
    <w:rsid w:val="00696CAB"/>
    <w:rsid w:val="00696E65"/>
    <w:rsid w:val="00696E8D"/>
    <w:rsid w:val="0069789E"/>
    <w:rsid w:val="006A01A4"/>
    <w:rsid w:val="006A2101"/>
    <w:rsid w:val="006A33D6"/>
    <w:rsid w:val="006A7C2A"/>
    <w:rsid w:val="006B04CC"/>
    <w:rsid w:val="006B1C58"/>
    <w:rsid w:val="006B1E11"/>
    <w:rsid w:val="006B2756"/>
    <w:rsid w:val="006B3335"/>
    <w:rsid w:val="006B355C"/>
    <w:rsid w:val="006B37FC"/>
    <w:rsid w:val="006B401D"/>
    <w:rsid w:val="006B6BE6"/>
    <w:rsid w:val="006C01B8"/>
    <w:rsid w:val="006C1D42"/>
    <w:rsid w:val="006C425A"/>
    <w:rsid w:val="006C6987"/>
    <w:rsid w:val="006D0A4F"/>
    <w:rsid w:val="006D4842"/>
    <w:rsid w:val="006D5ACE"/>
    <w:rsid w:val="006D5CDE"/>
    <w:rsid w:val="006D64DA"/>
    <w:rsid w:val="006D657A"/>
    <w:rsid w:val="006D6E16"/>
    <w:rsid w:val="006D7340"/>
    <w:rsid w:val="006E0076"/>
    <w:rsid w:val="006E1B82"/>
    <w:rsid w:val="006E2EDE"/>
    <w:rsid w:val="006E3A46"/>
    <w:rsid w:val="006E4C47"/>
    <w:rsid w:val="006E6727"/>
    <w:rsid w:val="006F13F9"/>
    <w:rsid w:val="006F34DD"/>
    <w:rsid w:val="006F3E40"/>
    <w:rsid w:val="006F4CDF"/>
    <w:rsid w:val="006F7972"/>
    <w:rsid w:val="007023C9"/>
    <w:rsid w:val="00702885"/>
    <w:rsid w:val="00702E62"/>
    <w:rsid w:val="0070375E"/>
    <w:rsid w:val="0071144A"/>
    <w:rsid w:val="00714DA9"/>
    <w:rsid w:val="00715324"/>
    <w:rsid w:val="00715699"/>
    <w:rsid w:val="007162F9"/>
    <w:rsid w:val="00716795"/>
    <w:rsid w:val="007170E8"/>
    <w:rsid w:val="0072163A"/>
    <w:rsid w:val="00724AB5"/>
    <w:rsid w:val="00726080"/>
    <w:rsid w:val="007263C1"/>
    <w:rsid w:val="00732596"/>
    <w:rsid w:val="00732FFF"/>
    <w:rsid w:val="007340D7"/>
    <w:rsid w:val="007354F6"/>
    <w:rsid w:val="007359D3"/>
    <w:rsid w:val="0073697C"/>
    <w:rsid w:val="00737C61"/>
    <w:rsid w:val="007420BE"/>
    <w:rsid w:val="00744B09"/>
    <w:rsid w:val="00753AA3"/>
    <w:rsid w:val="00754E9C"/>
    <w:rsid w:val="00755342"/>
    <w:rsid w:val="007576BA"/>
    <w:rsid w:val="0076027E"/>
    <w:rsid w:val="00760B52"/>
    <w:rsid w:val="0076210E"/>
    <w:rsid w:val="00762BEC"/>
    <w:rsid w:val="0076456D"/>
    <w:rsid w:val="00765D5B"/>
    <w:rsid w:val="00766590"/>
    <w:rsid w:val="00770477"/>
    <w:rsid w:val="0077219E"/>
    <w:rsid w:val="0077552C"/>
    <w:rsid w:val="00775598"/>
    <w:rsid w:val="00775E06"/>
    <w:rsid w:val="00783295"/>
    <w:rsid w:val="00786C08"/>
    <w:rsid w:val="00790B1E"/>
    <w:rsid w:val="0079160C"/>
    <w:rsid w:val="00794E29"/>
    <w:rsid w:val="007953C5"/>
    <w:rsid w:val="00796F9C"/>
    <w:rsid w:val="00797843"/>
    <w:rsid w:val="007A1E85"/>
    <w:rsid w:val="007A1F4E"/>
    <w:rsid w:val="007A2E1D"/>
    <w:rsid w:val="007A51C0"/>
    <w:rsid w:val="007A7468"/>
    <w:rsid w:val="007B1740"/>
    <w:rsid w:val="007B61B4"/>
    <w:rsid w:val="007C12BA"/>
    <w:rsid w:val="007C7B1D"/>
    <w:rsid w:val="007D2941"/>
    <w:rsid w:val="007D4318"/>
    <w:rsid w:val="007D6A6F"/>
    <w:rsid w:val="007E395D"/>
    <w:rsid w:val="007E56F0"/>
    <w:rsid w:val="007F1A37"/>
    <w:rsid w:val="007F5DFB"/>
    <w:rsid w:val="00800C40"/>
    <w:rsid w:val="00801093"/>
    <w:rsid w:val="00802CDA"/>
    <w:rsid w:val="00803705"/>
    <w:rsid w:val="00805B42"/>
    <w:rsid w:val="00806BF2"/>
    <w:rsid w:val="00807B53"/>
    <w:rsid w:val="00811637"/>
    <w:rsid w:val="00813BE4"/>
    <w:rsid w:val="00813DD5"/>
    <w:rsid w:val="00814815"/>
    <w:rsid w:val="00817035"/>
    <w:rsid w:val="00817706"/>
    <w:rsid w:val="00817A88"/>
    <w:rsid w:val="0082134C"/>
    <w:rsid w:val="00823FE9"/>
    <w:rsid w:val="0082487E"/>
    <w:rsid w:val="0082523E"/>
    <w:rsid w:val="00825EDF"/>
    <w:rsid w:val="008328F7"/>
    <w:rsid w:val="0083356D"/>
    <w:rsid w:val="0083366E"/>
    <w:rsid w:val="00833C95"/>
    <w:rsid w:val="0083492A"/>
    <w:rsid w:val="00835F79"/>
    <w:rsid w:val="00837253"/>
    <w:rsid w:val="00841ED0"/>
    <w:rsid w:val="008447BA"/>
    <w:rsid w:val="00844927"/>
    <w:rsid w:val="00845A30"/>
    <w:rsid w:val="00850E5A"/>
    <w:rsid w:val="0085122E"/>
    <w:rsid w:val="0085145A"/>
    <w:rsid w:val="00852FA8"/>
    <w:rsid w:val="008538D0"/>
    <w:rsid w:val="00854F77"/>
    <w:rsid w:val="0085521C"/>
    <w:rsid w:val="00855762"/>
    <w:rsid w:val="00855B93"/>
    <w:rsid w:val="00863CED"/>
    <w:rsid w:val="00865D27"/>
    <w:rsid w:val="008676A8"/>
    <w:rsid w:val="00867BCC"/>
    <w:rsid w:val="0087013A"/>
    <w:rsid w:val="0087173A"/>
    <w:rsid w:val="008720D0"/>
    <w:rsid w:val="008721B3"/>
    <w:rsid w:val="008735A2"/>
    <w:rsid w:val="0087514E"/>
    <w:rsid w:val="008770DF"/>
    <w:rsid w:val="008778B5"/>
    <w:rsid w:val="008811B3"/>
    <w:rsid w:val="0088155D"/>
    <w:rsid w:val="008824F5"/>
    <w:rsid w:val="00883E82"/>
    <w:rsid w:val="008848D5"/>
    <w:rsid w:val="0088633C"/>
    <w:rsid w:val="00887512"/>
    <w:rsid w:val="008906DA"/>
    <w:rsid w:val="0089267E"/>
    <w:rsid w:val="00892E50"/>
    <w:rsid w:val="008937F9"/>
    <w:rsid w:val="00895E76"/>
    <w:rsid w:val="00896B55"/>
    <w:rsid w:val="00896C7D"/>
    <w:rsid w:val="008A1EDA"/>
    <w:rsid w:val="008A2F65"/>
    <w:rsid w:val="008A3651"/>
    <w:rsid w:val="008A5447"/>
    <w:rsid w:val="008A545B"/>
    <w:rsid w:val="008A60F9"/>
    <w:rsid w:val="008A6B59"/>
    <w:rsid w:val="008A75CF"/>
    <w:rsid w:val="008B2EA5"/>
    <w:rsid w:val="008B3CF8"/>
    <w:rsid w:val="008B44EC"/>
    <w:rsid w:val="008B718A"/>
    <w:rsid w:val="008B78B6"/>
    <w:rsid w:val="008B79DA"/>
    <w:rsid w:val="008C16FB"/>
    <w:rsid w:val="008C1818"/>
    <w:rsid w:val="008C36F7"/>
    <w:rsid w:val="008D229A"/>
    <w:rsid w:val="008F067F"/>
    <w:rsid w:val="008F0EC2"/>
    <w:rsid w:val="008F15A3"/>
    <w:rsid w:val="008F1878"/>
    <w:rsid w:val="008F23D3"/>
    <w:rsid w:val="008F2426"/>
    <w:rsid w:val="008F55DB"/>
    <w:rsid w:val="008F72B6"/>
    <w:rsid w:val="009020E9"/>
    <w:rsid w:val="00903BF6"/>
    <w:rsid w:val="00904996"/>
    <w:rsid w:val="00907314"/>
    <w:rsid w:val="0090798F"/>
    <w:rsid w:val="00915205"/>
    <w:rsid w:val="00920C62"/>
    <w:rsid w:val="00924BDC"/>
    <w:rsid w:val="00924C2D"/>
    <w:rsid w:val="0092643F"/>
    <w:rsid w:val="00927729"/>
    <w:rsid w:val="00927978"/>
    <w:rsid w:val="00931B59"/>
    <w:rsid w:val="009329C0"/>
    <w:rsid w:val="009345FE"/>
    <w:rsid w:val="0093485B"/>
    <w:rsid w:val="00935ED6"/>
    <w:rsid w:val="00935F9D"/>
    <w:rsid w:val="0093666B"/>
    <w:rsid w:val="00936F11"/>
    <w:rsid w:val="009370C1"/>
    <w:rsid w:val="009401D9"/>
    <w:rsid w:val="009420FB"/>
    <w:rsid w:val="0094587D"/>
    <w:rsid w:val="009461AE"/>
    <w:rsid w:val="009462D4"/>
    <w:rsid w:val="0095001F"/>
    <w:rsid w:val="0095072B"/>
    <w:rsid w:val="009534D0"/>
    <w:rsid w:val="00955638"/>
    <w:rsid w:val="00957D73"/>
    <w:rsid w:val="00957DC7"/>
    <w:rsid w:val="0096019B"/>
    <w:rsid w:val="00960A6B"/>
    <w:rsid w:val="00962286"/>
    <w:rsid w:val="0096292A"/>
    <w:rsid w:val="009635AF"/>
    <w:rsid w:val="00965BA7"/>
    <w:rsid w:val="00970DC8"/>
    <w:rsid w:val="00975EA8"/>
    <w:rsid w:val="009808FE"/>
    <w:rsid w:val="0098523F"/>
    <w:rsid w:val="009928B3"/>
    <w:rsid w:val="00992D89"/>
    <w:rsid w:val="0099388A"/>
    <w:rsid w:val="0099451F"/>
    <w:rsid w:val="009A0BF3"/>
    <w:rsid w:val="009A3C17"/>
    <w:rsid w:val="009B233A"/>
    <w:rsid w:val="009B4C6A"/>
    <w:rsid w:val="009B7229"/>
    <w:rsid w:val="009B78E7"/>
    <w:rsid w:val="009C186B"/>
    <w:rsid w:val="009C3408"/>
    <w:rsid w:val="009C3882"/>
    <w:rsid w:val="009C44F2"/>
    <w:rsid w:val="009C6DA1"/>
    <w:rsid w:val="009D1817"/>
    <w:rsid w:val="009D23B9"/>
    <w:rsid w:val="009D3DD0"/>
    <w:rsid w:val="009D3EDD"/>
    <w:rsid w:val="009D4BA6"/>
    <w:rsid w:val="009D5F6D"/>
    <w:rsid w:val="009D674F"/>
    <w:rsid w:val="009D7B4C"/>
    <w:rsid w:val="009E0923"/>
    <w:rsid w:val="009E3228"/>
    <w:rsid w:val="009E4D25"/>
    <w:rsid w:val="009E5B07"/>
    <w:rsid w:val="009E5DDB"/>
    <w:rsid w:val="009F1A9D"/>
    <w:rsid w:val="009F4165"/>
    <w:rsid w:val="009F457E"/>
    <w:rsid w:val="009F520D"/>
    <w:rsid w:val="009F7EC9"/>
    <w:rsid w:val="00A0016F"/>
    <w:rsid w:val="00A02A95"/>
    <w:rsid w:val="00A03CA2"/>
    <w:rsid w:val="00A04B09"/>
    <w:rsid w:val="00A04E5F"/>
    <w:rsid w:val="00A0681B"/>
    <w:rsid w:val="00A12679"/>
    <w:rsid w:val="00A127B6"/>
    <w:rsid w:val="00A13C61"/>
    <w:rsid w:val="00A13ED4"/>
    <w:rsid w:val="00A145AC"/>
    <w:rsid w:val="00A23189"/>
    <w:rsid w:val="00A25754"/>
    <w:rsid w:val="00A27EAD"/>
    <w:rsid w:val="00A327F0"/>
    <w:rsid w:val="00A35A86"/>
    <w:rsid w:val="00A37F60"/>
    <w:rsid w:val="00A421CC"/>
    <w:rsid w:val="00A42BB2"/>
    <w:rsid w:val="00A45AFD"/>
    <w:rsid w:val="00A45E56"/>
    <w:rsid w:val="00A51A1F"/>
    <w:rsid w:val="00A53497"/>
    <w:rsid w:val="00A570C8"/>
    <w:rsid w:val="00A604B9"/>
    <w:rsid w:val="00A60AE6"/>
    <w:rsid w:val="00A61FA5"/>
    <w:rsid w:val="00A622E9"/>
    <w:rsid w:val="00A656A0"/>
    <w:rsid w:val="00A70185"/>
    <w:rsid w:val="00A70474"/>
    <w:rsid w:val="00A7072B"/>
    <w:rsid w:val="00A71D2B"/>
    <w:rsid w:val="00A72CAE"/>
    <w:rsid w:val="00A73834"/>
    <w:rsid w:val="00A74E35"/>
    <w:rsid w:val="00A75B3B"/>
    <w:rsid w:val="00A7655C"/>
    <w:rsid w:val="00A8050C"/>
    <w:rsid w:val="00A83DAC"/>
    <w:rsid w:val="00A84776"/>
    <w:rsid w:val="00A861A7"/>
    <w:rsid w:val="00A86AA6"/>
    <w:rsid w:val="00A900BF"/>
    <w:rsid w:val="00A91C7F"/>
    <w:rsid w:val="00A91EA0"/>
    <w:rsid w:val="00A92B92"/>
    <w:rsid w:val="00A93E7F"/>
    <w:rsid w:val="00A94FFA"/>
    <w:rsid w:val="00A9519A"/>
    <w:rsid w:val="00AA665D"/>
    <w:rsid w:val="00AA6CDC"/>
    <w:rsid w:val="00AA6F86"/>
    <w:rsid w:val="00AB0C62"/>
    <w:rsid w:val="00AB1EE7"/>
    <w:rsid w:val="00AB1F00"/>
    <w:rsid w:val="00AB6CF0"/>
    <w:rsid w:val="00AB752D"/>
    <w:rsid w:val="00AB76E1"/>
    <w:rsid w:val="00AC059F"/>
    <w:rsid w:val="00AC2116"/>
    <w:rsid w:val="00AC2801"/>
    <w:rsid w:val="00AC3B64"/>
    <w:rsid w:val="00AC3B6F"/>
    <w:rsid w:val="00AC5A39"/>
    <w:rsid w:val="00AC7287"/>
    <w:rsid w:val="00AD1C0F"/>
    <w:rsid w:val="00AD2D49"/>
    <w:rsid w:val="00AD69E0"/>
    <w:rsid w:val="00AD74B9"/>
    <w:rsid w:val="00AE6761"/>
    <w:rsid w:val="00AF0900"/>
    <w:rsid w:val="00AF28ED"/>
    <w:rsid w:val="00AF2D18"/>
    <w:rsid w:val="00AF2D24"/>
    <w:rsid w:val="00AF7FC0"/>
    <w:rsid w:val="00B001DE"/>
    <w:rsid w:val="00B01F7F"/>
    <w:rsid w:val="00B028B6"/>
    <w:rsid w:val="00B069FF"/>
    <w:rsid w:val="00B109B0"/>
    <w:rsid w:val="00B11021"/>
    <w:rsid w:val="00B1188A"/>
    <w:rsid w:val="00B12453"/>
    <w:rsid w:val="00B1406C"/>
    <w:rsid w:val="00B147B7"/>
    <w:rsid w:val="00B159B9"/>
    <w:rsid w:val="00B16BC0"/>
    <w:rsid w:val="00B17815"/>
    <w:rsid w:val="00B22983"/>
    <w:rsid w:val="00B23261"/>
    <w:rsid w:val="00B2345C"/>
    <w:rsid w:val="00B26455"/>
    <w:rsid w:val="00B2711B"/>
    <w:rsid w:val="00B27C06"/>
    <w:rsid w:val="00B30472"/>
    <w:rsid w:val="00B31646"/>
    <w:rsid w:val="00B329AF"/>
    <w:rsid w:val="00B35902"/>
    <w:rsid w:val="00B373C9"/>
    <w:rsid w:val="00B4044F"/>
    <w:rsid w:val="00B415AD"/>
    <w:rsid w:val="00B423A5"/>
    <w:rsid w:val="00B42C79"/>
    <w:rsid w:val="00B42D09"/>
    <w:rsid w:val="00B4320D"/>
    <w:rsid w:val="00B44C96"/>
    <w:rsid w:val="00B45250"/>
    <w:rsid w:val="00B4531D"/>
    <w:rsid w:val="00B4779F"/>
    <w:rsid w:val="00B503A2"/>
    <w:rsid w:val="00B5361E"/>
    <w:rsid w:val="00B5372E"/>
    <w:rsid w:val="00B5567F"/>
    <w:rsid w:val="00B57CBB"/>
    <w:rsid w:val="00B57D0B"/>
    <w:rsid w:val="00B60960"/>
    <w:rsid w:val="00B61BDB"/>
    <w:rsid w:val="00B62632"/>
    <w:rsid w:val="00B6502D"/>
    <w:rsid w:val="00B72471"/>
    <w:rsid w:val="00B72A17"/>
    <w:rsid w:val="00B75165"/>
    <w:rsid w:val="00B76F56"/>
    <w:rsid w:val="00B820B7"/>
    <w:rsid w:val="00B825EE"/>
    <w:rsid w:val="00B85D30"/>
    <w:rsid w:val="00B86CCF"/>
    <w:rsid w:val="00B878F6"/>
    <w:rsid w:val="00B87F74"/>
    <w:rsid w:val="00B90FDF"/>
    <w:rsid w:val="00B936A3"/>
    <w:rsid w:val="00BA56A8"/>
    <w:rsid w:val="00BB3079"/>
    <w:rsid w:val="00BB317D"/>
    <w:rsid w:val="00BB3D52"/>
    <w:rsid w:val="00BB492D"/>
    <w:rsid w:val="00BB69A0"/>
    <w:rsid w:val="00BB6A32"/>
    <w:rsid w:val="00BC0163"/>
    <w:rsid w:val="00BC1C0C"/>
    <w:rsid w:val="00BC2715"/>
    <w:rsid w:val="00BC6362"/>
    <w:rsid w:val="00BC6895"/>
    <w:rsid w:val="00BC7B34"/>
    <w:rsid w:val="00BC7EC3"/>
    <w:rsid w:val="00BD04C6"/>
    <w:rsid w:val="00BD2977"/>
    <w:rsid w:val="00BD4A38"/>
    <w:rsid w:val="00BD5076"/>
    <w:rsid w:val="00BD671A"/>
    <w:rsid w:val="00BE50A6"/>
    <w:rsid w:val="00BE6BFF"/>
    <w:rsid w:val="00BE7691"/>
    <w:rsid w:val="00BF287C"/>
    <w:rsid w:val="00BF2C6C"/>
    <w:rsid w:val="00BF3FB9"/>
    <w:rsid w:val="00BF72E6"/>
    <w:rsid w:val="00C00225"/>
    <w:rsid w:val="00C04D16"/>
    <w:rsid w:val="00C04DF9"/>
    <w:rsid w:val="00C050ED"/>
    <w:rsid w:val="00C10444"/>
    <w:rsid w:val="00C108FD"/>
    <w:rsid w:val="00C125B5"/>
    <w:rsid w:val="00C12BF4"/>
    <w:rsid w:val="00C14790"/>
    <w:rsid w:val="00C1488A"/>
    <w:rsid w:val="00C15709"/>
    <w:rsid w:val="00C177D3"/>
    <w:rsid w:val="00C20FD3"/>
    <w:rsid w:val="00C221C1"/>
    <w:rsid w:val="00C22215"/>
    <w:rsid w:val="00C22AAC"/>
    <w:rsid w:val="00C23D2F"/>
    <w:rsid w:val="00C27D3B"/>
    <w:rsid w:val="00C303D0"/>
    <w:rsid w:val="00C31B59"/>
    <w:rsid w:val="00C326BF"/>
    <w:rsid w:val="00C331E3"/>
    <w:rsid w:val="00C35063"/>
    <w:rsid w:val="00C4289B"/>
    <w:rsid w:val="00C441B9"/>
    <w:rsid w:val="00C44607"/>
    <w:rsid w:val="00C44678"/>
    <w:rsid w:val="00C45139"/>
    <w:rsid w:val="00C45A13"/>
    <w:rsid w:val="00C506C4"/>
    <w:rsid w:val="00C506F4"/>
    <w:rsid w:val="00C526E6"/>
    <w:rsid w:val="00C52794"/>
    <w:rsid w:val="00C536AC"/>
    <w:rsid w:val="00C563FD"/>
    <w:rsid w:val="00C61FD7"/>
    <w:rsid w:val="00C64C54"/>
    <w:rsid w:val="00C6531B"/>
    <w:rsid w:val="00C6555B"/>
    <w:rsid w:val="00C6564B"/>
    <w:rsid w:val="00C65997"/>
    <w:rsid w:val="00C66146"/>
    <w:rsid w:val="00C702F6"/>
    <w:rsid w:val="00C72996"/>
    <w:rsid w:val="00C72C4D"/>
    <w:rsid w:val="00C77FD1"/>
    <w:rsid w:val="00C82A84"/>
    <w:rsid w:val="00C82AF8"/>
    <w:rsid w:val="00C82D6E"/>
    <w:rsid w:val="00C86288"/>
    <w:rsid w:val="00C868B9"/>
    <w:rsid w:val="00C875A8"/>
    <w:rsid w:val="00C90624"/>
    <w:rsid w:val="00C912AF"/>
    <w:rsid w:val="00C931EC"/>
    <w:rsid w:val="00C96A49"/>
    <w:rsid w:val="00CA0DEB"/>
    <w:rsid w:val="00CA0DF6"/>
    <w:rsid w:val="00CA26F5"/>
    <w:rsid w:val="00CA4D8C"/>
    <w:rsid w:val="00CA5563"/>
    <w:rsid w:val="00CA6696"/>
    <w:rsid w:val="00CA71D0"/>
    <w:rsid w:val="00CB0372"/>
    <w:rsid w:val="00CB1DD1"/>
    <w:rsid w:val="00CB32D0"/>
    <w:rsid w:val="00CB47D9"/>
    <w:rsid w:val="00CB6AAD"/>
    <w:rsid w:val="00CB74F3"/>
    <w:rsid w:val="00CB797E"/>
    <w:rsid w:val="00CC076B"/>
    <w:rsid w:val="00CC173B"/>
    <w:rsid w:val="00CC3251"/>
    <w:rsid w:val="00CC5004"/>
    <w:rsid w:val="00CC597C"/>
    <w:rsid w:val="00CC6A9D"/>
    <w:rsid w:val="00CD08BE"/>
    <w:rsid w:val="00CD5B96"/>
    <w:rsid w:val="00CD7997"/>
    <w:rsid w:val="00CD7BC7"/>
    <w:rsid w:val="00CE0CA0"/>
    <w:rsid w:val="00CE19E2"/>
    <w:rsid w:val="00CE24FB"/>
    <w:rsid w:val="00CE29F4"/>
    <w:rsid w:val="00CE4527"/>
    <w:rsid w:val="00CE69E4"/>
    <w:rsid w:val="00CF160D"/>
    <w:rsid w:val="00CF1662"/>
    <w:rsid w:val="00CF1861"/>
    <w:rsid w:val="00D12167"/>
    <w:rsid w:val="00D13DAD"/>
    <w:rsid w:val="00D15F92"/>
    <w:rsid w:val="00D1664E"/>
    <w:rsid w:val="00D2270E"/>
    <w:rsid w:val="00D22F48"/>
    <w:rsid w:val="00D232E4"/>
    <w:rsid w:val="00D24CFE"/>
    <w:rsid w:val="00D2701A"/>
    <w:rsid w:val="00D34B90"/>
    <w:rsid w:val="00D37188"/>
    <w:rsid w:val="00D41978"/>
    <w:rsid w:val="00D42088"/>
    <w:rsid w:val="00D42CD3"/>
    <w:rsid w:val="00D4357B"/>
    <w:rsid w:val="00D43DBF"/>
    <w:rsid w:val="00D43DC3"/>
    <w:rsid w:val="00D45904"/>
    <w:rsid w:val="00D5111F"/>
    <w:rsid w:val="00D5175B"/>
    <w:rsid w:val="00D5245E"/>
    <w:rsid w:val="00D52FB7"/>
    <w:rsid w:val="00D553F4"/>
    <w:rsid w:val="00D55E4D"/>
    <w:rsid w:val="00D560F2"/>
    <w:rsid w:val="00D60DD8"/>
    <w:rsid w:val="00D6161D"/>
    <w:rsid w:val="00D625EC"/>
    <w:rsid w:val="00D62801"/>
    <w:rsid w:val="00D664ED"/>
    <w:rsid w:val="00D66925"/>
    <w:rsid w:val="00D67D4F"/>
    <w:rsid w:val="00D71522"/>
    <w:rsid w:val="00D744DD"/>
    <w:rsid w:val="00D803D5"/>
    <w:rsid w:val="00D8186D"/>
    <w:rsid w:val="00D81FE1"/>
    <w:rsid w:val="00D84AD7"/>
    <w:rsid w:val="00D85F02"/>
    <w:rsid w:val="00D87C25"/>
    <w:rsid w:val="00D90981"/>
    <w:rsid w:val="00D90A4D"/>
    <w:rsid w:val="00D9144D"/>
    <w:rsid w:val="00D9412E"/>
    <w:rsid w:val="00D941B4"/>
    <w:rsid w:val="00D95F05"/>
    <w:rsid w:val="00D9770F"/>
    <w:rsid w:val="00DA1825"/>
    <w:rsid w:val="00DA331F"/>
    <w:rsid w:val="00DA5F03"/>
    <w:rsid w:val="00DA60E8"/>
    <w:rsid w:val="00DA730C"/>
    <w:rsid w:val="00DB05F6"/>
    <w:rsid w:val="00DB3BC8"/>
    <w:rsid w:val="00DB4641"/>
    <w:rsid w:val="00DB5AF7"/>
    <w:rsid w:val="00DC0BB8"/>
    <w:rsid w:val="00DC3DE8"/>
    <w:rsid w:val="00DC7E04"/>
    <w:rsid w:val="00DD2D98"/>
    <w:rsid w:val="00DD3313"/>
    <w:rsid w:val="00DD3851"/>
    <w:rsid w:val="00DE3174"/>
    <w:rsid w:val="00DE34E1"/>
    <w:rsid w:val="00DE48C3"/>
    <w:rsid w:val="00DE4CE1"/>
    <w:rsid w:val="00DF1690"/>
    <w:rsid w:val="00DF2BFA"/>
    <w:rsid w:val="00DF5EA7"/>
    <w:rsid w:val="00DF7E9B"/>
    <w:rsid w:val="00E001E3"/>
    <w:rsid w:val="00E00855"/>
    <w:rsid w:val="00E03189"/>
    <w:rsid w:val="00E05464"/>
    <w:rsid w:val="00E06927"/>
    <w:rsid w:val="00E0775B"/>
    <w:rsid w:val="00E10F73"/>
    <w:rsid w:val="00E11451"/>
    <w:rsid w:val="00E12F4F"/>
    <w:rsid w:val="00E20C03"/>
    <w:rsid w:val="00E20C1F"/>
    <w:rsid w:val="00E22262"/>
    <w:rsid w:val="00E22C3E"/>
    <w:rsid w:val="00E253B9"/>
    <w:rsid w:val="00E274B1"/>
    <w:rsid w:val="00E27AC3"/>
    <w:rsid w:val="00E27B10"/>
    <w:rsid w:val="00E30148"/>
    <w:rsid w:val="00E312EA"/>
    <w:rsid w:val="00E31330"/>
    <w:rsid w:val="00E31CF3"/>
    <w:rsid w:val="00E37BD9"/>
    <w:rsid w:val="00E37DE4"/>
    <w:rsid w:val="00E41C88"/>
    <w:rsid w:val="00E42455"/>
    <w:rsid w:val="00E42A65"/>
    <w:rsid w:val="00E43A1C"/>
    <w:rsid w:val="00E44D74"/>
    <w:rsid w:val="00E46D08"/>
    <w:rsid w:val="00E46DA5"/>
    <w:rsid w:val="00E50EC3"/>
    <w:rsid w:val="00E52E0F"/>
    <w:rsid w:val="00E54815"/>
    <w:rsid w:val="00E5584E"/>
    <w:rsid w:val="00E56758"/>
    <w:rsid w:val="00E5681E"/>
    <w:rsid w:val="00E61F88"/>
    <w:rsid w:val="00E6264E"/>
    <w:rsid w:val="00E62B26"/>
    <w:rsid w:val="00E632EE"/>
    <w:rsid w:val="00E63BDB"/>
    <w:rsid w:val="00E63F38"/>
    <w:rsid w:val="00E63F4F"/>
    <w:rsid w:val="00E654A9"/>
    <w:rsid w:val="00E6554C"/>
    <w:rsid w:val="00E65E6C"/>
    <w:rsid w:val="00E66462"/>
    <w:rsid w:val="00E67BCD"/>
    <w:rsid w:val="00E70120"/>
    <w:rsid w:val="00E71684"/>
    <w:rsid w:val="00E721B9"/>
    <w:rsid w:val="00E72F3B"/>
    <w:rsid w:val="00E74AF0"/>
    <w:rsid w:val="00E75CF1"/>
    <w:rsid w:val="00E77072"/>
    <w:rsid w:val="00E809B0"/>
    <w:rsid w:val="00E81C72"/>
    <w:rsid w:val="00E83FD8"/>
    <w:rsid w:val="00E86155"/>
    <w:rsid w:val="00E94BFA"/>
    <w:rsid w:val="00E955A7"/>
    <w:rsid w:val="00EA1C0A"/>
    <w:rsid w:val="00EA31AE"/>
    <w:rsid w:val="00EB107D"/>
    <w:rsid w:val="00EB3CC7"/>
    <w:rsid w:val="00EB633D"/>
    <w:rsid w:val="00EC28C4"/>
    <w:rsid w:val="00EC30C0"/>
    <w:rsid w:val="00EC40FA"/>
    <w:rsid w:val="00EC5B7E"/>
    <w:rsid w:val="00EC671A"/>
    <w:rsid w:val="00EC714D"/>
    <w:rsid w:val="00EC7F9C"/>
    <w:rsid w:val="00ED3852"/>
    <w:rsid w:val="00ED4BA0"/>
    <w:rsid w:val="00ED5BA8"/>
    <w:rsid w:val="00ED7D67"/>
    <w:rsid w:val="00EE13C5"/>
    <w:rsid w:val="00EE277E"/>
    <w:rsid w:val="00EE35F8"/>
    <w:rsid w:val="00EE3697"/>
    <w:rsid w:val="00EE3D15"/>
    <w:rsid w:val="00EE5EBB"/>
    <w:rsid w:val="00EE78FE"/>
    <w:rsid w:val="00EF0999"/>
    <w:rsid w:val="00EF0C84"/>
    <w:rsid w:val="00EF215E"/>
    <w:rsid w:val="00EF2CEC"/>
    <w:rsid w:val="00EF6639"/>
    <w:rsid w:val="00EF6DAD"/>
    <w:rsid w:val="00F003C4"/>
    <w:rsid w:val="00F00755"/>
    <w:rsid w:val="00F00930"/>
    <w:rsid w:val="00F0361A"/>
    <w:rsid w:val="00F116CC"/>
    <w:rsid w:val="00F13FDA"/>
    <w:rsid w:val="00F16AC8"/>
    <w:rsid w:val="00F20CA2"/>
    <w:rsid w:val="00F212CF"/>
    <w:rsid w:val="00F2179B"/>
    <w:rsid w:val="00F2231C"/>
    <w:rsid w:val="00F23558"/>
    <w:rsid w:val="00F24A1C"/>
    <w:rsid w:val="00F24C3E"/>
    <w:rsid w:val="00F259C7"/>
    <w:rsid w:val="00F25A65"/>
    <w:rsid w:val="00F26E21"/>
    <w:rsid w:val="00F27724"/>
    <w:rsid w:val="00F302BD"/>
    <w:rsid w:val="00F324FD"/>
    <w:rsid w:val="00F3486B"/>
    <w:rsid w:val="00F34BCF"/>
    <w:rsid w:val="00F35804"/>
    <w:rsid w:val="00F4044B"/>
    <w:rsid w:val="00F43E66"/>
    <w:rsid w:val="00F44048"/>
    <w:rsid w:val="00F45003"/>
    <w:rsid w:val="00F45CD3"/>
    <w:rsid w:val="00F462E3"/>
    <w:rsid w:val="00F46FB6"/>
    <w:rsid w:val="00F5114C"/>
    <w:rsid w:val="00F514E4"/>
    <w:rsid w:val="00F60469"/>
    <w:rsid w:val="00F6247B"/>
    <w:rsid w:val="00F6486F"/>
    <w:rsid w:val="00F70BAD"/>
    <w:rsid w:val="00F73268"/>
    <w:rsid w:val="00F739CE"/>
    <w:rsid w:val="00F74C2B"/>
    <w:rsid w:val="00F74CD1"/>
    <w:rsid w:val="00F80208"/>
    <w:rsid w:val="00F81E21"/>
    <w:rsid w:val="00F83B23"/>
    <w:rsid w:val="00F83DFF"/>
    <w:rsid w:val="00F842ED"/>
    <w:rsid w:val="00F84EE5"/>
    <w:rsid w:val="00F873B2"/>
    <w:rsid w:val="00F87913"/>
    <w:rsid w:val="00FA18EA"/>
    <w:rsid w:val="00FA2C50"/>
    <w:rsid w:val="00FA3268"/>
    <w:rsid w:val="00FA37D7"/>
    <w:rsid w:val="00FA3F55"/>
    <w:rsid w:val="00FA65F6"/>
    <w:rsid w:val="00FA7090"/>
    <w:rsid w:val="00FA7113"/>
    <w:rsid w:val="00FB0A89"/>
    <w:rsid w:val="00FB2BBC"/>
    <w:rsid w:val="00FB3FD3"/>
    <w:rsid w:val="00FB56C7"/>
    <w:rsid w:val="00FB6131"/>
    <w:rsid w:val="00FB6FB4"/>
    <w:rsid w:val="00FB7658"/>
    <w:rsid w:val="00FC0CED"/>
    <w:rsid w:val="00FC205F"/>
    <w:rsid w:val="00FC4C9D"/>
    <w:rsid w:val="00FC6296"/>
    <w:rsid w:val="00FC66CD"/>
    <w:rsid w:val="00FC6D03"/>
    <w:rsid w:val="00FD21DF"/>
    <w:rsid w:val="00FD2BF7"/>
    <w:rsid w:val="00FD4156"/>
    <w:rsid w:val="00FD4D04"/>
    <w:rsid w:val="00FD654E"/>
    <w:rsid w:val="00FD6ED2"/>
    <w:rsid w:val="00FD737D"/>
    <w:rsid w:val="00FE0B37"/>
    <w:rsid w:val="00FE0EC9"/>
    <w:rsid w:val="00FE3D8B"/>
    <w:rsid w:val="00FE4737"/>
    <w:rsid w:val="00FE662D"/>
    <w:rsid w:val="00FF293A"/>
    <w:rsid w:val="00FF2BC3"/>
    <w:rsid w:val="00FF3CEA"/>
    <w:rsid w:val="00FF4E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5DF5C3C"/>
  <w15:docId w15:val="{8306BF01-1FAA-4444-B80E-361EE3AFF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w:hAnsi="Arial"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Number"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locked="1" w:semiHidden="1" w:unhideWhenUsed="1"/>
    <w:lsdException w:name="List Bullet 5" w:locked="1" w:semiHidden="1" w:unhideWhenUsed="1"/>
    <w:lsdException w:name="List Number 2" w:semiHidden="1" w:unhideWhenUsed="1" w:qFormat="1"/>
    <w:lsdException w:name="List Number 3"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locked="1" w:semiHidden="1" w:unhideWhenUsed="1"/>
    <w:lsdException w:name="List Continue 5" w:locked="1" w:semiHidden="1" w:unhideWhenUsed="1"/>
    <w:lsdException w:name="Message Header" w:semiHidden="1" w:unhideWhenUsed="1"/>
    <w:lsdException w:name="Subtitle" w:semiHidden="1"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semiHidden="1" w:unhideWhenUsed="1"/>
    <w:lsdException w:name="Hyperlink" w:semiHidden="1" w:uiPriority="99" w:unhideWhenUsed="1" w:qFormat="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qFormat="1"/>
    <w:lsdException w:name="No List" w:semiHidden="1" w:uiPriority="99" w:unhideWhenUsed="1"/>
    <w:lsdException w:name="Outline List 1" w:semiHidden="1" w:unhideWhenUsed="1"/>
    <w:lsdException w:name="Outline List 2"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uiPriority="34" w:qFormat="1"/>
    <w:lsdException w:name="Quote" w:semiHidden="1" w:uiPriority="29" w:qFormat="1"/>
    <w:lsdException w:name="Intense Quote" w:semiHidden="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960"/>
    <w:pPr>
      <w:suppressAutoHyphens/>
      <w:spacing w:before="120"/>
    </w:pPr>
    <w:rPr>
      <w:lang w:val="en-GB"/>
    </w:rPr>
  </w:style>
  <w:style w:type="paragraph" w:styleId="Heading1">
    <w:name w:val="heading 1"/>
    <w:next w:val="Normal"/>
    <w:autoRedefine/>
    <w:qFormat/>
    <w:rsid w:val="008937F9"/>
    <w:pPr>
      <w:keepNext/>
      <w:pageBreakBefore/>
      <w:numPr>
        <w:numId w:val="17"/>
      </w:numPr>
      <w:spacing w:before="240"/>
      <w:ind w:left="1008" w:hanging="1008"/>
      <w:outlineLvl w:val="0"/>
    </w:pPr>
    <w:rPr>
      <w:b/>
      <w:kern w:val="28"/>
      <w:sz w:val="40"/>
      <w:lang w:val="en-GB"/>
    </w:rPr>
  </w:style>
  <w:style w:type="paragraph" w:styleId="Heading2">
    <w:name w:val="heading 2"/>
    <w:basedOn w:val="Heading1"/>
    <w:next w:val="Normal"/>
    <w:qFormat/>
    <w:rsid w:val="003355DB"/>
    <w:pPr>
      <w:pageBreakBefore w:val="0"/>
      <w:numPr>
        <w:ilvl w:val="1"/>
      </w:numPr>
      <w:tabs>
        <w:tab w:val="num" w:pos="1134"/>
      </w:tabs>
      <w:spacing w:after="60"/>
      <w:ind w:left="1008" w:hanging="1008"/>
      <w:outlineLvl w:val="1"/>
    </w:pPr>
    <w:rPr>
      <w:sz w:val="34"/>
    </w:rPr>
  </w:style>
  <w:style w:type="paragraph" w:styleId="Heading3">
    <w:name w:val="heading 3"/>
    <w:basedOn w:val="Heading2"/>
    <w:next w:val="Normal"/>
    <w:qFormat/>
    <w:rsid w:val="00E44D74"/>
    <w:pPr>
      <w:numPr>
        <w:ilvl w:val="2"/>
      </w:numPr>
      <w:spacing w:before="160"/>
      <w:ind w:left="1008" w:hanging="1008"/>
      <w:outlineLvl w:val="2"/>
    </w:pPr>
    <w:rPr>
      <w:sz w:val="28"/>
    </w:rPr>
  </w:style>
  <w:style w:type="paragraph" w:styleId="Heading4">
    <w:name w:val="heading 4"/>
    <w:basedOn w:val="Heading3"/>
    <w:next w:val="Normal"/>
    <w:qFormat/>
    <w:rsid w:val="00214D55"/>
    <w:pPr>
      <w:numPr>
        <w:ilvl w:val="3"/>
      </w:numPr>
      <w:spacing w:after="120"/>
      <w:ind w:left="1152" w:hanging="1152"/>
      <w:outlineLvl w:val="3"/>
    </w:pPr>
    <w:rPr>
      <w:sz w:val="24"/>
    </w:rPr>
  </w:style>
  <w:style w:type="paragraph" w:styleId="Heading5">
    <w:name w:val="heading 5"/>
    <w:aliases w:val="Heading 5 DO NOT USE"/>
    <w:basedOn w:val="Normal"/>
    <w:next w:val="Normal"/>
    <w:qFormat/>
    <w:rsid w:val="00A327F0"/>
    <w:pPr>
      <w:numPr>
        <w:ilvl w:val="4"/>
        <w:numId w:val="17"/>
      </w:numPr>
      <w:spacing w:before="240" w:after="60"/>
      <w:outlineLvl w:val="4"/>
    </w:pPr>
    <w:rPr>
      <w:sz w:val="22"/>
    </w:rPr>
  </w:style>
  <w:style w:type="paragraph" w:styleId="Heading6">
    <w:name w:val="heading 6"/>
    <w:aliases w:val="Heading 6 DO NOT USE"/>
    <w:basedOn w:val="Normal"/>
    <w:next w:val="Normal"/>
    <w:qFormat/>
    <w:rsid w:val="00A327F0"/>
    <w:pPr>
      <w:numPr>
        <w:ilvl w:val="5"/>
        <w:numId w:val="17"/>
      </w:numPr>
      <w:spacing w:before="240" w:after="60"/>
      <w:outlineLvl w:val="5"/>
    </w:pPr>
    <w:rPr>
      <w:i/>
      <w:sz w:val="22"/>
    </w:rPr>
  </w:style>
  <w:style w:type="paragraph" w:styleId="Heading7">
    <w:name w:val="heading 7"/>
    <w:aliases w:val="Heading 7 DO NOT USE"/>
    <w:basedOn w:val="Normal"/>
    <w:next w:val="Normal"/>
    <w:qFormat/>
    <w:rsid w:val="00A327F0"/>
    <w:pPr>
      <w:keepNext/>
      <w:numPr>
        <w:ilvl w:val="6"/>
        <w:numId w:val="17"/>
      </w:numPr>
      <w:spacing w:before="240" w:after="240"/>
      <w:outlineLvl w:val="6"/>
    </w:pPr>
    <w:rPr>
      <w:b/>
      <w:sz w:val="40"/>
    </w:rPr>
  </w:style>
  <w:style w:type="paragraph" w:styleId="Heading8">
    <w:name w:val="heading 8"/>
    <w:aliases w:val="Heading 8 DO NOT USE"/>
    <w:basedOn w:val="Normal"/>
    <w:next w:val="Normal"/>
    <w:qFormat/>
    <w:rsid w:val="00A327F0"/>
    <w:pPr>
      <w:keepNext/>
      <w:numPr>
        <w:ilvl w:val="7"/>
        <w:numId w:val="17"/>
      </w:numPr>
      <w:spacing w:before="240" w:after="60"/>
      <w:outlineLvl w:val="7"/>
    </w:pPr>
    <w:rPr>
      <w:b/>
      <w:sz w:val="36"/>
    </w:rPr>
  </w:style>
  <w:style w:type="paragraph" w:styleId="Heading9">
    <w:name w:val="heading 9"/>
    <w:aliases w:val="Heading 9 DO NOT USE"/>
    <w:basedOn w:val="Normal"/>
    <w:next w:val="Normal"/>
    <w:qFormat/>
    <w:rsid w:val="00A327F0"/>
    <w:pPr>
      <w:numPr>
        <w:ilvl w:val="8"/>
        <w:numId w:val="17"/>
      </w:numPr>
      <w:spacing w:before="240"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ProductName"/>
    <w:rsid w:val="001C280A"/>
    <w:pPr>
      <w:spacing w:before="1080"/>
    </w:pPr>
    <w:rPr>
      <w:sz w:val="48"/>
    </w:rPr>
  </w:style>
  <w:style w:type="paragraph" w:customStyle="1" w:styleId="ProductName">
    <w:name w:val="Product Name"/>
    <w:basedOn w:val="Normal"/>
    <w:next w:val="SWIFTNetversion"/>
    <w:unhideWhenUsed/>
    <w:rsid w:val="001C280A"/>
    <w:pPr>
      <w:spacing w:before="1880"/>
    </w:pPr>
    <w:rPr>
      <w:rFonts w:eastAsia="Times New Roman"/>
      <w:sz w:val="40"/>
      <w:szCs w:val="48"/>
    </w:rPr>
  </w:style>
  <w:style w:type="paragraph" w:customStyle="1" w:styleId="SWIFTNetversion">
    <w:name w:val="SWIFTNet version"/>
    <w:basedOn w:val="Normal"/>
    <w:next w:val="DocumentTitle"/>
    <w:unhideWhenUsed/>
    <w:rsid w:val="001C280A"/>
    <w:pPr>
      <w:spacing w:before="300"/>
    </w:pPr>
    <w:rPr>
      <w:rFonts w:eastAsia="Times New Roman"/>
      <w:sz w:val="28"/>
    </w:rPr>
  </w:style>
  <w:style w:type="paragraph" w:styleId="TOC1">
    <w:name w:val="toc 1"/>
    <w:basedOn w:val="Normal"/>
    <w:next w:val="TOC2"/>
    <w:uiPriority w:val="39"/>
    <w:rsid w:val="001C280A"/>
    <w:pPr>
      <w:tabs>
        <w:tab w:val="left" w:pos="567"/>
        <w:tab w:val="right" w:leader="dot" w:pos="9242"/>
      </w:tabs>
      <w:spacing w:after="60"/>
      <w:ind w:left="567" w:hanging="567"/>
    </w:pPr>
    <w:rPr>
      <w:b/>
      <w:noProof/>
      <w:sz w:val="21"/>
    </w:rPr>
  </w:style>
  <w:style w:type="paragraph" w:styleId="TOC2">
    <w:name w:val="toc 2"/>
    <w:basedOn w:val="TOC1"/>
    <w:uiPriority w:val="39"/>
    <w:rsid w:val="001C280A"/>
    <w:pPr>
      <w:tabs>
        <w:tab w:val="left" w:pos="1134"/>
      </w:tabs>
      <w:spacing w:before="0" w:after="40"/>
      <w:ind w:left="1134"/>
    </w:pPr>
    <w:rPr>
      <w:b w:val="0"/>
      <w:snapToGrid w:val="0"/>
      <w:sz w:val="20"/>
    </w:rPr>
  </w:style>
  <w:style w:type="paragraph" w:styleId="TOC3">
    <w:name w:val="toc 3"/>
    <w:basedOn w:val="Normal"/>
    <w:next w:val="Normal"/>
    <w:uiPriority w:val="39"/>
    <w:qFormat/>
    <w:rsid w:val="00927978"/>
    <w:pPr>
      <w:tabs>
        <w:tab w:val="left" w:pos="1701"/>
        <w:tab w:val="right" w:leader="dot" w:pos="9242"/>
      </w:tabs>
      <w:spacing w:before="20" w:after="20"/>
      <w:ind w:left="1700" w:hanging="562"/>
    </w:pPr>
    <w:rPr>
      <w:noProof/>
    </w:rPr>
  </w:style>
  <w:style w:type="paragraph" w:styleId="TOC4">
    <w:name w:val="toc 4"/>
    <w:basedOn w:val="Normal"/>
    <w:next w:val="Normal"/>
    <w:autoRedefine/>
    <w:uiPriority w:val="39"/>
    <w:rsid w:val="00927978"/>
    <w:pPr>
      <w:tabs>
        <w:tab w:val="left" w:pos="2552"/>
        <w:tab w:val="right" w:leader="dot" w:pos="9243"/>
      </w:tabs>
      <w:spacing w:before="60" w:after="60"/>
      <w:ind w:left="2552" w:hanging="851"/>
    </w:pPr>
    <w:rPr>
      <w:noProof/>
    </w:rPr>
  </w:style>
  <w:style w:type="paragraph" w:customStyle="1" w:styleId="IntroHeading">
    <w:name w:val="Intro Heading"/>
    <w:basedOn w:val="Heading"/>
    <w:next w:val="Normal"/>
    <w:rsid w:val="0092643F"/>
    <w:pPr>
      <w:spacing w:before="480"/>
    </w:pPr>
    <w:rPr>
      <w:sz w:val="36"/>
    </w:rPr>
  </w:style>
  <w:style w:type="paragraph" w:customStyle="1" w:styleId="Heading">
    <w:name w:val="Heading"/>
    <w:basedOn w:val="Heading1"/>
    <w:rsid w:val="00C45139"/>
    <w:pPr>
      <w:numPr>
        <w:numId w:val="0"/>
      </w:numPr>
      <w:spacing w:after="120"/>
    </w:pPr>
  </w:style>
  <w:style w:type="paragraph" w:customStyle="1" w:styleId="Warning">
    <w:name w:val="Warning"/>
    <w:basedOn w:val="Note"/>
    <w:next w:val="Normal"/>
    <w:qFormat/>
    <w:rsid w:val="001C280A"/>
    <w:pPr>
      <w:numPr>
        <w:numId w:val="2"/>
      </w:numPr>
    </w:pPr>
    <w:rPr>
      <w:snapToGrid w:val="0"/>
    </w:rPr>
  </w:style>
  <w:style w:type="paragraph" w:customStyle="1" w:styleId="Note">
    <w:name w:val="Note"/>
    <w:basedOn w:val="Normal"/>
    <w:next w:val="Normal"/>
    <w:qFormat/>
    <w:rsid w:val="003D1038"/>
    <w:pPr>
      <w:keepLines/>
      <w:numPr>
        <w:numId w:val="13"/>
      </w:numPr>
      <w:pBdr>
        <w:top w:val="single" w:sz="2" w:space="4" w:color="333333"/>
        <w:bottom w:val="single" w:sz="2" w:space="4" w:color="333333"/>
      </w:pBdr>
      <w:spacing w:before="240" w:after="240"/>
      <w:ind w:left="1872" w:hanging="965"/>
    </w:pPr>
  </w:style>
  <w:style w:type="paragraph" w:customStyle="1" w:styleId="TableText">
    <w:name w:val="Table Text"/>
    <w:basedOn w:val="Normal"/>
    <w:qFormat/>
    <w:rsid w:val="00AF2D18"/>
    <w:pPr>
      <w:spacing w:before="40" w:after="40"/>
    </w:pPr>
    <w:rPr>
      <w:iCs/>
      <w:sz w:val="19"/>
    </w:rPr>
  </w:style>
  <w:style w:type="paragraph" w:customStyle="1" w:styleId="BlockLabel">
    <w:name w:val="Block Label"/>
    <w:basedOn w:val="Normal"/>
    <w:next w:val="Normal"/>
    <w:qFormat/>
    <w:rsid w:val="00C82A84"/>
    <w:pPr>
      <w:keepNext/>
      <w:spacing w:before="160"/>
    </w:pPr>
    <w:rPr>
      <w:b/>
      <w:snapToGrid w:val="0"/>
    </w:rPr>
  </w:style>
  <w:style w:type="paragraph" w:styleId="ListContinue2">
    <w:name w:val="List Continue 2"/>
    <w:basedOn w:val="ListContinue"/>
    <w:next w:val="ListNumber"/>
    <w:qFormat/>
    <w:rsid w:val="004C2603"/>
    <w:pPr>
      <w:ind w:left="1134"/>
    </w:pPr>
  </w:style>
  <w:style w:type="paragraph" w:styleId="ListContinue">
    <w:name w:val="List Continue"/>
    <w:basedOn w:val="Normal"/>
    <w:qFormat/>
    <w:rsid w:val="004C2603"/>
    <w:pPr>
      <w:spacing w:before="40" w:after="60"/>
      <w:ind w:left="567"/>
    </w:pPr>
  </w:style>
  <w:style w:type="paragraph" w:styleId="ListNumber">
    <w:name w:val="List Number"/>
    <w:basedOn w:val="Normal"/>
    <w:qFormat/>
    <w:rsid w:val="00C66146"/>
    <w:pPr>
      <w:numPr>
        <w:numId w:val="10"/>
      </w:numPr>
      <w:spacing w:after="60"/>
      <w:ind w:left="567"/>
    </w:pPr>
  </w:style>
  <w:style w:type="paragraph" w:styleId="ListNumber2">
    <w:name w:val="List Number 2"/>
    <w:basedOn w:val="Normal"/>
    <w:qFormat/>
    <w:rsid w:val="00C66146"/>
    <w:pPr>
      <w:numPr>
        <w:numId w:val="15"/>
      </w:numPr>
      <w:spacing w:before="0" w:after="60"/>
      <w:ind w:left="1134" w:hanging="425"/>
    </w:pPr>
  </w:style>
  <w:style w:type="paragraph" w:customStyle="1" w:styleId="Append1">
    <w:name w:val="Append 1"/>
    <w:basedOn w:val="Heading2"/>
    <w:next w:val="Normal"/>
    <w:qFormat/>
    <w:rsid w:val="003D7590"/>
    <w:pPr>
      <w:keepLines/>
      <w:numPr>
        <w:numId w:val="14"/>
      </w:numPr>
    </w:pPr>
    <w:rPr>
      <w:rFonts w:eastAsia="Times New Roman"/>
      <w:color w:val="000000"/>
      <w:kern w:val="0"/>
    </w:rPr>
  </w:style>
  <w:style w:type="paragraph" w:customStyle="1" w:styleId="Label">
    <w:name w:val="Label"/>
    <w:basedOn w:val="BlockLabel"/>
    <w:next w:val="Normal"/>
    <w:rsid w:val="001C280A"/>
    <w:pPr>
      <w:spacing w:after="60"/>
      <w:ind w:left="1134"/>
    </w:pPr>
    <w:rPr>
      <w:sz w:val="19"/>
    </w:rPr>
  </w:style>
  <w:style w:type="paragraph" w:styleId="TOCHeading">
    <w:name w:val="TOC Heading"/>
    <w:basedOn w:val="IntroHeading"/>
    <w:next w:val="Normal"/>
    <w:uiPriority w:val="39"/>
    <w:qFormat/>
    <w:rsid w:val="001C280A"/>
    <w:pPr>
      <w:outlineLvl w:val="9"/>
    </w:pPr>
  </w:style>
  <w:style w:type="paragraph" w:customStyle="1" w:styleId="TableBullet">
    <w:name w:val="Table Bullet"/>
    <w:basedOn w:val="TableText"/>
    <w:qFormat/>
    <w:rsid w:val="001C280A"/>
    <w:pPr>
      <w:numPr>
        <w:numId w:val="3"/>
      </w:numPr>
    </w:pPr>
  </w:style>
  <w:style w:type="paragraph" w:customStyle="1" w:styleId="TableHeading">
    <w:name w:val="Table Heading"/>
    <w:basedOn w:val="TableText"/>
    <w:next w:val="TableText"/>
    <w:qFormat/>
    <w:rsid w:val="00AF2D18"/>
    <w:pPr>
      <w:spacing w:before="60" w:after="60"/>
    </w:pPr>
    <w:rPr>
      <w:b/>
      <w:iCs w:val="0"/>
      <w:snapToGrid w:val="0"/>
      <w:kern w:val="28"/>
      <w:lang w:eastAsia="en-GB"/>
    </w:rPr>
  </w:style>
  <w:style w:type="paragraph" w:customStyle="1" w:styleId="Headerodd">
    <w:name w:val="Header odd"/>
    <w:next w:val="Headereven"/>
    <w:rsid w:val="00E721B9"/>
    <w:pPr>
      <w:tabs>
        <w:tab w:val="right" w:pos="9242"/>
      </w:tabs>
      <w:spacing w:after="40"/>
    </w:pPr>
    <w:rPr>
      <w:rFonts w:eastAsia="Times New Roman"/>
      <w:sz w:val="16"/>
      <w:lang w:val="en-GB"/>
    </w:rPr>
  </w:style>
  <w:style w:type="paragraph" w:customStyle="1" w:styleId="Headereven">
    <w:name w:val="Header even"/>
    <w:next w:val="Headerodd"/>
    <w:rsid w:val="00C96A49"/>
    <w:pPr>
      <w:tabs>
        <w:tab w:val="right" w:pos="9242"/>
      </w:tabs>
      <w:spacing w:after="40"/>
    </w:pPr>
    <w:rPr>
      <w:rFonts w:eastAsia="Times New Roman"/>
      <w:sz w:val="16"/>
      <w:lang w:val="en-GB"/>
    </w:rPr>
  </w:style>
  <w:style w:type="character" w:customStyle="1" w:styleId="Syntax">
    <w:name w:val="Syntax"/>
    <w:basedOn w:val="DefaultParagraphFont"/>
    <w:qFormat/>
    <w:rsid w:val="00641B04"/>
    <w:rPr>
      <w:rFonts w:ascii="Courier New" w:hAnsi="Courier New"/>
      <w:sz w:val="18"/>
    </w:rPr>
  </w:style>
  <w:style w:type="paragraph" w:customStyle="1" w:styleId="Tip">
    <w:name w:val="Tip"/>
    <w:basedOn w:val="Note"/>
    <w:next w:val="Normal"/>
    <w:qFormat/>
    <w:rsid w:val="001C280A"/>
    <w:pPr>
      <w:numPr>
        <w:numId w:val="1"/>
      </w:numPr>
    </w:pPr>
  </w:style>
  <w:style w:type="paragraph" w:customStyle="1" w:styleId="TableNumber">
    <w:name w:val="Table Number"/>
    <w:basedOn w:val="TableText"/>
    <w:qFormat/>
    <w:rsid w:val="001C280A"/>
    <w:pPr>
      <w:numPr>
        <w:numId w:val="4"/>
      </w:numPr>
    </w:pPr>
  </w:style>
  <w:style w:type="paragraph" w:customStyle="1" w:styleId="Append2">
    <w:name w:val="Append 2"/>
    <w:basedOn w:val="Heading3"/>
    <w:next w:val="Normal"/>
    <w:qFormat/>
    <w:rsid w:val="003D7590"/>
    <w:pPr>
      <w:keepLines/>
      <w:numPr>
        <w:numId w:val="14"/>
      </w:numPr>
    </w:pPr>
    <w:rPr>
      <w:rFonts w:eastAsia="Times New Roman"/>
      <w:color w:val="000000"/>
      <w:kern w:val="0"/>
    </w:rPr>
  </w:style>
  <w:style w:type="paragraph" w:customStyle="1" w:styleId="Append3">
    <w:name w:val="Append 3"/>
    <w:basedOn w:val="Heading4"/>
    <w:next w:val="Normal"/>
    <w:qFormat/>
    <w:rsid w:val="003D7590"/>
    <w:pPr>
      <w:keepLines/>
      <w:numPr>
        <w:ilvl w:val="0"/>
        <w:numId w:val="0"/>
      </w:numPr>
    </w:pPr>
    <w:rPr>
      <w:rFonts w:eastAsia="Times New Roman"/>
      <w:color w:val="000000"/>
    </w:rPr>
  </w:style>
  <w:style w:type="character" w:customStyle="1" w:styleId="ListBulletChar">
    <w:name w:val="List Bullet Char"/>
    <w:basedOn w:val="DefaultParagraphFont"/>
    <w:link w:val="ListBullet"/>
    <w:uiPriority w:val="99"/>
    <w:rsid w:val="000408B1"/>
    <w:rPr>
      <w:kern w:val="28"/>
      <w:lang w:val="en-GB"/>
    </w:rPr>
  </w:style>
  <w:style w:type="paragraph" w:styleId="ListBullet">
    <w:name w:val="List Bullet"/>
    <w:basedOn w:val="Normal"/>
    <w:next w:val="Normal"/>
    <w:link w:val="ListBulletChar"/>
    <w:uiPriority w:val="99"/>
    <w:qFormat/>
    <w:rsid w:val="000408B1"/>
    <w:pPr>
      <w:numPr>
        <w:numId w:val="5"/>
      </w:numPr>
      <w:spacing w:before="60" w:after="60"/>
      <w:ind w:left="576" w:hanging="432"/>
    </w:pPr>
    <w:rPr>
      <w:kern w:val="28"/>
    </w:rPr>
  </w:style>
  <w:style w:type="paragraph" w:customStyle="1" w:styleId="Releasedate">
    <w:name w:val="Release date"/>
    <w:basedOn w:val="DocumentTitle"/>
    <w:rsid w:val="001C280A"/>
    <w:pPr>
      <w:spacing w:before="1320" w:after="120"/>
    </w:pPr>
    <w:rPr>
      <w:sz w:val="20"/>
      <w:szCs w:val="32"/>
    </w:rPr>
  </w:style>
  <w:style w:type="character" w:customStyle="1" w:styleId="Italic">
    <w:name w:val="Italic"/>
    <w:basedOn w:val="DefaultParagraphFont"/>
    <w:qFormat/>
    <w:rsid w:val="001C280A"/>
    <w:rPr>
      <w:i/>
    </w:rPr>
  </w:style>
  <w:style w:type="paragraph" w:customStyle="1" w:styleId="ProductFamily">
    <w:name w:val="Product Family"/>
    <w:basedOn w:val="Normal"/>
    <w:next w:val="ProductName"/>
    <w:unhideWhenUsed/>
    <w:rsid w:val="001C280A"/>
    <w:pPr>
      <w:spacing w:before="1000"/>
    </w:pPr>
    <w:rPr>
      <w:rFonts w:eastAsia="Times New Roman"/>
      <w:sz w:val="32"/>
      <w:szCs w:val="32"/>
    </w:rPr>
  </w:style>
  <w:style w:type="paragraph" w:customStyle="1" w:styleId="Productvariant">
    <w:name w:val="Product variant"/>
    <w:basedOn w:val="Normal"/>
    <w:unhideWhenUsed/>
    <w:rsid w:val="001C280A"/>
    <w:pPr>
      <w:spacing w:before="240"/>
    </w:pPr>
    <w:rPr>
      <w:sz w:val="28"/>
    </w:rPr>
  </w:style>
  <w:style w:type="character" w:customStyle="1" w:styleId="Bold">
    <w:name w:val="Bold"/>
    <w:basedOn w:val="DefaultParagraphFont"/>
    <w:qFormat/>
    <w:rsid w:val="001C280A"/>
    <w:rPr>
      <w:b/>
    </w:rPr>
  </w:style>
  <w:style w:type="paragraph" w:customStyle="1" w:styleId="DocumentSubtitle">
    <w:name w:val="Document Subtitle"/>
    <w:basedOn w:val="DocumentTitle"/>
    <w:rsid w:val="001C280A"/>
    <w:pPr>
      <w:spacing w:before="240" w:after="120"/>
    </w:pPr>
    <w:rPr>
      <w:sz w:val="32"/>
    </w:rPr>
  </w:style>
  <w:style w:type="paragraph" w:customStyle="1" w:styleId="Titlepagetext">
    <w:name w:val="Title page text"/>
    <w:basedOn w:val="Normal"/>
    <w:semiHidden/>
    <w:rsid w:val="001C280A"/>
    <w:rPr>
      <w:sz w:val="18"/>
    </w:rPr>
  </w:style>
  <w:style w:type="character" w:customStyle="1" w:styleId="Metadata">
    <w:name w:val="Metadata"/>
    <w:basedOn w:val="DefaultParagraphFont"/>
    <w:rsid w:val="001C280A"/>
    <w:rPr>
      <w:rFonts w:ascii="Arial" w:hAnsi="Arial"/>
      <w:noProof w:val="0"/>
      <w:color w:val="008000"/>
      <w:sz w:val="18"/>
      <w:lang w:val="en-GB"/>
    </w:rPr>
  </w:style>
  <w:style w:type="character" w:customStyle="1" w:styleId="Bookconfidentiality">
    <w:name w:val="Book_confidentiality"/>
    <w:basedOn w:val="Metadata"/>
    <w:unhideWhenUsed/>
    <w:rsid w:val="001C280A"/>
    <w:rPr>
      <w:rFonts w:ascii="Arial" w:hAnsi="Arial"/>
      <w:noProof w:val="0"/>
      <w:color w:val="008000"/>
      <w:sz w:val="28"/>
      <w:lang w:val="en-GB"/>
    </w:rPr>
  </w:style>
  <w:style w:type="character" w:customStyle="1" w:styleId="Revisionstatus">
    <w:name w:val="Revision_status"/>
    <w:basedOn w:val="Metadata"/>
    <w:rsid w:val="001C280A"/>
    <w:rPr>
      <w:rFonts w:ascii="Arial" w:hAnsi="Arial"/>
      <w:noProof w:val="0"/>
      <w:color w:val="008000"/>
      <w:sz w:val="28"/>
      <w:lang w:val="en-GB"/>
    </w:rPr>
  </w:style>
  <w:style w:type="paragraph" w:styleId="Header">
    <w:name w:val="header"/>
    <w:basedOn w:val="Normal"/>
    <w:rsid w:val="001C280A"/>
    <w:pPr>
      <w:tabs>
        <w:tab w:val="center" w:pos="4320"/>
        <w:tab w:val="right" w:pos="8640"/>
      </w:tabs>
    </w:pPr>
  </w:style>
  <w:style w:type="paragraph" w:customStyle="1" w:styleId="BeforeList">
    <w:name w:val="Before List"/>
    <w:basedOn w:val="Normal"/>
    <w:next w:val="ListBullet"/>
    <w:qFormat/>
    <w:rsid w:val="006C1D42"/>
    <w:pPr>
      <w:keepNext/>
      <w:spacing w:after="60"/>
    </w:pPr>
    <w:rPr>
      <w:kern w:val="28"/>
    </w:rPr>
  </w:style>
  <w:style w:type="paragraph" w:styleId="TOC9">
    <w:name w:val="toc 9"/>
    <w:basedOn w:val="Normal"/>
    <w:next w:val="Normal"/>
    <w:autoRedefine/>
    <w:uiPriority w:val="39"/>
    <w:rsid w:val="00647DBD"/>
    <w:pPr>
      <w:ind w:left="1520"/>
    </w:pPr>
  </w:style>
  <w:style w:type="paragraph" w:styleId="Footer">
    <w:name w:val="footer"/>
    <w:basedOn w:val="Normal"/>
    <w:rsid w:val="001C280A"/>
    <w:pPr>
      <w:tabs>
        <w:tab w:val="center" w:pos="4320"/>
        <w:tab w:val="right" w:pos="8640"/>
      </w:tabs>
    </w:pPr>
  </w:style>
  <w:style w:type="paragraph" w:customStyle="1" w:styleId="Footerodd">
    <w:name w:val="Footer odd"/>
    <w:next w:val="Footereven"/>
    <w:rsid w:val="00E721B9"/>
    <w:pPr>
      <w:tabs>
        <w:tab w:val="right" w:pos="9242"/>
      </w:tabs>
      <w:spacing w:after="40"/>
    </w:pPr>
    <w:rPr>
      <w:rFonts w:eastAsia="Times New Roman"/>
      <w:sz w:val="16"/>
      <w:lang w:val="en-GB"/>
    </w:rPr>
  </w:style>
  <w:style w:type="paragraph" w:customStyle="1" w:styleId="Footereven">
    <w:name w:val="Footer even"/>
    <w:next w:val="Footerodd"/>
    <w:rsid w:val="00617B2D"/>
    <w:pPr>
      <w:tabs>
        <w:tab w:val="right" w:pos="9242"/>
      </w:tabs>
      <w:spacing w:after="40"/>
    </w:pPr>
    <w:rPr>
      <w:rFonts w:eastAsia="Times New Roman"/>
      <w:sz w:val="16"/>
      <w:lang w:val="en-GB"/>
    </w:rPr>
  </w:style>
  <w:style w:type="paragraph" w:customStyle="1" w:styleId="Append">
    <w:name w:val="Append"/>
    <w:basedOn w:val="Heading"/>
    <w:next w:val="Normal"/>
    <w:qFormat/>
    <w:rsid w:val="003D7590"/>
    <w:pPr>
      <w:keepLines/>
      <w:numPr>
        <w:numId w:val="14"/>
      </w:numPr>
    </w:pPr>
    <w:rPr>
      <w:rFonts w:eastAsia="Times New Roman"/>
      <w:color w:val="000000"/>
      <w:sz w:val="36"/>
    </w:rPr>
  </w:style>
  <w:style w:type="paragraph" w:customStyle="1" w:styleId="Footerevenlandscape">
    <w:name w:val="Footer even landscape"/>
    <w:next w:val="Normal"/>
    <w:rsid w:val="00CA0DF6"/>
    <w:pPr>
      <w:tabs>
        <w:tab w:val="right" w:pos="13608"/>
      </w:tabs>
      <w:spacing w:after="40"/>
    </w:pPr>
    <w:rPr>
      <w:sz w:val="16"/>
      <w:lang w:val="en-GB"/>
    </w:rPr>
  </w:style>
  <w:style w:type="paragraph" w:customStyle="1" w:styleId="Footeroddlandscape">
    <w:name w:val="Footer odd landscape"/>
    <w:rsid w:val="00CA0DF6"/>
    <w:pPr>
      <w:tabs>
        <w:tab w:val="right" w:pos="13608"/>
      </w:tabs>
      <w:spacing w:after="40"/>
    </w:pPr>
    <w:rPr>
      <w:sz w:val="16"/>
      <w:lang w:val="en-GB"/>
    </w:rPr>
  </w:style>
  <w:style w:type="paragraph" w:customStyle="1" w:styleId="Headerevenlandscape">
    <w:name w:val="Header even landscape"/>
    <w:next w:val="Normal"/>
    <w:rsid w:val="00CA0DF6"/>
    <w:pPr>
      <w:tabs>
        <w:tab w:val="right" w:pos="13608"/>
      </w:tabs>
      <w:spacing w:after="40"/>
    </w:pPr>
    <w:rPr>
      <w:rFonts w:eastAsia="Times New Roman"/>
      <w:sz w:val="16"/>
      <w:lang w:val="en-GB"/>
    </w:rPr>
  </w:style>
  <w:style w:type="paragraph" w:styleId="ListBullet2">
    <w:name w:val="List Bullet 2"/>
    <w:basedOn w:val="Normal"/>
    <w:qFormat/>
    <w:rsid w:val="004C2603"/>
    <w:pPr>
      <w:numPr>
        <w:numId w:val="6"/>
      </w:numPr>
      <w:spacing w:before="0" w:after="60"/>
      <w:ind w:left="1134" w:hanging="425"/>
    </w:pPr>
  </w:style>
  <w:style w:type="paragraph" w:styleId="NormalWeb">
    <w:name w:val="Normal (Web)"/>
    <w:basedOn w:val="Normal"/>
    <w:uiPriority w:val="99"/>
    <w:rsid w:val="001C280A"/>
    <w:rPr>
      <w:rFonts w:ascii="Times New Roman" w:hAnsi="Times New Roman"/>
      <w:sz w:val="24"/>
      <w:szCs w:val="24"/>
    </w:rPr>
  </w:style>
  <w:style w:type="paragraph" w:styleId="NormalIndent">
    <w:name w:val="Normal Indent"/>
    <w:basedOn w:val="Normal"/>
    <w:rsid w:val="001C280A"/>
    <w:pPr>
      <w:ind w:left="720"/>
    </w:pPr>
  </w:style>
  <w:style w:type="character" w:styleId="PageNumber">
    <w:name w:val="page number"/>
    <w:basedOn w:val="DefaultParagraphFont"/>
    <w:rsid w:val="001C280A"/>
  </w:style>
  <w:style w:type="paragraph" w:styleId="PlainText">
    <w:name w:val="Plain Text"/>
    <w:basedOn w:val="Normal"/>
    <w:rsid w:val="001C280A"/>
    <w:rPr>
      <w:rFonts w:ascii="Courier New" w:hAnsi="Courier New" w:cs="Courier New"/>
    </w:rPr>
  </w:style>
  <w:style w:type="table" w:styleId="TableClassic1">
    <w:name w:val="Table Classic 1"/>
    <w:basedOn w:val="TableNormal"/>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C280A"/>
    <w:pPr>
      <w:suppressAutoHyphens/>
      <w:spacing w:before="120" w:after="120"/>
      <w:ind w:left="85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C280A"/>
    <w:pPr>
      <w:suppressAutoHyphens/>
      <w:spacing w:before="120" w:after="120"/>
      <w:ind w:left="85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C280A"/>
    <w:pPr>
      <w:suppressAutoHyphens/>
      <w:spacing w:before="120" w:after="120"/>
      <w:ind w:left="85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C280A"/>
    <w:pPr>
      <w:suppressAutoHyphens/>
      <w:spacing w:before="120" w:after="120"/>
      <w:ind w:left="85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C280A"/>
    <w:pPr>
      <w:suppressAutoHyphens/>
      <w:spacing w:before="120" w:after="120"/>
      <w:ind w:left="85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C280A"/>
    <w:pPr>
      <w:suppressAutoHyphens/>
      <w:spacing w:before="120" w:after="120"/>
      <w:ind w:left="85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C280A"/>
    <w:pPr>
      <w:suppressAutoHyphens/>
      <w:spacing w:before="120" w:after="120"/>
      <w:ind w:left="85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C280A"/>
    <w:pPr>
      <w:suppressAutoHyphens/>
      <w:spacing w:before="120" w:after="120"/>
      <w:ind w:left="85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C280A"/>
    <w:pPr>
      <w:suppressAutoHyphens/>
      <w:spacing w:before="120" w:after="120"/>
      <w:ind w:left="85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C280A"/>
    <w:pPr>
      <w:suppressAutoHyphens/>
      <w:spacing w:before="120" w:after="120"/>
      <w:ind w:left="85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C280A"/>
    <w:pPr>
      <w:suppressAutoHyphens/>
      <w:spacing w:before="120" w:after="120"/>
      <w:ind w:left="85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C280A"/>
    <w:pPr>
      <w:suppressAutoHyphens/>
      <w:spacing w:before="120" w:after="120"/>
      <w:ind w:left="85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Grid1"/>
    <w:rsid w:val="009462D4"/>
    <w:pPr>
      <w:spacing w:before="40" w:after="40"/>
      <w:ind w:left="0"/>
    </w:pPr>
    <w:rPr>
      <w:sz w:val="18"/>
      <w:lang w:val="en-GB" w:eastAsia="en-GB"/>
    </w:rPr>
    <w:tblPr>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leGrid1">
    <w:name w:val="Table Grid 1"/>
    <w:basedOn w:val="TableNormal"/>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C280A"/>
    <w:pPr>
      <w:suppressAutoHyphens/>
      <w:spacing w:before="120" w:after="120"/>
      <w:ind w:left="85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C280A"/>
    <w:pPr>
      <w:suppressAutoHyphens/>
      <w:spacing w:before="120" w:after="120"/>
      <w:ind w:left="85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C280A"/>
    <w:pPr>
      <w:suppressAutoHyphens/>
      <w:spacing w:before="120" w:after="120"/>
      <w:ind w:left="85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C280A"/>
    <w:pPr>
      <w:suppressAutoHyphens/>
      <w:spacing w:before="120" w:after="120"/>
      <w:ind w:left="85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C280A"/>
    <w:pPr>
      <w:suppressAutoHyphens/>
      <w:spacing w:before="120" w:after="120"/>
      <w:ind w:left="85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C280A"/>
    <w:pPr>
      <w:suppressAutoHyphens/>
      <w:spacing w:before="120" w:after="120"/>
      <w:ind w:left="85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C280A"/>
    <w:pPr>
      <w:suppressAutoHyphens/>
      <w:spacing w:before="120" w:after="120"/>
      <w:ind w:left="85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C280A"/>
    <w:pPr>
      <w:suppressAutoHyphens/>
      <w:spacing w:before="120" w:after="120"/>
      <w:ind w:left="85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C280A"/>
    <w:pPr>
      <w:suppressAutoHyphens/>
      <w:spacing w:before="120" w:after="120"/>
      <w:ind w:left="85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C280A"/>
    <w:pPr>
      <w:suppressAutoHyphens/>
      <w:spacing w:before="120" w:after="120"/>
      <w:ind w:left="85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C280A"/>
    <w:pPr>
      <w:suppressAutoHyphens/>
      <w:spacing w:before="120" w:after="120"/>
      <w:ind w:left="85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C280A"/>
    <w:pPr>
      <w:suppressAutoHyphens/>
      <w:spacing w:before="120" w:after="120"/>
      <w:ind w:left="85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C280A"/>
    <w:pPr>
      <w:suppressAutoHyphens/>
      <w:spacing w:before="120" w:after="120"/>
      <w:ind w:left="85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C280A"/>
    <w:pPr>
      <w:suppressAutoHyphens/>
      <w:spacing w:before="120" w:after="120"/>
      <w:ind w:left="85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1C280A"/>
    <w:pPr>
      <w:suppressAutoHyphens/>
      <w:spacing w:before="120" w:after="120"/>
      <w:ind w:left="85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C280A"/>
    <w:pPr>
      <w:suppressAutoHyphens/>
      <w:spacing w:before="120" w:after="120"/>
      <w:ind w:left="85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C280A"/>
    <w:pPr>
      <w:suppressAutoHyphens/>
      <w:spacing w:before="120" w:after="120"/>
      <w:ind w:left="85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eroddlandscape">
    <w:name w:val="Header odd landscape"/>
    <w:next w:val="Headerevenlandscape"/>
    <w:rsid w:val="00CA0DF6"/>
    <w:pPr>
      <w:tabs>
        <w:tab w:val="right" w:pos="13608"/>
      </w:tabs>
      <w:spacing w:after="40"/>
    </w:pPr>
    <w:rPr>
      <w:rFonts w:eastAsia="Times New Roman"/>
      <w:sz w:val="16"/>
      <w:lang w:val="en-GB"/>
    </w:rPr>
  </w:style>
  <w:style w:type="paragraph" w:styleId="NoteHeading">
    <w:name w:val="Note Heading"/>
    <w:basedOn w:val="Normal"/>
    <w:next w:val="Normal"/>
    <w:rsid w:val="001C280A"/>
  </w:style>
  <w:style w:type="paragraph" w:styleId="FootnoteText">
    <w:name w:val="footnote text"/>
    <w:basedOn w:val="Normal"/>
    <w:semiHidden/>
    <w:rsid w:val="001C280A"/>
    <w:pPr>
      <w:suppressAutoHyphens w:val="0"/>
      <w:spacing w:before="40" w:after="40"/>
      <w:ind w:left="1247" w:hanging="113"/>
    </w:pPr>
    <w:rPr>
      <w:kern w:val="28"/>
      <w:sz w:val="14"/>
    </w:rPr>
  </w:style>
  <w:style w:type="character" w:styleId="FootnoteReference">
    <w:name w:val="footnote reference"/>
    <w:basedOn w:val="DefaultParagraphFont"/>
    <w:semiHidden/>
    <w:rsid w:val="001C280A"/>
    <w:rPr>
      <w:vertAlign w:val="superscript"/>
    </w:rPr>
  </w:style>
  <w:style w:type="paragraph" w:styleId="ListParagraph">
    <w:name w:val="List Paragraph"/>
    <w:basedOn w:val="Normal"/>
    <w:uiPriority w:val="34"/>
    <w:qFormat/>
    <w:rsid w:val="007A51C0"/>
    <w:pPr>
      <w:ind w:left="720"/>
      <w:contextualSpacing/>
    </w:pPr>
  </w:style>
  <w:style w:type="paragraph" w:customStyle="1" w:styleId="Copyrightheading">
    <w:name w:val="Copyright heading"/>
    <w:basedOn w:val="Normal"/>
    <w:next w:val="Normal"/>
    <w:unhideWhenUsed/>
    <w:rsid w:val="00E70120"/>
    <w:pPr>
      <w:tabs>
        <w:tab w:val="left" w:pos="0"/>
      </w:tabs>
      <w:suppressAutoHyphens w:val="0"/>
      <w:spacing w:before="180" w:after="60" w:line="288" w:lineRule="auto"/>
      <w:jc w:val="both"/>
    </w:pPr>
    <w:rPr>
      <w:rFonts w:eastAsia="Times New Roman"/>
      <w:b/>
      <w:kern w:val="28"/>
    </w:rPr>
  </w:style>
  <w:style w:type="paragraph" w:customStyle="1" w:styleId="Copyrighttext">
    <w:name w:val="Copyright text"/>
    <w:unhideWhenUsed/>
    <w:rsid w:val="00E70120"/>
    <w:pPr>
      <w:spacing w:before="40" w:after="80"/>
    </w:pPr>
    <w:rPr>
      <w:noProof/>
      <w:sz w:val="18"/>
      <w:szCs w:val="19"/>
      <w:lang w:val="en-GB"/>
    </w:rPr>
  </w:style>
  <w:style w:type="paragraph" w:styleId="TableofAuthorities">
    <w:name w:val="table of authorities"/>
    <w:basedOn w:val="Normal"/>
    <w:next w:val="Normal"/>
    <w:rsid w:val="00B1188A"/>
    <w:pPr>
      <w:ind w:left="190" w:hanging="190"/>
    </w:pPr>
  </w:style>
  <w:style w:type="paragraph" w:styleId="TableofFigures">
    <w:name w:val="table of figures"/>
    <w:basedOn w:val="Normal"/>
    <w:next w:val="Normal"/>
    <w:rsid w:val="00B1188A"/>
  </w:style>
  <w:style w:type="paragraph" w:styleId="Title">
    <w:name w:val="Title"/>
    <w:basedOn w:val="Normal"/>
    <w:next w:val="Normal"/>
    <w:link w:val="TitleChar"/>
    <w:qFormat/>
    <w:rsid w:val="00B1188A"/>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semiHidden/>
    <w:rsid w:val="000F48CC"/>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rsid w:val="00B1188A"/>
    <w:rPr>
      <w:rFonts w:asciiTheme="majorHAnsi" w:eastAsiaTheme="majorEastAsia" w:hAnsiTheme="majorHAnsi" w:cstheme="majorBidi"/>
      <w:b/>
      <w:bCs/>
      <w:sz w:val="24"/>
      <w:szCs w:val="24"/>
    </w:rPr>
  </w:style>
  <w:style w:type="paragraph" w:styleId="TOC5">
    <w:name w:val="toc 5"/>
    <w:basedOn w:val="Normal"/>
    <w:next w:val="Normal"/>
    <w:autoRedefine/>
    <w:uiPriority w:val="39"/>
    <w:rsid w:val="00B1188A"/>
    <w:pPr>
      <w:spacing w:after="100"/>
      <w:ind w:left="760"/>
    </w:pPr>
  </w:style>
  <w:style w:type="paragraph" w:styleId="TOC6">
    <w:name w:val="toc 6"/>
    <w:basedOn w:val="Normal"/>
    <w:next w:val="Normal"/>
    <w:autoRedefine/>
    <w:uiPriority w:val="39"/>
    <w:rsid w:val="00B1188A"/>
    <w:pPr>
      <w:spacing w:after="100"/>
      <w:ind w:left="950"/>
    </w:pPr>
  </w:style>
  <w:style w:type="paragraph" w:styleId="TOC7">
    <w:name w:val="toc 7"/>
    <w:basedOn w:val="Normal"/>
    <w:next w:val="Normal"/>
    <w:autoRedefine/>
    <w:uiPriority w:val="39"/>
    <w:rsid w:val="00B1188A"/>
    <w:pPr>
      <w:spacing w:after="100"/>
      <w:ind w:left="1140"/>
    </w:pPr>
  </w:style>
  <w:style w:type="paragraph" w:styleId="TOC8">
    <w:name w:val="toc 8"/>
    <w:basedOn w:val="Normal"/>
    <w:next w:val="Normal"/>
    <w:autoRedefine/>
    <w:uiPriority w:val="39"/>
    <w:rsid w:val="00B1188A"/>
    <w:pPr>
      <w:spacing w:after="100"/>
      <w:ind w:left="1330"/>
    </w:pPr>
  </w:style>
  <w:style w:type="paragraph" w:styleId="Revision">
    <w:name w:val="Revision"/>
    <w:hidden/>
    <w:uiPriority w:val="99"/>
    <w:semiHidden/>
    <w:rsid w:val="00924BDC"/>
    <w:rPr>
      <w:sz w:val="19"/>
      <w:lang w:val="en-GB"/>
    </w:rPr>
  </w:style>
  <w:style w:type="paragraph" w:styleId="BalloonText">
    <w:name w:val="Balloon Text"/>
    <w:basedOn w:val="Normal"/>
    <w:link w:val="BalloonTextChar"/>
    <w:semiHidden/>
    <w:rsid w:val="000579C1"/>
    <w:pPr>
      <w:spacing w:before="0"/>
    </w:pPr>
    <w:rPr>
      <w:rFonts w:ascii="Tahoma" w:hAnsi="Tahoma" w:cs="Tahoma"/>
      <w:sz w:val="16"/>
      <w:szCs w:val="16"/>
    </w:rPr>
  </w:style>
  <w:style w:type="character" w:customStyle="1" w:styleId="BalloonTextChar">
    <w:name w:val="Balloon Text Char"/>
    <w:basedOn w:val="DefaultParagraphFont"/>
    <w:link w:val="BalloonText"/>
    <w:semiHidden/>
    <w:rsid w:val="00422A04"/>
    <w:rPr>
      <w:rFonts w:ascii="Tahoma" w:hAnsi="Tahoma" w:cs="Tahoma"/>
      <w:sz w:val="16"/>
      <w:szCs w:val="16"/>
    </w:rPr>
  </w:style>
  <w:style w:type="character" w:styleId="Hyperlink">
    <w:name w:val="Hyperlink"/>
    <w:basedOn w:val="DefaultParagraphFont"/>
    <w:uiPriority w:val="99"/>
    <w:qFormat/>
    <w:rsid w:val="000E7A5E"/>
    <w:rPr>
      <w:color w:val="0000FF" w:themeColor="hyperlink"/>
      <w:u w:val="single"/>
    </w:rPr>
  </w:style>
  <w:style w:type="character" w:styleId="CommentReference">
    <w:name w:val="annotation reference"/>
    <w:basedOn w:val="DefaultParagraphFont"/>
    <w:semiHidden/>
    <w:qFormat/>
    <w:locked/>
    <w:rsid w:val="00DE4CE1"/>
    <w:rPr>
      <w:sz w:val="16"/>
      <w:szCs w:val="16"/>
    </w:rPr>
  </w:style>
  <w:style w:type="paragraph" w:styleId="CommentText">
    <w:name w:val="annotation text"/>
    <w:basedOn w:val="Normal"/>
    <w:link w:val="CommentTextChar"/>
    <w:semiHidden/>
    <w:qFormat/>
    <w:locked/>
    <w:rsid w:val="00DE4CE1"/>
  </w:style>
  <w:style w:type="character" w:customStyle="1" w:styleId="CommentTextChar">
    <w:name w:val="Comment Text Char"/>
    <w:basedOn w:val="DefaultParagraphFont"/>
    <w:link w:val="CommentText"/>
    <w:semiHidden/>
    <w:rsid w:val="000F48CC"/>
  </w:style>
  <w:style w:type="paragraph" w:styleId="CommentSubject">
    <w:name w:val="annotation subject"/>
    <w:basedOn w:val="CommentText"/>
    <w:next w:val="CommentText"/>
    <w:link w:val="CommentSubjectChar"/>
    <w:semiHidden/>
    <w:qFormat/>
    <w:locked/>
    <w:rsid w:val="00DE4CE1"/>
    <w:rPr>
      <w:b/>
      <w:bCs/>
    </w:rPr>
  </w:style>
  <w:style w:type="character" w:customStyle="1" w:styleId="CommentSubjectChar">
    <w:name w:val="Comment Subject Char"/>
    <w:basedOn w:val="CommentTextChar"/>
    <w:link w:val="CommentSubject"/>
    <w:semiHidden/>
    <w:rsid w:val="000F48CC"/>
    <w:rPr>
      <w:b/>
      <w:bCs/>
    </w:rPr>
  </w:style>
  <w:style w:type="paragraph" w:styleId="Bibliography">
    <w:name w:val="Bibliography"/>
    <w:basedOn w:val="Normal"/>
    <w:next w:val="Normal"/>
    <w:uiPriority w:val="37"/>
    <w:semiHidden/>
    <w:rsid w:val="00223ABE"/>
  </w:style>
  <w:style w:type="numbering" w:styleId="ArticleSection">
    <w:name w:val="Outline List 3"/>
    <w:basedOn w:val="NoList"/>
    <w:locked/>
    <w:rsid w:val="000F48CC"/>
    <w:pPr>
      <w:numPr>
        <w:numId w:val="16"/>
      </w:numPr>
    </w:pPr>
  </w:style>
  <w:style w:type="paragraph" w:styleId="BodyText">
    <w:name w:val="Body Text"/>
    <w:basedOn w:val="Normal"/>
    <w:link w:val="BodyTextChar"/>
    <w:rsid w:val="00223ABE"/>
  </w:style>
  <w:style w:type="character" w:customStyle="1" w:styleId="BodyTextChar">
    <w:name w:val="Body Text Char"/>
    <w:basedOn w:val="DefaultParagraphFont"/>
    <w:link w:val="BodyText"/>
    <w:semiHidden/>
    <w:rsid w:val="00223ABE"/>
    <w:rPr>
      <w:rFonts w:ascii="Arial" w:hAnsi="Arial"/>
      <w:sz w:val="19"/>
      <w:lang w:val="en-GB"/>
    </w:rPr>
  </w:style>
  <w:style w:type="paragraph" w:styleId="BodyText2">
    <w:name w:val="Body Text 2"/>
    <w:basedOn w:val="Normal"/>
    <w:link w:val="BodyText2Char"/>
    <w:rsid w:val="00223ABE"/>
    <w:pPr>
      <w:spacing w:line="480" w:lineRule="auto"/>
    </w:pPr>
  </w:style>
  <w:style w:type="character" w:customStyle="1" w:styleId="BodyText2Char">
    <w:name w:val="Body Text 2 Char"/>
    <w:basedOn w:val="DefaultParagraphFont"/>
    <w:link w:val="BodyText2"/>
    <w:semiHidden/>
    <w:rsid w:val="00223ABE"/>
    <w:rPr>
      <w:rFonts w:ascii="Arial" w:hAnsi="Arial"/>
      <w:sz w:val="19"/>
      <w:lang w:val="en-GB"/>
    </w:rPr>
  </w:style>
  <w:style w:type="paragraph" w:styleId="BodyText3">
    <w:name w:val="Body Text 3"/>
    <w:basedOn w:val="Normal"/>
    <w:link w:val="BodyText3Char"/>
    <w:rsid w:val="00223ABE"/>
    <w:rPr>
      <w:sz w:val="16"/>
      <w:szCs w:val="16"/>
    </w:rPr>
  </w:style>
  <w:style w:type="character" w:customStyle="1" w:styleId="BodyText3Char">
    <w:name w:val="Body Text 3 Char"/>
    <w:basedOn w:val="DefaultParagraphFont"/>
    <w:link w:val="BodyText3"/>
    <w:semiHidden/>
    <w:rsid w:val="00223ABE"/>
    <w:rPr>
      <w:rFonts w:ascii="Arial" w:hAnsi="Arial"/>
      <w:sz w:val="16"/>
      <w:szCs w:val="16"/>
      <w:lang w:val="en-GB"/>
    </w:rPr>
  </w:style>
  <w:style w:type="paragraph" w:styleId="BodyTextFirstIndent">
    <w:name w:val="Body Text First Indent"/>
    <w:basedOn w:val="BodyText"/>
    <w:link w:val="BodyTextFirstIndentChar"/>
    <w:rsid w:val="00223ABE"/>
    <w:pPr>
      <w:ind w:firstLine="360"/>
    </w:pPr>
  </w:style>
  <w:style w:type="character" w:customStyle="1" w:styleId="BodyTextFirstIndentChar">
    <w:name w:val="Body Text First Indent Char"/>
    <w:basedOn w:val="BodyTextChar"/>
    <w:link w:val="BodyTextFirstIndent"/>
    <w:semiHidden/>
    <w:rsid w:val="00223ABE"/>
    <w:rPr>
      <w:rFonts w:ascii="Arial" w:hAnsi="Arial"/>
      <w:sz w:val="19"/>
      <w:lang w:val="en-GB"/>
    </w:rPr>
  </w:style>
  <w:style w:type="paragraph" w:styleId="BodyTextIndent">
    <w:name w:val="Body Text Indent"/>
    <w:basedOn w:val="Normal"/>
    <w:link w:val="BodyTextIndentChar"/>
    <w:rsid w:val="00223ABE"/>
    <w:pPr>
      <w:ind w:left="283"/>
    </w:pPr>
  </w:style>
  <w:style w:type="character" w:customStyle="1" w:styleId="BodyTextIndentChar">
    <w:name w:val="Body Text Indent Char"/>
    <w:basedOn w:val="DefaultParagraphFont"/>
    <w:link w:val="BodyTextIndent"/>
    <w:semiHidden/>
    <w:rsid w:val="00223ABE"/>
    <w:rPr>
      <w:rFonts w:ascii="Arial" w:hAnsi="Arial"/>
      <w:sz w:val="19"/>
      <w:lang w:val="en-GB"/>
    </w:rPr>
  </w:style>
  <w:style w:type="paragraph" w:styleId="BodyTextFirstIndent2">
    <w:name w:val="Body Text First Indent 2"/>
    <w:basedOn w:val="BodyTextIndent"/>
    <w:link w:val="BodyTextFirstIndent2Char"/>
    <w:rsid w:val="00223ABE"/>
    <w:pPr>
      <w:ind w:left="360" w:firstLine="360"/>
    </w:pPr>
  </w:style>
  <w:style w:type="character" w:customStyle="1" w:styleId="BodyTextFirstIndent2Char">
    <w:name w:val="Body Text First Indent 2 Char"/>
    <w:basedOn w:val="BodyTextIndentChar"/>
    <w:link w:val="BodyTextFirstIndent2"/>
    <w:semiHidden/>
    <w:rsid w:val="00223ABE"/>
    <w:rPr>
      <w:rFonts w:ascii="Arial" w:hAnsi="Arial"/>
      <w:sz w:val="19"/>
      <w:lang w:val="en-GB"/>
    </w:rPr>
  </w:style>
  <w:style w:type="paragraph" w:styleId="BodyTextIndent2">
    <w:name w:val="Body Text Indent 2"/>
    <w:basedOn w:val="Normal"/>
    <w:link w:val="BodyTextIndent2Char"/>
    <w:rsid w:val="00223ABE"/>
    <w:pPr>
      <w:spacing w:line="480" w:lineRule="auto"/>
      <w:ind w:left="283"/>
    </w:pPr>
  </w:style>
  <w:style w:type="character" w:customStyle="1" w:styleId="BodyTextIndent2Char">
    <w:name w:val="Body Text Indent 2 Char"/>
    <w:basedOn w:val="DefaultParagraphFont"/>
    <w:link w:val="BodyTextIndent2"/>
    <w:semiHidden/>
    <w:rsid w:val="00223ABE"/>
    <w:rPr>
      <w:rFonts w:ascii="Arial" w:hAnsi="Arial"/>
      <w:sz w:val="19"/>
      <w:lang w:val="en-GB"/>
    </w:rPr>
  </w:style>
  <w:style w:type="paragraph" w:styleId="BodyTextIndent3">
    <w:name w:val="Body Text Indent 3"/>
    <w:basedOn w:val="Normal"/>
    <w:link w:val="BodyTextIndent3Char"/>
    <w:rsid w:val="00223ABE"/>
    <w:pPr>
      <w:ind w:left="283"/>
    </w:pPr>
    <w:rPr>
      <w:sz w:val="16"/>
      <w:szCs w:val="16"/>
    </w:rPr>
  </w:style>
  <w:style w:type="character" w:customStyle="1" w:styleId="BodyTextIndent3Char">
    <w:name w:val="Body Text Indent 3 Char"/>
    <w:basedOn w:val="DefaultParagraphFont"/>
    <w:link w:val="BodyTextIndent3"/>
    <w:semiHidden/>
    <w:rsid w:val="00223ABE"/>
    <w:rPr>
      <w:rFonts w:ascii="Arial" w:hAnsi="Arial"/>
      <w:sz w:val="16"/>
      <w:szCs w:val="16"/>
      <w:lang w:val="en-GB"/>
    </w:rPr>
  </w:style>
  <w:style w:type="paragraph" w:styleId="Caption">
    <w:name w:val="caption"/>
    <w:basedOn w:val="Normal"/>
    <w:next w:val="Normal"/>
    <w:qFormat/>
    <w:rsid w:val="00223ABE"/>
    <w:pPr>
      <w:spacing w:before="0" w:after="200"/>
    </w:pPr>
    <w:rPr>
      <w:b/>
      <w:bCs/>
      <w:color w:val="4F81BD" w:themeColor="accent1"/>
      <w:sz w:val="18"/>
      <w:szCs w:val="18"/>
    </w:rPr>
  </w:style>
  <w:style w:type="paragraph" w:styleId="Date">
    <w:name w:val="Date"/>
    <w:basedOn w:val="Normal"/>
    <w:next w:val="Normal"/>
    <w:link w:val="DateChar"/>
    <w:unhideWhenUsed/>
    <w:rsid w:val="00223ABE"/>
  </w:style>
  <w:style w:type="character" w:customStyle="1" w:styleId="DateChar">
    <w:name w:val="Date Char"/>
    <w:basedOn w:val="DefaultParagraphFont"/>
    <w:link w:val="Date"/>
    <w:rsid w:val="00D1664E"/>
  </w:style>
  <w:style w:type="paragraph" w:styleId="DocumentMap">
    <w:name w:val="Document Map"/>
    <w:basedOn w:val="Normal"/>
    <w:link w:val="DocumentMapChar"/>
    <w:semiHidden/>
    <w:rsid w:val="00223ABE"/>
    <w:pPr>
      <w:spacing w:before="0"/>
    </w:pPr>
    <w:rPr>
      <w:rFonts w:ascii="Tahoma" w:hAnsi="Tahoma" w:cs="Tahoma"/>
      <w:sz w:val="16"/>
      <w:szCs w:val="16"/>
    </w:rPr>
  </w:style>
  <w:style w:type="character" w:customStyle="1" w:styleId="DocumentMapChar">
    <w:name w:val="Document Map Char"/>
    <w:basedOn w:val="DefaultParagraphFont"/>
    <w:link w:val="DocumentMap"/>
    <w:semiHidden/>
    <w:rsid w:val="000F48CC"/>
    <w:rPr>
      <w:rFonts w:ascii="Tahoma" w:hAnsi="Tahoma" w:cs="Tahoma"/>
      <w:sz w:val="16"/>
      <w:szCs w:val="16"/>
    </w:rPr>
  </w:style>
  <w:style w:type="paragraph" w:styleId="E-mailSignature">
    <w:name w:val="E-mail Signature"/>
    <w:basedOn w:val="Normal"/>
    <w:link w:val="E-mailSignatureChar"/>
    <w:semiHidden/>
    <w:locked/>
    <w:rsid w:val="00223ABE"/>
    <w:pPr>
      <w:spacing w:before="0"/>
    </w:pPr>
  </w:style>
  <w:style w:type="character" w:customStyle="1" w:styleId="E-mailSignatureChar">
    <w:name w:val="E-mail Signature Char"/>
    <w:basedOn w:val="DefaultParagraphFont"/>
    <w:link w:val="E-mailSignature"/>
    <w:semiHidden/>
    <w:rsid w:val="000F48CC"/>
  </w:style>
  <w:style w:type="paragraph" w:styleId="EndnoteText">
    <w:name w:val="endnote text"/>
    <w:basedOn w:val="Normal"/>
    <w:link w:val="EndnoteTextChar"/>
    <w:rsid w:val="00223ABE"/>
    <w:pPr>
      <w:spacing w:before="0"/>
    </w:pPr>
  </w:style>
  <w:style w:type="character" w:customStyle="1" w:styleId="EndnoteTextChar">
    <w:name w:val="Endnote Text Char"/>
    <w:basedOn w:val="DefaultParagraphFont"/>
    <w:link w:val="EndnoteText"/>
    <w:semiHidden/>
    <w:rsid w:val="00223ABE"/>
    <w:rPr>
      <w:rFonts w:ascii="Arial" w:hAnsi="Arial"/>
      <w:lang w:val="en-GB"/>
    </w:rPr>
  </w:style>
  <w:style w:type="paragraph" w:styleId="EnvelopeAddress">
    <w:name w:val="envelope address"/>
    <w:basedOn w:val="Normal"/>
    <w:rsid w:val="00223ABE"/>
    <w:pPr>
      <w:framePr w:w="7920" w:h="1980" w:hRule="exact" w:hSpace="180" w:wrap="auto" w:hAnchor="page" w:xAlign="center" w:yAlign="bottom"/>
      <w:spacing w:before="0"/>
      <w:ind w:left="2880"/>
    </w:pPr>
    <w:rPr>
      <w:rFonts w:asciiTheme="majorHAnsi" w:eastAsiaTheme="majorEastAsia" w:hAnsiTheme="majorHAnsi" w:cstheme="majorBidi"/>
      <w:sz w:val="24"/>
      <w:szCs w:val="24"/>
    </w:rPr>
  </w:style>
  <w:style w:type="paragraph" w:styleId="EnvelopeReturn">
    <w:name w:val="envelope return"/>
    <w:basedOn w:val="Normal"/>
    <w:rsid w:val="00223ABE"/>
    <w:pPr>
      <w:spacing w:before="0"/>
    </w:pPr>
    <w:rPr>
      <w:rFonts w:asciiTheme="majorHAnsi" w:eastAsiaTheme="majorEastAsia" w:hAnsiTheme="majorHAnsi" w:cstheme="majorBidi"/>
    </w:rPr>
  </w:style>
  <w:style w:type="paragraph" w:styleId="HTMLAddress">
    <w:name w:val="HTML Address"/>
    <w:basedOn w:val="Normal"/>
    <w:link w:val="HTMLAddressChar"/>
    <w:rsid w:val="00223ABE"/>
    <w:pPr>
      <w:spacing w:before="0"/>
    </w:pPr>
    <w:rPr>
      <w:i/>
      <w:iCs/>
    </w:rPr>
  </w:style>
  <w:style w:type="character" w:customStyle="1" w:styleId="HTMLAddressChar">
    <w:name w:val="HTML Address Char"/>
    <w:basedOn w:val="DefaultParagraphFont"/>
    <w:link w:val="HTMLAddress"/>
    <w:rsid w:val="00223ABE"/>
    <w:rPr>
      <w:rFonts w:ascii="Arial" w:hAnsi="Arial"/>
      <w:i/>
      <w:iCs/>
      <w:sz w:val="19"/>
      <w:lang w:val="en-GB"/>
    </w:rPr>
  </w:style>
  <w:style w:type="paragraph" w:styleId="HTMLPreformatted">
    <w:name w:val="HTML Preformatted"/>
    <w:basedOn w:val="Normal"/>
    <w:link w:val="HTMLPreformattedChar"/>
    <w:rsid w:val="00223ABE"/>
    <w:pPr>
      <w:spacing w:before="0"/>
    </w:pPr>
    <w:rPr>
      <w:rFonts w:ascii="Consolas" w:hAnsi="Consolas"/>
    </w:rPr>
  </w:style>
  <w:style w:type="character" w:customStyle="1" w:styleId="HTMLPreformattedChar">
    <w:name w:val="HTML Preformatted Char"/>
    <w:basedOn w:val="DefaultParagraphFont"/>
    <w:link w:val="HTMLPreformatted"/>
    <w:rsid w:val="00223ABE"/>
    <w:rPr>
      <w:rFonts w:ascii="Consolas" w:hAnsi="Consolas"/>
      <w:lang w:val="en-GB"/>
    </w:rPr>
  </w:style>
  <w:style w:type="paragraph" w:styleId="Index1">
    <w:name w:val="index 1"/>
    <w:basedOn w:val="Normal"/>
    <w:next w:val="Normal"/>
    <w:autoRedefine/>
    <w:unhideWhenUsed/>
    <w:rsid w:val="00223ABE"/>
    <w:pPr>
      <w:spacing w:before="0"/>
      <w:ind w:left="190" w:hanging="190"/>
    </w:pPr>
  </w:style>
  <w:style w:type="paragraph" w:styleId="Index2">
    <w:name w:val="index 2"/>
    <w:basedOn w:val="Normal"/>
    <w:next w:val="Normal"/>
    <w:autoRedefine/>
    <w:unhideWhenUsed/>
    <w:rsid w:val="00223ABE"/>
    <w:pPr>
      <w:spacing w:before="0"/>
      <w:ind w:left="380" w:hanging="190"/>
    </w:pPr>
  </w:style>
  <w:style w:type="paragraph" w:styleId="Index3">
    <w:name w:val="index 3"/>
    <w:basedOn w:val="Normal"/>
    <w:next w:val="Normal"/>
    <w:autoRedefine/>
    <w:rsid w:val="00223ABE"/>
    <w:pPr>
      <w:spacing w:before="0"/>
      <w:ind w:left="570" w:hanging="190"/>
    </w:pPr>
  </w:style>
  <w:style w:type="paragraph" w:styleId="Index4">
    <w:name w:val="index 4"/>
    <w:basedOn w:val="Normal"/>
    <w:next w:val="Normal"/>
    <w:autoRedefine/>
    <w:rsid w:val="00223ABE"/>
    <w:pPr>
      <w:spacing w:before="0"/>
      <w:ind w:left="760" w:hanging="190"/>
    </w:pPr>
  </w:style>
  <w:style w:type="paragraph" w:styleId="Index5">
    <w:name w:val="index 5"/>
    <w:basedOn w:val="Normal"/>
    <w:next w:val="Normal"/>
    <w:autoRedefine/>
    <w:rsid w:val="00223ABE"/>
    <w:pPr>
      <w:spacing w:before="0"/>
      <w:ind w:left="950" w:hanging="190"/>
    </w:pPr>
  </w:style>
  <w:style w:type="paragraph" w:styleId="Index6">
    <w:name w:val="index 6"/>
    <w:basedOn w:val="Normal"/>
    <w:next w:val="Normal"/>
    <w:autoRedefine/>
    <w:rsid w:val="00223ABE"/>
    <w:pPr>
      <w:spacing w:before="0"/>
      <w:ind w:left="1140" w:hanging="190"/>
    </w:pPr>
  </w:style>
  <w:style w:type="paragraph" w:styleId="Index7">
    <w:name w:val="index 7"/>
    <w:basedOn w:val="Normal"/>
    <w:next w:val="Normal"/>
    <w:autoRedefine/>
    <w:rsid w:val="00223ABE"/>
    <w:pPr>
      <w:spacing w:before="0"/>
      <w:ind w:left="1330" w:hanging="190"/>
    </w:pPr>
  </w:style>
  <w:style w:type="paragraph" w:styleId="Index8">
    <w:name w:val="index 8"/>
    <w:basedOn w:val="Normal"/>
    <w:next w:val="Normal"/>
    <w:autoRedefine/>
    <w:rsid w:val="00223ABE"/>
    <w:pPr>
      <w:spacing w:before="0"/>
      <w:ind w:left="1520" w:hanging="190"/>
    </w:pPr>
  </w:style>
  <w:style w:type="paragraph" w:styleId="Index9">
    <w:name w:val="index 9"/>
    <w:basedOn w:val="Normal"/>
    <w:next w:val="Normal"/>
    <w:autoRedefine/>
    <w:rsid w:val="00223ABE"/>
    <w:pPr>
      <w:spacing w:before="0"/>
      <w:ind w:left="1710" w:hanging="190"/>
    </w:pPr>
  </w:style>
  <w:style w:type="paragraph" w:styleId="IndexHeading">
    <w:name w:val="index heading"/>
    <w:basedOn w:val="Normal"/>
    <w:next w:val="Index1"/>
    <w:rsid w:val="00223ABE"/>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223AB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223ABE"/>
    <w:rPr>
      <w:rFonts w:ascii="Arial" w:hAnsi="Arial"/>
      <w:b/>
      <w:bCs/>
      <w:i/>
      <w:iCs/>
      <w:color w:val="4F81BD" w:themeColor="accent1"/>
      <w:sz w:val="19"/>
      <w:lang w:val="en-GB"/>
    </w:rPr>
  </w:style>
  <w:style w:type="table" w:styleId="ColorfulGrid">
    <w:name w:val="Colorful Grid"/>
    <w:basedOn w:val="TableNormal"/>
    <w:uiPriority w:val="73"/>
    <w:locked/>
    <w:rsid w:val="001E1ED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4">
    <w:name w:val="List 4"/>
    <w:basedOn w:val="Normal"/>
    <w:rsid w:val="00223ABE"/>
    <w:pPr>
      <w:ind w:left="1132" w:hanging="283"/>
      <w:contextualSpacing/>
    </w:pPr>
  </w:style>
  <w:style w:type="paragraph" w:styleId="List5">
    <w:name w:val="List 5"/>
    <w:basedOn w:val="Normal"/>
    <w:rsid w:val="00223ABE"/>
    <w:pPr>
      <w:ind w:left="1415" w:hanging="283"/>
      <w:contextualSpacing/>
    </w:pPr>
  </w:style>
  <w:style w:type="paragraph" w:styleId="ListBullet3">
    <w:name w:val="List Bullet 3"/>
    <w:basedOn w:val="Normal"/>
    <w:qFormat/>
    <w:rsid w:val="004C2603"/>
    <w:pPr>
      <w:numPr>
        <w:numId w:val="7"/>
      </w:numPr>
      <w:ind w:left="1701" w:hanging="425"/>
      <w:contextualSpacing/>
    </w:pPr>
  </w:style>
  <w:style w:type="paragraph" w:styleId="ListBullet4">
    <w:name w:val="List Bullet 4"/>
    <w:basedOn w:val="Normal"/>
    <w:semiHidden/>
    <w:locked/>
    <w:rsid w:val="00223ABE"/>
    <w:pPr>
      <w:numPr>
        <w:numId w:val="8"/>
      </w:numPr>
      <w:contextualSpacing/>
    </w:pPr>
  </w:style>
  <w:style w:type="paragraph" w:styleId="ListBullet5">
    <w:name w:val="List Bullet 5"/>
    <w:basedOn w:val="Normal"/>
    <w:semiHidden/>
    <w:locked/>
    <w:rsid w:val="00223ABE"/>
    <w:pPr>
      <w:numPr>
        <w:numId w:val="9"/>
      </w:numPr>
      <w:contextualSpacing/>
    </w:pPr>
  </w:style>
  <w:style w:type="paragraph" w:styleId="ListContinue3">
    <w:name w:val="List Continue 3"/>
    <w:basedOn w:val="Normal"/>
    <w:qFormat/>
    <w:rsid w:val="004C2603"/>
    <w:pPr>
      <w:ind w:left="1701"/>
      <w:contextualSpacing/>
    </w:pPr>
  </w:style>
  <w:style w:type="paragraph" w:styleId="ListContinue4">
    <w:name w:val="List Continue 4"/>
    <w:basedOn w:val="Normal"/>
    <w:semiHidden/>
    <w:locked/>
    <w:rsid w:val="00223ABE"/>
    <w:pPr>
      <w:ind w:left="1132"/>
      <w:contextualSpacing/>
    </w:pPr>
  </w:style>
  <w:style w:type="paragraph" w:styleId="ListContinue5">
    <w:name w:val="List Continue 5"/>
    <w:basedOn w:val="Normal"/>
    <w:semiHidden/>
    <w:locked/>
    <w:rsid w:val="00223ABE"/>
    <w:pPr>
      <w:ind w:left="1415"/>
      <w:contextualSpacing/>
    </w:pPr>
  </w:style>
  <w:style w:type="paragraph" w:styleId="ListNumber3">
    <w:name w:val="List Number 3"/>
    <w:basedOn w:val="Normal"/>
    <w:qFormat/>
    <w:rsid w:val="00C66146"/>
    <w:pPr>
      <w:numPr>
        <w:numId w:val="18"/>
      </w:numPr>
      <w:ind w:left="1701" w:hanging="425"/>
    </w:pPr>
  </w:style>
  <w:style w:type="paragraph" w:styleId="ListNumber4">
    <w:name w:val="List Number 4"/>
    <w:basedOn w:val="Normal"/>
    <w:semiHidden/>
    <w:locked/>
    <w:rsid w:val="00223ABE"/>
    <w:pPr>
      <w:numPr>
        <w:numId w:val="11"/>
      </w:numPr>
      <w:contextualSpacing/>
    </w:pPr>
  </w:style>
  <w:style w:type="paragraph" w:styleId="ListNumber5">
    <w:name w:val="List Number 5"/>
    <w:basedOn w:val="Normal"/>
    <w:locked/>
    <w:rsid w:val="00223ABE"/>
    <w:pPr>
      <w:numPr>
        <w:numId w:val="12"/>
      </w:numPr>
      <w:contextualSpacing/>
    </w:pPr>
  </w:style>
  <w:style w:type="paragraph" w:styleId="MacroText">
    <w:name w:val="macro"/>
    <w:link w:val="MacroTextChar"/>
    <w:rsid w:val="00223ABE"/>
    <w:pPr>
      <w:tabs>
        <w:tab w:val="left" w:pos="480"/>
        <w:tab w:val="left" w:pos="960"/>
        <w:tab w:val="left" w:pos="1440"/>
        <w:tab w:val="left" w:pos="1920"/>
        <w:tab w:val="left" w:pos="2400"/>
        <w:tab w:val="left" w:pos="2880"/>
        <w:tab w:val="left" w:pos="3360"/>
        <w:tab w:val="left" w:pos="3840"/>
        <w:tab w:val="left" w:pos="4320"/>
      </w:tabs>
      <w:suppressAutoHyphens/>
      <w:spacing w:before="120"/>
      <w:ind w:left="1134"/>
    </w:pPr>
    <w:rPr>
      <w:rFonts w:ascii="Consolas" w:hAnsi="Consolas"/>
      <w:lang w:val="en-GB"/>
    </w:rPr>
  </w:style>
  <w:style w:type="character" w:customStyle="1" w:styleId="MacroTextChar">
    <w:name w:val="Macro Text Char"/>
    <w:basedOn w:val="DefaultParagraphFont"/>
    <w:link w:val="MacroText"/>
    <w:rsid w:val="00223ABE"/>
    <w:rPr>
      <w:rFonts w:ascii="Consolas" w:hAnsi="Consolas"/>
      <w:lang w:val="en-GB"/>
    </w:rPr>
  </w:style>
  <w:style w:type="paragraph" w:styleId="NoSpacing">
    <w:name w:val="No Spacing"/>
    <w:uiPriority w:val="1"/>
    <w:qFormat/>
    <w:rsid w:val="00223ABE"/>
    <w:pPr>
      <w:suppressAutoHyphens/>
      <w:ind w:left="1134"/>
    </w:pPr>
    <w:rPr>
      <w:sz w:val="19"/>
      <w:lang w:val="en-GB"/>
    </w:rPr>
  </w:style>
  <w:style w:type="paragraph" w:styleId="Quote">
    <w:name w:val="Quote"/>
    <w:basedOn w:val="Normal"/>
    <w:next w:val="Normal"/>
    <w:link w:val="QuoteChar"/>
    <w:uiPriority w:val="29"/>
    <w:qFormat/>
    <w:rsid w:val="00223ABE"/>
    <w:rPr>
      <w:i/>
      <w:iCs/>
      <w:color w:val="000000" w:themeColor="text1"/>
    </w:rPr>
  </w:style>
  <w:style w:type="character" w:customStyle="1" w:styleId="QuoteChar">
    <w:name w:val="Quote Char"/>
    <w:basedOn w:val="DefaultParagraphFont"/>
    <w:link w:val="Quote"/>
    <w:uiPriority w:val="29"/>
    <w:semiHidden/>
    <w:rsid w:val="00223ABE"/>
    <w:rPr>
      <w:rFonts w:ascii="Arial" w:hAnsi="Arial"/>
      <w:i/>
      <w:iCs/>
      <w:color w:val="000000" w:themeColor="text1"/>
      <w:sz w:val="19"/>
      <w:lang w:val="en-GB"/>
    </w:rPr>
  </w:style>
  <w:style w:type="paragraph" w:styleId="Salutation">
    <w:name w:val="Salutation"/>
    <w:basedOn w:val="Normal"/>
    <w:next w:val="Normal"/>
    <w:link w:val="SalutationChar"/>
    <w:rsid w:val="00223ABE"/>
  </w:style>
  <w:style w:type="character" w:customStyle="1" w:styleId="SalutationChar">
    <w:name w:val="Salutation Char"/>
    <w:basedOn w:val="DefaultParagraphFont"/>
    <w:link w:val="Salutation"/>
    <w:semiHidden/>
    <w:rsid w:val="000F48CC"/>
  </w:style>
  <w:style w:type="paragraph" w:styleId="Signature">
    <w:name w:val="Signature"/>
    <w:basedOn w:val="Normal"/>
    <w:link w:val="SignatureChar"/>
    <w:rsid w:val="00223ABE"/>
    <w:pPr>
      <w:spacing w:before="0"/>
      <w:ind w:left="4252"/>
    </w:pPr>
  </w:style>
  <w:style w:type="character" w:customStyle="1" w:styleId="SignatureChar">
    <w:name w:val="Signature Char"/>
    <w:basedOn w:val="DefaultParagraphFont"/>
    <w:link w:val="Signature"/>
    <w:semiHidden/>
    <w:rsid w:val="000F48CC"/>
  </w:style>
  <w:style w:type="paragraph" w:styleId="Subtitle">
    <w:name w:val="Subtitle"/>
    <w:basedOn w:val="Normal"/>
    <w:next w:val="Normal"/>
    <w:link w:val="SubtitleChar"/>
    <w:qFormat/>
    <w:rsid w:val="00223ABE"/>
    <w:pPr>
      <w:numPr>
        <w:ilvl w:val="1"/>
      </w:numPr>
      <w:ind w:left="113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semiHidden/>
    <w:rsid w:val="00223ABE"/>
    <w:rPr>
      <w:rFonts w:asciiTheme="majorHAnsi" w:eastAsiaTheme="majorEastAsia" w:hAnsiTheme="majorHAnsi" w:cstheme="majorBidi"/>
      <w:i/>
      <w:iCs/>
      <w:color w:val="4F81BD" w:themeColor="accent1"/>
      <w:spacing w:val="15"/>
      <w:sz w:val="24"/>
      <w:szCs w:val="24"/>
      <w:lang w:val="en-GB"/>
    </w:rPr>
  </w:style>
  <w:style w:type="character" w:styleId="FollowedHyperlink">
    <w:name w:val="FollowedHyperlink"/>
    <w:basedOn w:val="DefaultParagraphFont"/>
    <w:unhideWhenUsed/>
    <w:rsid w:val="009D7B4C"/>
    <w:rPr>
      <w:color w:val="800080" w:themeColor="followedHyperlink"/>
      <w:u w:val="single"/>
    </w:rPr>
  </w:style>
  <w:style w:type="paragraph" w:customStyle="1" w:styleId="Heading2newpage">
    <w:name w:val="Heading 2 new page"/>
    <w:basedOn w:val="Heading2"/>
    <w:next w:val="Normal"/>
    <w:qFormat/>
    <w:rsid w:val="00F87913"/>
    <w:pPr>
      <w:pageBreakBefore/>
    </w:pPr>
  </w:style>
  <w:style w:type="paragraph" w:customStyle="1" w:styleId="Heading3newpage">
    <w:name w:val="Heading 3 new page"/>
    <w:basedOn w:val="Heading3"/>
    <w:next w:val="Normal"/>
    <w:qFormat/>
    <w:rsid w:val="00F87913"/>
    <w:pPr>
      <w:pageBreakBefore/>
    </w:pPr>
  </w:style>
  <w:style w:type="paragraph" w:customStyle="1" w:styleId="Normalnewpage">
    <w:name w:val="Normal new page"/>
    <w:basedOn w:val="Normal"/>
    <w:next w:val="Normal"/>
    <w:qFormat/>
    <w:rsid w:val="00F87913"/>
    <w:pPr>
      <w:pageBreakBefore/>
    </w:pPr>
  </w:style>
  <w:style w:type="paragraph" w:customStyle="1" w:styleId="Labelnewpage">
    <w:name w:val="Label new page"/>
    <w:basedOn w:val="Label"/>
    <w:next w:val="Normal"/>
    <w:rsid w:val="00F87913"/>
    <w:pPr>
      <w:pageBreakBefore/>
    </w:pPr>
  </w:style>
  <w:style w:type="paragraph" w:customStyle="1" w:styleId="BlockLabelnewpage">
    <w:name w:val="Block Label new page"/>
    <w:basedOn w:val="BlockLabel"/>
    <w:next w:val="Normal"/>
    <w:qFormat/>
    <w:rsid w:val="00F87913"/>
    <w:pPr>
      <w:pageBreakBefore/>
    </w:pPr>
  </w:style>
  <w:style w:type="paragraph" w:customStyle="1" w:styleId="Heading4newpage">
    <w:name w:val="Heading 4 new page"/>
    <w:basedOn w:val="Heading4"/>
    <w:next w:val="Normal"/>
    <w:qFormat/>
    <w:rsid w:val="00F87913"/>
    <w:pPr>
      <w:pageBreakBefore/>
    </w:pPr>
  </w:style>
  <w:style w:type="paragraph" w:customStyle="1" w:styleId="ListBulletnewpage">
    <w:name w:val="List Bullet new page"/>
    <w:basedOn w:val="ListBullet"/>
    <w:next w:val="ListBullet"/>
    <w:qFormat/>
    <w:rsid w:val="00EF2CEC"/>
    <w:pPr>
      <w:pageBreakBefore/>
    </w:pPr>
  </w:style>
  <w:style w:type="paragraph" w:customStyle="1" w:styleId="ListBullet2newpage">
    <w:name w:val="List Bullet 2 new page"/>
    <w:basedOn w:val="ListBullet2"/>
    <w:next w:val="ListBullet2"/>
    <w:qFormat/>
    <w:rsid w:val="00EF2CEC"/>
    <w:pPr>
      <w:pageBreakBefore/>
      <w:ind w:left="1984"/>
    </w:pPr>
  </w:style>
  <w:style w:type="paragraph" w:customStyle="1" w:styleId="ListNumbernewpage">
    <w:name w:val="List Number new page"/>
    <w:basedOn w:val="ListNumber"/>
    <w:next w:val="ListNumber"/>
    <w:qFormat/>
    <w:rsid w:val="00EF2CEC"/>
    <w:pPr>
      <w:pageBreakBefore/>
    </w:pPr>
  </w:style>
  <w:style w:type="paragraph" w:customStyle="1" w:styleId="ListNumber2newpage">
    <w:name w:val="List Number 2 new page"/>
    <w:basedOn w:val="ListNumber2"/>
    <w:next w:val="ListNumber2"/>
    <w:qFormat/>
    <w:rsid w:val="00EF2CEC"/>
    <w:pPr>
      <w:pageBreakBefore/>
      <w:ind w:left="1984"/>
    </w:pPr>
  </w:style>
  <w:style w:type="paragraph" w:customStyle="1" w:styleId="Append1newpage">
    <w:name w:val="Append 1 new page"/>
    <w:basedOn w:val="Append1"/>
    <w:next w:val="Normal"/>
    <w:qFormat/>
    <w:rsid w:val="0093485B"/>
    <w:pPr>
      <w:pageBreakBefore/>
    </w:pPr>
  </w:style>
  <w:style w:type="paragraph" w:customStyle="1" w:styleId="Append2newpage">
    <w:name w:val="Append 2 new page"/>
    <w:basedOn w:val="Append2"/>
    <w:next w:val="Normal"/>
    <w:qFormat/>
    <w:rsid w:val="0093485B"/>
    <w:pPr>
      <w:pageBreakBefore/>
    </w:pPr>
  </w:style>
  <w:style w:type="paragraph" w:customStyle="1" w:styleId="Append3newpage">
    <w:name w:val="Append 3 new page"/>
    <w:basedOn w:val="Append3"/>
    <w:next w:val="Normal"/>
    <w:qFormat/>
    <w:rsid w:val="0093485B"/>
    <w:pPr>
      <w:pageBreakBefore/>
    </w:pPr>
  </w:style>
  <w:style w:type="character" w:customStyle="1" w:styleId="Legalterm">
    <w:name w:val="Legal term"/>
    <w:basedOn w:val="DefaultParagraphFont"/>
    <w:uiPriority w:val="1"/>
    <w:rsid w:val="00526C98"/>
    <w:rPr>
      <w:color w:val="808080" w:themeColor="background1" w:themeShade="80"/>
      <w:lang w:val="en-GB"/>
    </w:rPr>
  </w:style>
  <w:style w:type="paragraph" w:customStyle="1" w:styleId="XMLCode">
    <w:name w:val="XML Code"/>
    <w:basedOn w:val="Normal"/>
    <w:rsid w:val="00D24CF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60" w:after="60"/>
    </w:pPr>
    <w:rPr>
      <w:rFonts w:asciiTheme="minorHAnsi" w:hAnsiTheme="minorHAnsi"/>
      <w:sz w:val="22"/>
    </w:rPr>
  </w:style>
  <w:style w:type="paragraph" w:customStyle="1" w:styleId="Graphic">
    <w:name w:val="Graphic"/>
    <w:basedOn w:val="Normal"/>
    <w:next w:val="Normal"/>
    <w:qFormat/>
    <w:rsid w:val="00064E57"/>
    <w:pPr>
      <w:spacing w:before="240" w:after="360"/>
      <w:jc w:val="center"/>
    </w:pPr>
  </w:style>
  <w:style w:type="paragraph" w:customStyle="1" w:styleId="BlockLabel2">
    <w:name w:val="Block Label 2"/>
    <w:basedOn w:val="BlockLabel"/>
    <w:next w:val="Normal2"/>
    <w:qFormat/>
    <w:rsid w:val="00696CAB"/>
    <w:pPr>
      <w:ind w:left="360"/>
    </w:pPr>
  </w:style>
  <w:style w:type="paragraph" w:customStyle="1" w:styleId="Normal2">
    <w:name w:val="Normal 2"/>
    <w:basedOn w:val="Normal"/>
    <w:qFormat/>
    <w:rsid w:val="00696CAB"/>
    <w:pPr>
      <w:ind w:left="360"/>
    </w:pPr>
  </w:style>
  <w:style w:type="paragraph" w:customStyle="1" w:styleId="Listbulletbeforetable">
    <w:name w:val="List bullet before table"/>
    <w:basedOn w:val="ListBullet"/>
    <w:next w:val="Normal"/>
    <w:qFormat/>
    <w:rsid w:val="00DA730C"/>
    <w:pPr>
      <w:spacing w:after="240"/>
    </w:pPr>
  </w:style>
  <w:style w:type="paragraph" w:customStyle="1" w:styleId="Normalbeforetable">
    <w:name w:val="Normal before table"/>
    <w:basedOn w:val="Normal"/>
    <w:qFormat/>
    <w:rsid w:val="0069044F"/>
    <w:pPr>
      <w:spacing w:after="180"/>
    </w:pPr>
  </w:style>
  <w:style w:type="paragraph" w:customStyle="1" w:styleId="BlockLabelBeforeTable">
    <w:name w:val="Block Label Before Table"/>
    <w:basedOn w:val="BlockLabel"/>
    <w:next w:val="Normal"/>
    <w:qFormat/>
    <w:rsid w:val="00E654A9"/>
    <w:pPr>
      <w:spacing w:after="240"/>
    </w:pPr>
  </w:style>
  <w:style w:type="paragraph" w:customStyle="1" w:styleId="Normal8pt">
    <w:name w:val="Normal 8pt"/>
    <w:basedOn w:val="Normal"/>
    <w:next w:val="Normal"/>
    <w:qFormat/>
    <w:rsid w:val="00C44607"/>
    <w:rPr>
      <w:sz w:val="16"/>
      <w:szCs w:val="16"/>
    </w:rPr>
  </w:style>
  <w:style w:type="table" w:customStyle="1" w:styleId="TableShaded1stRow">
    <w:name w:val="Table Shaded 1st Row"/>
    <w:basedOn w:val="TableNormal"/>
    <w:uiPriority w:val="99"/>
    <w:rsid w:val="000A4349"/>
    <w:pPr>
      <w:spacing w:before="40" w:after="40"/>
    </w:pPr>
    <w:tblPr>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wordWrap/>
        <w:spacing w:beforeLines="0" w:before="60" w:beforeAutospacing="0" w:afterLines="0" w:after="60" w:afterAutospacing="0"/>
      </w:pPr>
      <w:rPr>
        <w:rFonts w:ascii="Arial" w:hAnsi="Arial"/>
        <w:b w:val="0"/>
        <w:sz w:val="20"/>
      </w:rPr>
      <w:tblPr/>
      <w:trPr>
        <w:cantSplit/>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styleId="LightList-Accent1">
    <w:name w:val="Light List Accent 1"/>
    <w:basedOn w:val="TableNormal"/>
    <w:uiPriority w:val="61"/>
    <w:locked/>
    <w:rsid w:val="000B16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TextCentre">
    <w:name w:val="Table Text Centre"/>
    <w:basedOn w:val="TableText"/>
    <w:next w:val="Normal"/>
    <w:qFormat/>
    <w:rsid w:val="00E71684"/>
    <w:pPr>
      <w:jc w:val="center"/>
    </w:pPr>
  </w:style>
  <w:style w:type="paragraph" w:customStyle="1" w:styleId="TableHeadingCentre">
    <w:name w:val="Table Heading Centre"/>
    <w:basedOn w:val="TableHeading"/>
    <w:next w:val="Normal"/>
    <w:qFormat/>
    <w:rsid w:val="009F1A9D"/>
    <w:pPr>
      <w:jc w:val="center"/>
    </w:pPr>
  </w:style>
  <w:style w:type="paragraph" w:customStyle="1" w:styleId="PreliminaryNote">
    <w:name w:val="Preliminary Note"/>
    <w:basedOn w:val="Normal"/>
    <w:next w:val="Normal"/>
    <w:qFormat/>
    <w:rsid w:val="00C45139"/>
    <w:pPr>
      <w:spacing w:before="720" w:after="120"/>
    </w:pPr>
    <w:rPr>
      <w:b/>
      <w:noProof/>
      <w:snapToGrid w:val="0"/>
      <w:sz w:val="21"/>
    </w:rPr>
  </w:style>
  <w:style w:type="paragraph" w:customStyle="1" w:styleId="ISO20022Heading">
    <w:name w:val="ISO 20022 Heading"/>
    <w:basedOn w:val="Copyrighttext"/>
    <w:next w:val="Normal"/>
    <w:qFormat/>
    <w:rsid w:val="00E00855"/>
    <w:pPr>
      <w:spacing w:before="1000"/>
    </w:pPr>
    <w:rPr>
      <w:b/>
      <w:sz w:val="40"/>
      <w:szCs w:val="40"/>
    </w:rPr>
  </w:style>
  <w:style w:type="paragraph" w:customStyle="1" w:styleId="Footnote">
    <w:name w:val="Footnote"/>
    <w:basedOn w:val="Copyrighttext"/>
    <w:qFormat/>
    <w:rsid w:val="00D5245E"/>
    <w:pPr>
      <w:spacing w:after="40"/>
    </w:pPr>
    <w:rPr>
      <w:sz w:val="14"/>
    </w:rPr>
  </w:style>
  <w:style w:type="character" w:customStyle="1" w:styleId="ItalicWord">
    <w:name w:val="Italic Word"/>
    <w:basedOn w:val="DefaultParagraphFont"/>
    <w:uiPriority w:val="1"/>
    <w:qFormat/>
    <w:rsid w:val="002D6766"/>
    <w:rPr>
      <w:i/>
    </w:rPr>
  </w:style>
  <w:style w:type="paragraph" w:customStyle="1" w:styleId="BlockLabelBeforeXML">
    <w:name w:val="Block Label Before XML"/>
    <w:basedOn w:val="BlockLabelBeforeTable"/>
    <w:next w:val="XMLCode"/>
    <w:qFormat/>
    <w:rsid w:val="008B79DA"/>
    <w:pPr>
      <w:spacing w:after="180"/>
    </w:pPr>
  </w:style>
  <w:style w:type="paragraph" w:customStyle="1" w:styleId="ListParagraph1">
    <w:name w:val="List Paragraph1"/>
    <w:basedOn w:val="Normal2"/>
    <w:next w:val="Normal"/>
    <w:qFormat/>
    <w:rsid w:val="00DD3851"/>
    <w:pPr>
      <w:ind w:left="576"/>
    </w:pPr>
  </w:style>
  <w:style w:type="character" w:styleId="Strong">
    <w:name w:val="Strong"/>
    <w:basedOn w:val="DefaultParagraphFont"/>
    <w:qFormat/>
    <w:rsid w:val="003422AF"/>
    <w:rPr>
      <w:b/>
      <w:bCs/>
    </w:rPr>
  </w:style>
  <w:style w:type="paragraph" w:styleId="BlockText">
    <w:name w:val="Block Text"/>
    <w:basedOn w:val="Normal"/>
    <w:semiHidden/>
    <w:locked/>
    <w:rsid w:val="003422AF"/>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character" w:styleId="EndnoteReference">
    <w:name w:val="endnote reference"/>
    <w:basedOn w:val="DefaultParagraphFont"/>
    <w:rsid w:val="003422AF"/>
    <w:rPr>
      <w:vertAlign w:val="superscript"/>
    </w:rPr>
  </w:style>
  <w:style w:type="numbering" w:styleId="111111">
    <w:name w:val="Outline List 2"/>
    <w:basedOn w:val="NoList"/>
    <w:rsid w:val="003422AF"/>
    <w:pPr>
      <w:numPr>
        <w:numId w:val="19"/>
      </w:numPr>
    </w:pPr>
  </w:style>
  <w:style w:type="numbering" w:styleId="1ai">
    <w:name w:val="Outline List 1"/>
    <w:basedOn w:val="NoList"/>
    <w:rsid w:val="003422AF"/>
    <w:pPr>
      <w:numPr>
        <w:numId w:val="20"/>
      </w:numPr>
    </w:pPr>
  </w:style>
  <w:style w:type="paragraph" w:styleId="Closing">
    <w:name w:val="Closing"/>
    <w:basedOn w:val="Normal"/>
    <w:link w:val="ClosingChar"/>
    <w:semiHidden/>
    <w:locked/>
    <w:rsid w:val="003422AF"/>
    <w:pPr>
      <w:spacing w:before="0"/>
      <w:ind w:left="4320"/>
    </w:pPr>
  </w:style>
  <w:style w:type="character" w:customStyle="1" w:styleId="ClosingChar">
    <w:name w:val="Closing Char"/>
    <w:basedOn w:val="DefaultParagraphFont"/>
    <w:link w:val="Closing"/>
    <w:semiHidden/>
    <w:rsid w:val="003422AF"/>
    <w:rPr>
      <w:lang w:val="en-GB"/>
    </w:rPr>
  </w:style>
  <w:style w:type="character" w:styleId="HTMLAcronym">
    <w:name w:val="HTML Acronym"/>
    <w:basedOn w:val="DefaultParagraphFont"/>
    <w:rsid w:val="003422AF"/>
  </w:style>
  <w:style w:type="character" w:styleId="HTMLCite">
    <w:name w:val="HTML Cite"/>
    <w:basedOn w:val="DefaultParagraphFont"/>
    <w:rsid w:val="003422AF"/>
    <w:rPr>
      <w:i/>
      <w:iCs/>
    </w:rPr>
  </w:style>
  <w:style w:type="character" w:styleId="HTMLCode">
    <w:name w:val="HTML Code"/>
    <w:basedOn w:val="DefaultParagraphFont"/>
    <w:rsid w:val="003422AF"/>
    <w:rPr>
      <w:rFonts w:ascii="Courier New" w:hAnsi="Courier New" w:cs="Courier New"/>
      <w:sz w:val="20"/>
      <w:szCs w:val="20"/>
    </w:rPr>
  </w:style>
  <w:style w:type="character" w:styleId="HTMLDefinition">
    <w:name w:val="HTML Definition"/>
    <w:basedOn w:val="DefaultParagraphFont"/>
    <w:rsid w:val="003422AF"/>
    <w:rPr>
      <w:i/>
      <w:iCs/>
    </w:rPr>
  </w:style>
  <w:style w:type="character" w:styleId="HTMLKeyboard">
    <w:name w:val="HTML Keyboard"/>
    <w:basedOn w:val="DefaultParagraphFont"/>
    <w:rsid w:val="003422AF"/>
    <w:rPr>
      <w:rFonts w:ascii="Courier New" w:hAnsi="Courier New" w:cs="Courier New"/>
      <w:sz w:val="20"/>
      <w:szCs w:val="20"/>
    </w:rPr>
  </w:style>
  <w:style w:type="character" w:styleId="HTMLSample">
    <w:name w:val="HTML Sample"/>
    <w:basedOn w:val="DefaultParagraphFont"/>
    <w:rsid w:val="003422AF"/>
    <w:rPr>
      <w:rFonts w:ascii="Courier New" w:hAnsi="Courier New" w:cs="Courier New"/>
    </w:rPr>
  </w:style>
  <w:style w:type="character" w:styleId="HTMLTypewriter">
    <w:name w:val="HTML Typewriter"/>
    <w:basedOn w:val="DefaultParagraphFont"/>
    <w:rsid w:val="003422AF"/>
    <w:rPr>
      <w:rFonts w:ascii="Courier New" w:hAnsi="Courier New" w:cs="Courier New"/>
      <w:sz w:val="20"/>
      <w:szCs w:val="20"/>
    </w:rPr>
  </w:style>
  <w:style w:type="character" w:styleId="HTMLVariable">
    <w:name w:val="HTML Variable"/>
    <w:basedOn w:val="DefaultParagraphFont"/>
    <w:rsid w:val="003422AF"/>
    <w:rPr>
      <w:i/>
      <w:iCs/>
    </w:rPr>
  </w:style>
  <w:style w:type="character" w:styleId="LineNumber">
    <w:name w:val="line number"/>
    <w:basedOn w:val="DefaultParagraphFont"/>
    <w:rsid w:val="003422AF"/>
  </w:style>
  <w:style w:type="paragraph" w:styleId="List">
    <w:name w:val="List"/>
    <w:basedOn w:val="Normal"/>
    <w:rsid w:val="003422AF"/>
    <w:pPr>
      <w:spacing w:after="120"/>
      <w:ind w:left="283" w:hanging="283"/>
    </w:pPr>
    <w:rPr>
      <w:rFonts w:cs="Arial"/>
      <w:sz w:val="19"/>
    </w:rPr>
  </w:style>
  <w:style w:type="paragraph" w:styleId="List2">
    <w:name w:val="List 2"/>
    <w:basedOn w:val="Normal"/>
    <w:rsid w:val="003422AF"/>
    <w:pPr>
      <w:spacing w:after="120"/>
      <w:ind w:left="566" w:hanging="283"/>
    </w:pPr>
    <w:rPr>
      <w:rFonts w:cs="Arial"/>
      <w:sz w:val="19"/>
    </w:rPr>
  </w:style>
  <w:style w:type="paragraph" w:styleId="List3">
    <w:name w:val="List 3"/>
    <w:basedOn w:val="Normal"/>
    <w:rsid w:val="003422AF"/>
    <w:pPr>
      <w:spacing w:after="120"/>
      <w:ind w:left="849" w:hanging="283"/>
    </w:pPr>
    <w:rPr>
      <w:rFonts w:cs="Arial"/>
      <w:sz w:val="19"/>
    </w:rPr>
  </w:style>
  <w:style w:type="paragraph" w:styleId="MessageHeader">
    <w:name w:val="Message Header"/>
    <w:basedOn w:val="Normal"/>
    <w:link w:val="MessageHeaderChar"/>
    <w:rsid w:val="003422AF"/>
    <w:pPr>
      <w:pBdr>
        <w:top w:val="single" w:sz="6" w:space="1" w:color="auto"/>
        <w:left w:val="single" w:sz="6" w:space="1" w:color="auto"/>
        <w:bottom w:val="single" w:sz="6" w:space="1" w:color="auto"/>
        <w:right w:val="single" w:sz="6" w:space="1" w:color="auto"/>
      </w:pBdr>
      <w:shd w:val="pct20" w:color="auto" w:fill="auto"/>
      <w:spacing w:after="120"/>
      <w:ind w:left="1134" w:hanging="1134"/>
    </w:pPr>
    <w:rPr>
      <w:rFonts w:cs="Arial"/>
      <w:szCs w:val="24"/>
    </w:rPr>
  </w:style>
  <w:style w:type="character" w:customStyle="1" w:styleId="MessageHeaderChar">
    <w:name w:val="Message Header Char"/>
    <w:basedOn w:val="DefaultParagraphFont"/>
    <w:link w:val="MessageHeader"/>
    <w:rsid w:val="003422AF"/>
    <w:rPr>
      <w:rFonts w:cs="Arial"/>
      <w:szCs w:val="24"/>
      <w:shd w:val="pct20" w:color="auto" w:fill="auto"/>
      <w:lang w:val="en-GB"/>
    </w:rPr>
  </w:style>
  <w:style w:type="table" w:styleId="Table3Deffects1">
    <w:name w:val="Table 3D effects 1"/>
    <w:basedOn w:val="TableNormal"/>
    <w:locked/>
    <w:rsid w:val="003422AF"/>
    <w:pPr>
      <w:suppressAutoHyphens/>
      <w:spacing w:before="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locked/>
    <w:rsid w:val="003422AF"/>
    <w:pPr>
      <w:suppressAutoHyphens/>
      <w:spacing w:before="1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locked/>
    <w:rsid w:val="003422AF"/>
    <w:pPr>
      <w:suppressAutoHyphens/>
      <w:spacing w:before="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421198">
      <w:bodyDiv w:val="1"/>
      <w:marLeft w:val="0"/>
      <w:marRight w:val="0"/>
      <w:marTop w:val="0"/>
      <w:marBottom w:val="0"/>
      <w:divBdr>
        <w:top w:val="none" w:sz="0" w:space="0" w:color="auto"/>
        <w:left w:val="none" w:sz="0" w:space="0" w:color="auto"/>
        <w:bottom w:val="none" w:sz="0" w:space="0" w:color="auto"/>
        <w:right w:val="none" w:sz="0" w:space="0" w:color="auto"/>
      </w:divBdr>
    </w:div>
    <w:div w:id="730496020">
      <w:bodyDiv w:val="1"/>
      <w:marLeft w:val="0"/>
      <w:marRight w:val="0"/>
      <w:marTop w:val="0"/>
      <w:marBottom w:val="0"/>
      <w:divBdr>
        <w:top w:val="none" w:sz="0" w:space="0" w:color="auto"/>
        <w:left w:val="none" w:sz="0" w:space="0" w:color="auto"/>
        <w:bottom w:val="none" w:sz="0" w:space="0" w:color="auto"/>
        <w:right w:val="none" w:sz="0" w:space="0" w:color="auto"/>
      </w:divBdr>
      <w:divsChild>
        <w:div w:id="2031182095">
          <w:marLeft w:val="446"/>
          <w:marRight w:val="0"/>
          <w:marTop w:val="0"/>
          <w:marBottom w:val="0"/>
          <w:divBdr>
            <w:top w:val="none" w:sz="0" w:space="0" w:color="auto"/>
            <w:left w:val="none" w:sz="0" w:space="0" w:color="auto"/>
            <w:bottom w:val="none" w:sz="0" w:space="0" w:color="auto"/>
            <w:right w:val="none" w:sz="0" w:space="0" w:color="auto"/>
          </w:divBdr>
        </w:div>
        <w:div w:id="1925606269">
          <w:marLeft w:val="446"/>
          <w:marRight w:val="0"/>
          <w:marTop w:val="0"/>
          <w:marBottom w:val="0"/>
          <w:divBdr>
            <w:top w:val="none" w:sz="0" w:space="0" w:color="auto"/>
            <w:left w:val="none" w:sz="0" w:space="0" w:color="auto"/>
            <w:bottom w:val="none" w:sz="0" w:space="0" w:color="auto"/>
            <w:right w:val="none" w:sz="0" w:space="0" w:color="auto"/>
          </w:divBdr>
        </w:div>
        <w:div w:id="480270500">
          <w:marLeft w:val="446"/>
          <w:marRight w:val="0"/>
          <w:marTop w:val="0"/>
          <w:marBottom w:val="0"/>
          <w:divBdr>
            <w:top w:val="none" w:sz="0" w:space="0" w:color="auto"/>
            <w:left w:val="none" w:sz="0" w:space="0" w:color="auto"/>
            <w:bottom w:val="none" w:sz="0" w:space="0" w:color="auto"/>
            <w:right w:val="none" w:sz="0" w:space="0" w:color="auto"/>
          </w:divBdr>
        </w:div>
        <w:div w:id="862210721">
          <w:marLeft w:val="446"/>
          <w:marRight w:val="0"/>
          <w:marTop w:val="0"/>
          <w:marBottom w:val="0"/>
          <w:divBdr>
            <w:top w:val="none" w:sz="0" w:space="0" w:color="auto"/>
            <w:left w:val="none" w:sz="0" w:space="0" w:color="auto"/>
            <w:bottom w:val="none" w:sz="0" w:space="0" w:color="auto"/>
            <w:right w:val="none" w:sz="0" w:space="0" w:color="auto"/>
          </w:divBdr>
        </w:div>
        <w:div w:id="674960510">
          <w:marLeft w:val="446"/>
          <w:marRight w:val="0"/>
          <w:marTop w:val="0"/>
          <w:marBottom w:val="0"/>
          <w:divBdr>
            <w:top w:val="none" w:sz="0" w:space="0" w:color="auto"/>
            <w:left w:val="none" w:sz="0" w:space="0" w:color="auto"/>
            <w:bottom w:val="none" w:sz="0" w:space="0" w:color="auto"/>
            <w:right w:val="none" w:sz="0" w:space="0" w:color="auto"/>
          </w:divBdr>
        </w:div>
      </w:divsChild>
    </w:div>
    <w:div w:id="115988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package" Target="embeddings/Rysunek_programu_Microsoft_Visio.vsdx"/><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www.iso20022.org" TargetMode="Externa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5.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4.xml"/><Relationship Id="rId28" Type="http://schemas.openxmlformats.org/officeDocument/2006/relationships/header" Target="header7.xml"/><Relationship Id="rId10" Type="http://schemas.openxmlformats.org/officeDocument/2006/relationships/settings" Target="settings.xml"/><Relationship Id="rId19" Type="http://schemas.openxmlformats.org/officeDocument/2006/relationships/footer" Target="footer3.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header" Target="header6.xml"/><Relationship Id="rId30" Type="http://schemas.openxmlformats.org/officeDocument/2006/relationships/header" Target="head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hapman\AppData\Local\Microsoft\Windows\Temporary%20Internet%20Files\Content.MSO\6B9972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16/12/2014 20:16:55</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16/12/2014 20:16:55</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16/12/2014 20:16:55</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PSWSDocument" ma:contentTypeID="0x0101004C9DECB2D12E4C3EA904DFA9AD5B1250003B0334B05424834BA44D5117EF25DD4F" ma:contentTypeVersion="15" ma:contentTypeDescription="PlanetSwift Workspace Document" ma:contentTypeScope="" ma:versionID="774fd139389a6e3511459f04d4d16107">
  <xsd:schema xmlns:xsd="http://www.w3.org/2001/XMLSchema" xmlns:xs="http://www.w3.org/2001/XMLSchema" xmlns:p="http://schemas.microsoft.com/office/2006/metadata/properties" xmlns:ns1="http://schemas.microsoft.com/sharepoint/v3" xmlns:ns3="79950fd8-114b-4125-bc89-6e0caf5999ad" xmlns:ns4="3893cfbf-5935-464e-a2c5-0f7de141152c" targetNamespace="http://schemas.microsoft.com/office/2006/metadata/properties" ma:root="true" ma:fieldsID="265d7b55a816ad9ca3b51ce60e9fab0c" ns1:_="" ns3:_="" ns4:_="">
    <xsd:import namespace="http://schemas.microsoft.com/sharepoint/v3"/>
    <xsd:import namespace="79950fd8-114b-4125-bc89-6e0caf5999ad"/>
    <xsd:import namespace="3893cfbf-5935-464e-a2c5-0f7de141152c"/>
    <xsd:element name="properties">
      <xsd:complexType>
        <xsd:sequence>
          <xsd:element name="documentManagement">
            <xsd:complexType>
              <xsd:all>
                <xsd:element ref="ns1:Discuss" minOccurs="0"/>
                <xsd:element ref="ns3:Category" minOccurs="0"/>
                <xsd:element ref="ns3:Doc_x0020_type"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iscuss" ma:index="8" nillable="true" ma:displayName="Discuss" ma:internalName="Discus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950fd8-114b-4125-bc89-6e0caf5999ad" elementFormDefault="qualified">
    <xsd:import namespace="http://schemas.microsoft.com/office/2006/documentManagement/types"/>
    <xsd:import namespace="http://schemas.microsoft.com/office/infopath/2007/PartnerControls"/>
    <xsd:element name="Category" ma:index="9" nillable="true" ma:displayName="Category" ma:list="{51fd23a1-f85a-49fd-96ee-6094035714ae}" ma:internalName="Category" ma:showField="Title">
      <xsd:simpleType>
        <xsd:restriction base="dms:Lookup"/>
      </xsd:simpleType>
    </xsd:element>
    <xsd:element name="Doc_x0020_type" ma:index="10" nillable="true" ma:displayName="Doc type" ma:list="{29dc51db-a2e6-48d0-aaf8-082636b2b52f}" ma:internalName="Doc_x0020_typ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3893cfbf-5935-464e-a2c5-0f7de141152c"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_x0020_type xmlns="79950fd8-114b-4125-bc89-6e0caf5999ad" xsi:nil="true"/>
    <Category xmlns="79950fd8-114b-4125-bc89-6e0caf5999ad" xsi:nil="true"/>
    <_dlc_DocId xmlns="3893cfbf-5935-464e-a2c5-0f7de141152c">SW-AAACH-52783</_dlc_DocId>
    <_dlc_DocIdUrl xmlns="3893cfbf-5935-464e-a2c5-0f7de141152c">
      <Url>https://planet2.swift.com/ourzone/workspaces/Standards%20Team/_layouts/15/DocIdRedir.aspx?ID=SW-AAACH-52783</Url>
      <Description>SW-AAACH-52783</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DU2ZWUzOS0yZGRkLTQyZGMtYWQ2ZS0zY2MyN2M5MjVhOWIiIG9yaWdpbj0idXNlclNlbGVjdGVkIj48ZWxlbWVudCB1aWQ9ImlkX2NsYXNzaWZpY2F0aW9uX2V1cmVzdHJpY3RlZCIgdmFsdWU9IiIgeG1sbnM9Imh0dHA6Ly93d3cuYm9sZG9uamFtZXMuY29tLzIwMDgvMDEvc2llL2ludGVybmFsL2xhYmVsIiAvPjwvc2lzbD48VXNlck5hbWU+RVVSXHBkZWFudG9uMTAwMTc4PC9Vc2VyTmFtZT48RGF0ZVRpbWU+MDQvMDkvMjAyMCAxMjo1MDozMzwvRGF0ZVRpbWU+PExhYmVsU3RyaW5nPkMwIC0gUHVibGljIDwvTGFiZWxTdHJpbmc+PC9pdGVtPjwvbGFiZWxIaXN0b3J5Pg==</Value>
</WrappedLabelHistory>
</file>

<file path=customXml/item6.xml><?xml version="1.0" encoding="utf-8"?>
<sisl xmlns:xsi="http://www.w3.org/2001/XMLSchema-instance" xmlns:xsd="http://www.w3.org/2001/XMLSchema" xmlns="http://www.boldonjames.com/2008/01/sie/internal/label" sislVersion="0" policy="cd56ee39-2ddd-42dc-ad6e-3cc27c925a9b" origin="userSelected">
  <element uid="id_classification_eurestricted" value=""/>
</sisl>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6816B-A037-4051-9954-47ADDD95C181}">
  <ds:schemaRefs>
    <ds:schemaRef ds:uri="http://schemas.microsoft.com/sharepoint/events"/>
  </ds:schemaRefs>
</ds:datastoreItem>
</file>

<file path=customXml/itemProps2.xml><?xml version="1.0" encoding="utf-8"?>
<ds:datastoreItem xmlns:ds="http://schemas.openxmlformats.org/officeDocument/2006/customXml" ds:itemID="{86A77B59-D7DA-4691-BFD1-099027B40A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9950fd8-114b-4125-bc89-6e0caf5999ad"/>
    <ds:schemaRef ds:uri="3893cfbf-5935-464e-a2c5-0f7de1411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13606E-A512-45A1-96A7-BAAB316FB76E}">
  <ds:schemaRefs>
    <ds:schemaRef ds:uri="http://purl.org/dc/dcmitype/"/>
    <ds:schemaRef ds:uri="http://schemas.microsoft.com/office/2006/documentManagement/types"/>
    <ds:schemaRef ds:uri="http://schemas.microsoft.com/office/2006/metadata/properties"/>
    <ds:schemaRef ds:uri="http://schemas.openxmlformats.org/package/2006/metadata/core-properties"/>
    <ds:schemaRef ds:uri="http://schemas.microsoft.com/sharepoint/v3"/>
    <ds:schemaRef ds:uri="http://www.w3.org/XML/1998/namespace"/>
    <ds:schemaRef ds:uri="http://purl.org/dc/elements/1.1/"/>
    <ds:schemaRef ds:uri="http://purl.org/dc/terms/"/>
    <ds:schemaRef ds:uri="http://schemas.microsoft.com/office/infopath/2007/PartnerControls"/>
    <ds:schemaRef ds:uri="3893cfbf-5935-464e-a2c5-0f7de141152c"/>
    <ds:schemaRef ds:uri="79950fd8-114b-4125-bc89-6e0caf5999ad"/>
  </ds:schemaRefs>
</ds:datastoreItem>
</file>

<file path=customXml/itemProps4.xml><?xml version="1.0" encoding="utf-8"?>
<ds:datastoreItem xmlns:ds="http://schemas.openxmlformats.org/officeDocument/2006/customXml" ds:itemID="{C6D63CB3-D990-4CFB-9F1D-962F0CA33E81}">
  <ds:schemaRefs>
    <ds:schemaRef ds:uri="http://schemas.microsoft.com/sharepoint/v3/contenttype/forms"/>
  </ds:schemaRefs>
</ds:datastoreItem>
</file>

<file path=customXml/itemProps5.xml><?xml version="1.0" encoding="utf-8"?>
<ds:datastoreItem xmlns:ds="http://schemas.openxmlformats.org/officeDocument/2006/customXml" ds:itemID="{562A2894-5C0A-4B16-AB1D-35D0DD9D671A}">
  <ds:schemaRefs>
    <ds:schemaRef ds:uri="http://www.w3.org/2001/XMLSchema"/>
    <ds:schemaRef ds:uri="http://www.boldonjames.com/2016/02/Classifier/internal/wrappedLabelHistory"/>
  </ds:schemaRefs>
</ds:datastoreItem>
</file>

<file path=customXml/itemProps6.xml><?xml version="1.0" encoding="utf-8"?>
<ds:datastoreItem xmlns:ds="http://schemas.openxmlformats.org/officeDocument/2006/customXml" ds:itemID="{9DFE2779-5042-4B6B-9965-9C65F0C3A87F}">
  <ds:schemaRefs>
    <ds:schemaRef ds:uri="http://www.w3.org/2001/XMLSchema"/>
    <ds:schemaRef ds:uri="http://www.boldonjames.com/2008/01/sie/internal/label"/>
  </ds:schemaRefs>
</ds:datastoreItem>
</file>

<file path=customXml/itemProps7.xml><?xml version="1.0" encoding="utf-8"?>
<ds:datastoreItem xmlns:ds="http://schemas.openxmlformats.org/officeDocument/2006/customXml" ds:itemID="{4751F7E3-BE58-4D52-9DB5-4565FEF39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6B99727.dotx</Template>
  <TotalTime>4</TotalTime>
  <Pages>13</Pages>
  <Words>2209</Words>
  <Characters>14827</Characters>
  <Application>Microsoft Office Word</Application>
  <DocSecurity>0</DocSecurity>
  <Lines>123</Lines>
  <Paragraphs>34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Standards MX Template</vt:lpstr>
      <vt:lpstr>Standards MX Template</vt:lpstr>
    </vt:vector>
  </TitlesOfParts>
  <Company>S.W.I.F.T. SCRL</Company>
  <LinksUpToDate>false</LinksUpToDate>
  <CharactersWithSpaces>17002</CharactersWithSpaces>
  <SharedDoc>false</SharedDoc>
  <HLinks>
    <vt:vector size="36" baseType="variant">
      <vt:variant>
        <vt:i4>4915200</vt:i4>
      </vt:variant>
      <vt:variant>
        <vt:i4>90</vt:i4>
      </vt:variant>
      <vt:variant>
        <vt:i4>0</vt:i4>
      </vt:variant>
      <vt:variant>
        <vt:i4>5</vt:i4>
      </vt:variant>
      <vt:variant>
        <vt:lpwstr>http://www.swift.com/</vt:lpwstr>
      </vt:variant>
      <vt:variant>
        <vt:lpwstr/>
      </vt:variant>
      <vt:variant>
        <vt:i4>524367</vt:i4>
      </vt:variant>
      <vt:variant>
        <vt:i4>87</vt:i4>
      </vt:variant>
      <vt:variant>
        <vt:i4>0</vt:i4>
      </vt:variant>
      <vt:variant>
        <vt:i4>5</vt:i4>
      </vt:variant>
      <vt:variant>
        <vt:lpwstr>https://livelink.swift.com/livelink/livelink.exe/9558441/Leg_Notices_200809.zip?func=doc.Fetch&amp;nodeid=9558441</vt:lpwstr>
      </vt:variant>
      <vt:variant>
        <vt:lpwstr/>
      </vt:variant>
      <vt:variant>
        <vt:i4>3014769</vt:i4>
      </vt:variant>
      <vt:variant>
        <vt:i4>84</vt:i4>
      </vt:variant>
      <vt:variant>
        <vt:i4>0</vt:i4>
      </vt:variant>
      <vt:variant>
        <vt:i4>5</vt:i4>
      </vt:variant>
      <vt:variant>
        <vt:lpwstr>http://folio.swift.com/</vt:lpwstr>
      </vt:variant>
      <vt:variant>
        <vt:lpwstr/>
      </vt:variant>
      <vt:variant>
        <vt:i4>2883656</vt:i4>
      </vt:variant>
      <vt:variant>
        <vt:i4>9</vt:i4>
      </vt:variant>
      <vt:variant>
        <vt:i4>0</vt:i4>
      </vt:variant>
      <vt:variant>
        <vt:i4>5</vt:i4>
      </vt:variant>
      <vt:variant>
        <vt:lpwstr>https://planet.swift.com/swift/cis/policies_and_documents/Asset_Classification_and_Ownership_Policy_POL_v1_01.pdf</vt:lpwstr>
      </vt:variant>
      <vt:variant>
        <vt:lpwstr/>
      </vt:variant>
      <vt:variant>
        <vt:i4>1507402</vt:i4>
      </vt:variant>
      <vt:variant>
        <vt:i4>6</vt:i4>
      </vt:variant>
      <vt:variant>
        <vt:i4>0</vt:i4>
      </vt:variant>
      <vt:variant>
        <vt:i4>5</vt:i4>
      </vt:variant>
      <vt:variant>
        <vt:lpwstr>http://livelink.swift.com/livelink/livelink.exe?func=ll&amp;objId=5172887&amp;objAction=browse&amp;sort=name</vt:lpwstr>
      </vt:variant>
      <vt:variant>
        <vt:lpwstr/>
      </vt:variant>
      <vt:variant>
        <vt:i4>6225939</vt:i4>
      </vt:variant>
      <vt:variant>
        <vt:i4>3</vt:i4>
      </vt:variant>
      <vt:variant>
        <vt:i4>0</vt:i4>
      </vt:variant>
      <vt:variant>
        <vt:i4>5</vt:i4>
      </vt:variant>
      <vt:variant>
        <vt:lpwstr>https://livelink.swift.com/livelink/livelink.exe?func=ll&amp;objId=6920084&amp;objAction=browse&amp;sort=name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Standards MX Template</dc:title>
  <dc:creator>CHAPMAN Janice</dc:creator>
  <cp:keywords>C0 - Public</cp:keywords>
  <cp:lastModifiedBy>STEENO Aurelie</cp:lastModifiedBy>
  <cp:revision>3</cp:revision>
  <cp:lastPrinted>2012-01-27T10:08:00Z</cp:lastPrinted>
  <dcterms:created xsi:type="dcterms:W3CDTF">2020-11-30T15:05:00Z</dcterms:created>
  <dcterms:modified xsi:type="dcterms:W3CDTF">2020-12-01T14:22:00Z</dcterms:modified>
  <cp:category>Product Family</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status">
    <vt:lpwstr>&lt;REVISION STATUS&gt;</vt:lpwstr>
  </property>
  <property fmtid="{D5CDD505-2E9C-101B-9397-08002B2CF9AE}" pid="3" name="Confidentiality">
    <vt:lpwstr>&lt;CONFIDENTIALITY&gt;</vt:lpwstr>
  </property>
  <property fmtid="{D5CDD505-2E9C-101B-9397-08002B2CF9AE}" pid="4" name="Revision number">
    <vt:lpwstr>&lt;Revision No.X&gt;</vt:lpwstr>
  </property>
  <property fmtid="{D5CDD505-2E9C-101B-9397-08002B2CF9AE}" pid="5" name="Revision date">
    <vt:lpwstr>&lt;RevDate: dd MM 2008&gt;</vt:lpwstr>
  </property>
  <property fmtid="{D5CDD505-2E9C-101B-9397-08002B2CF9AE}" pid="6" name="ContentTypeId">
    <vt:lpwstr>0x0101004C9DECB2D12E4C3EA904DFA9AD5B1250003B0334B05424834BA44D5117EF25DD4F</vt:lpwstr>
  </property>
  <property fmtid="{D5CDD505-2E9C-101B-9397-08002B2CF9AE}" pid="7" name="_dlc_DocIdItemGuid">
    <vt:lpwstr>6b4eba81-ae0e-44d8-9c9e-678a60b4ba3d</vt:lpwstr>
  </property>
  <property fmtid="{D5CDD505-2E9C-101B-9397-08002B2CF9AE}" pid="8" name="docIndexRef">
    <vt:lpwstr>780c46b5-e667-4c3a-bde4-d73c62e0d4de</vt:lpwstr>
  </property>
  <property fmtid="{D5CDD505-2E9C-101B-9397-08002B2CF9AE}" pid="9" name="bjSaver">
    <vt:lpwstr>D+l81Ws1fkDtYEPXtekeZnvHah0Z7tBe</vt:lpwstr>
  </property>
  <property fmtid="{D5CDD505-2E9C-101B-9397-08002B2CF9AE}" pid="10" name="bjDocumentLabelXML">
    <vt:lpwstr>&lt;?xml version="1.0" encoding="us-ascii"?&gt;&lt;sisl xmlns:xsi="http://www.w3.org/2001/XMLSchema-instance" xmlns:xsd="http://www.w3.org/2001/XMLSchema" sislVersion="0" policy="cd56ee39-2ddd-42dc-ad6e-3cc27c925a9b" origin="userSelected" xmlns="http://www.boldonj</vt:lpwstr>
  </property>
  <property fmtid="{D5CDD505-2E9C-101B-9397-08002B2CF9AE}" pid="11" name="bjDocumentLabelXML-0">
    <vt:lpwstr>ames.com/2008/01/sie/internal/label"&gt;&lt;element uid="id_classification_eurestricted" value="" /&gt;&lt;/sisl&gt;</vt:lpwstr>
  </property>
  <property fmtid="{D5CDD505-2E9C-101B-9397-08002B2CF9AE}" pid="12" name="bjDocumentSecurityLabel">
    <vt:lpwstr>C0 - Public</vt:lpwstr>
  </property>
  <property fmtid="{D5CDD505-2E9C-101B-9397-08002B2CF9AE}" pid="13" name="Sensitivity">
    <vt:lpwstr>C0 - Public</vt:lpwstr>
  </property>
  <property fmtid="{D5CDD505-2E9C-101B-9397-08002B2CF9AE}" pid="14" name="Classification_DLP">
    <vt:lpwstr>C0_C0</vt:lpwstr>
  </property>
  <property fmtid="{D5CDD505-2E9C-101B-9397-08002B2CF9AE}" pid="15" name="bjLabelHistoryID">
    <vt:lpwstr>{562A2894-5C0A-4B16-AB1D-35D0DD9D671A}</vt:lpwstr>
  </property>
</Properties>
</file>