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2DBE" w14:textId="77777777" w:rsidR="0033506F" w:rsidRPr="0070102A" w:rsidRDefault="0070102A" w:rsidP="0033506F">
      <w:pPr>
        <w:pStyle w:val="ProductFamily"/>
        <w:rPr>
          <w:b/>
          <w:sz w:val="40"/>
          <w:szCs w:val="40"/>
        </w:rPr>
      </w:pPr>
      <w:r w:rsidRPr="0070102A">
        <w:rPr>
          <w:b/>
          <w:sz w:val="40"/>
          <w:szCs w:val="40"/>
        </w:rPr>
        <w:t>ISO 20022</w:t>
      </w:r>
    </w:p>
    <w:p w14:paraId="100DB24F" w14:textId="5BBAC3A2" w:rsidR="0033506F" w:rsidRPr="008B5259" w:rsidRDefault="00B62BF2" w:rsidP="0033506F">
      <w:pPr>
        <w:pStyle w:val="ProductName"/>
        <w:rPr>
          <w:color w:val="4F81BD" w:themeColor="accent1"/>
          <w:sz w:val="32"/>
          <w:szCs w:val="32"/>
        </w:rPr>
      </w:pPr>
      <w:r w:rsidRPr="00957CBB">
        <w:t>Target2-Securities - Collateral</w:t>
      </w:r>
      <w:r w:rsidR="008B5259" w:rsidRPr="00957CBB">
        <w:t xml:space="preserve"> </w:t>
      </w:r>
    </w:p>
    <w:p w14:paraId="787E43D5" w14:textId="77777777" w:rsidR="008B5259" w:rsidRPr="008B5259" w:rsidRDefault="008B5259" w:rsidP="008B5259">
      <w:pPr>
        <w:pStyle w:val="SWIFTNetversion"/>
      </w:pPr>
    </w:p>
    <w:p w14:paraId="1EFD38FE" w14:textId="49733C78" w:rsidR="0033506F" w:rsidRPr="00CC77DA" w:rsidRDefault="00687943" w:rsidP="0033506F">
      <w:pPr>
        <w:pStyle w:val="Titlepagetext"/>
        <w:rPr>
          <w:sz w:val="32"/>
          <w:szCs w:val="32"/>
        </w:rPr>
      </w:pPr>
      <w:proofErr w:type="gramStart"/>
      <w:r w:rsidRPr="00687943">
        <w:rPr>
          <w:sz w:val="32"/>
          <w:szCs w:val="32"/>
        </w:rPr>
        <w:t>Approved by the Securities and Payments SEG under the leadership of the Securities SEG on the 19th of July 2019.</w:t>
      </w:r>
      <w:proofErr w:type="gramEnd"/>
    </w:p>
    <w:p w14:paraId="7380306D" w14:textId="77777777" w:rsidR="0033506F" w:rsidRPr="008B3BC4" w:rsidRDefault="0033506F" w:rsidP="0033506F">
      <w:pPr>
        <w:pStyle w:val="Productvariant"/>
      </w:pPr>
    </w:p>
    <w:p w14:paraId="17CEC2BB" w14:textId="77777777" w:rsidR="0033506F" w:rsidRPr="008B3BC4" w:rsidRDefault="00CA0823" w:rsidP="0033506F">
      <w:pPr>
        <w:pStyle w:val="DocumentTitle0"/>
      </w:pPr>
      <w:r w:rsidRPr="0070102A">
        <w:rPr>
          <w:b/>
        </w:rPr>
        <w:t>M</w:t>
      </w:r>
      <w:r w:rsidR="0070102A" w:rsidRPr="0070102A">
        <w:rPr>
          <w:b/>
        </w:rPr>
        <w:t>essage Definition Report</w:t>
      </w:r>
      <w:r>
        <w:t xml:space="preserve"> </w:t>
      </w:r>
      <w:r w:rsidR="0070102A" w:rsidRPr="0070102A">
        <w:rPr>
          <w:b/>
        </w:rPr>
        <w:t xml:space="preserve">- </w:t>
      </w:r>
      <w:r w:rsidRPr="0070102A">
        <w:rPr>
          <w:b/>
        </w:rPr>
        <w:t>Part 1</w:t>
      </w:r>
    </w:p>
    <w:p w14:paraId="72114098" w14:textId="77777777" w:rsidR="0033506F" w:rsidRPr="008B3BC4" w:rsidRDefault="0033506F" w:rsidP="0033506F">
      <w:pPr>
        <w:pStyle w:val="DocumentSubtitle"/>
        <w:rPr>
          <w:b/>
          <w:iCs/>
        </w:rPr>
      </w:pPr>
    </w:p>
    <w:p w14:paraId="510A3C39" w14:textId="40FDFF72" w:rsidR="0033506F" w:rsidRPr="008B3BC4" w:rsidRDefault="00907247" w:rsidP="00957CBB">
      <w:pPr>
        <w:pStyle w:val="Releasedate"/>
        <w:sectPr w:rsidR="0033506F" w:rsidRPr="008B3BC4" w:rsidSect="005568C7">
          <w:headerReference w:type="even" r:id="rId9"/>
          <w:headerReference w:type="default" r:id="rId10"/>
          <w:footerReference w:type="even" r:id="rId11"/>
          <w:footerReference w:type="default" r:id="rId12"/>
          <w:headerReference w:type="first" r:id="rId13"/>
          <w:footerReference w:type="first" r:id="rId14"/>
          <w:pgSz w:w="11907" w:h="16840" w:code="9"/>
          <w:pgMar w:top="1021" w:right="1304" w:bottom="1701" w:left="1304" w:header="567" w:footer="533" w:gutter="0"/>
          <w:pgNumType w:start="1"/>
          <w:cols w:space="720"/>
          <w:formProt w:val="0"/>
        </w:sectPr>
      </w:pPr>
      <w:r>
        <w:t>Edition</w:t>
      </w:r>
      <w:r w:rsidR="000B57DD">
        <w:t xml:space="preserve"> </w:t>
      </w:r>
      <w:r w:rsidR="003966DF">
        <w:t>July</w:t>
      </w:r>
      <w:r w:rsidR="00B62BF2">
        <w:t xml:space="preserve"> </w:t>
      </w:r>
      <w:r w:rsidR="00C00E0C">
        <w:t>2019</w:t>
      </w:r>
    </w:p>
    <w:p w14:paraId="10B52815" w14:textId="77777777" w:rsidR="009C1AB2" w:rsidRPr="008B3BC4" w:rsidRDefault="009C1AB2">
      <w:pPr>
        <w:pStyle w:val="Sub-title"/>
        <w:rPr>
          <w:lang w:val="en-GB"/>
        </w:rPr>
      </w:pPr>
      <w:r w:rsidRPr="008B3BC4">
        <w:rPr>
          <w:lang w:val="en-GB"/>
        </w:rPr>
        <w:lastRenderedPageBreak/>
        <w:t>Table of contents</w:t>
      </w:r>
    </w:p>
    <w:p w14:paraId="5E5AED89" w14:textId="77777777" w:rsidR="004D0449" w:rsidRDefault="00115470">
      <w:pPr>
        <w:pStyle w:val="TOC1"/>
        <w:rPr>
          <w:rFonts w:asciiTheme="minorHAnsi" w:eastAsiaTheme="minorEastAsia" w:hAnsiTheme="minorHAnsi" w:cstheme="minorBidi"/>
          <w:b w:val="0"/>
          <w:sz w:val="22"/>
          <w:szCs w:val="22"/>
          <w:lang w:eastAsia="en-GB"/>
        </w:rPr>
      </w:pPr>
      <w:r>
        <w:rPr>
          <w:rFonts w:cs="Arial"/>
          <w:b w:val="0"/>
          <w:sz w:val="20"/>
        </w:rPr>
        <w:fldChar w:fldCharType="begin"/>
      </w:r>
      <w:r>
        <w:rPr>
          <w:rFonts w:cs="Arial"/>
          <w:b w:val="0"/>
          <w:sz w:val="20"/>
        </w:rPr>
        <w:instrText xml:space="preserve"> TOC \o "1-3" \h \z \u </w:instrText>
      </w:r>
      <w:r>
        <w:rPr>
          <w:rFonts w:cs="Arial"/>
          <w:b w:val="0"/>
          <w:sz w:val="20"/>
        </w:rPr>
        <w:fldChar w:fldCharType="separate"/>
      </w:r>
      <w:hyperlink w:anchor="_Toc15292989" w:history="1">
        <w:r w:rsidR="004D0449" w:rsidRPr="008F76DD">
          <w:rPr>
            <w:rStyle w:val="Hyperlink"/>
          </w:rPr>
          <w:t>1.</w:t>
        </w:r>
        <w:r w:rsidR="004D0449">
          <w:rPr>
            <w:rFonts w:asciiTheme="minorHAnsi" w:eastAsiaTheme="minorEastAsia" w:hAnsiTheme="minorHAnsi" w:cstheme="minorBidi"/>
            <w:b w:val="0"/>
            <w:sz w:val="22"/>
            <w:szCs w:val="22"/>
            <w:lang w:eastAsia="en-GB"/>
          </w:rPr>
          <w:tab/>
        </w:r>
        <w:r w:rsidR="004D0449" w:rsidRPr="008F76DD">
          <w:rPr>
            <w:rStyle w:val="Hyperlink"/>
          </w:rPr>
          <w:t>Introduction</w:t>
        </w:r>
        <w:r w:rsidR="004D0449">
          <w:rPr>
            <w:webHidden/>
          </w:rPr>
          <w:tab/>
        </w:r>
        <w:r w:rsidR="004D0449">
          <w:rPr>
            <w:webHidden/>
          </w:rPr>
          <w:fldChar w:fldCharType="begin"/>
        </w:r>
        <w:r w:rsidR="004D0449">
          <w:rPr>
            <w:webHidden/>
          </w:rPr>
          <w:instrText xml:space="preserve"> PAGEREF _Toc15292989 \h </w:instrText>
        </w:r>
        <w:r w:rsidR="004D0449">
          <w:rPr>
            <w:webHidden/>
          </w:rPr>
        </w:r>
        <w:r w:rsidR="004D0449">
          <w:rPr>
            <w:webHidden/>
          </w:rPr>
          <w:fldChar w:fldCharType="separate"/>
        </w:r>
        <w:r w:rsidR="004D0449">
          <w:rPr>
            <w:webHidden/>
          </w:rPr>
          <w:t>3</w:t>
        </w:r>
        <w:r w:rsidR="004D0449">
          <w:rPr>
            <w:webHidden/>
          </w:rPr>
          <w:fldChar w:fldCharType="end"/>
        </w:r>
      </w:hyperlink>
    </w:p>
    <w:p w14:paraId="615791C2"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0" w:history="1">
        <w:r w:rsidRPr="008F76DD">
          <w:rPr>
            <w:rStyle w:val="Hyperlink"/>
          </w:rPr>
          <w:t>1.1</w:t>
        </w:r>
        <w:r>
          <w:rPr>
            <w:rFonts w:asciiTheme="minorHAnsi" w:eastAsiaTheme="minorEastAsia" w:hAnsiTheme="minorHAnsi" w:cstheme="minorBidi"/>
            <w:sz w:val="22"/>
            <w:szCs w:val="22"/>
            <w:lang w:eastAsia="en-GB"/>
          </w:rPr>
          <w:tab/>
        </w:r>
        <w:r w:rsidRPr="008F76DD">
          <w:rPr>
            <w:rStyle w:val="Hyperlink"/>
          </w:rPr>
          <w:t>Terms and definitions</w:t>
        </w:r>
        <w:r>
          <w:rPr>
            <w:webHidden/>
          </w:rPr>
          <w:tab/>
        </w:r>
        <w:r>
          <w:rPr>
            <w:webHidden/>
          </w:rPr>
          <w:fldChar w:fldCharType="begin"/>
        </w:r>
        <w:r>
          <w:rPr>
            <w:webHidden/>
          </w:rPr>
          <w:instrText xml:space="preserve"> PAGEREF _Toc15292990 \h </w:instrText>
        </w:r>
        <w:r>
          <w:rPr>
            <w:webHidden/>
          </w:rPr>
        </w:r>
        <w:r>
          <w:rPr>
            <w:webHidden/>
          </w:rPr>
          <w:fldChar w:fldCharType="separate"/>
        </w:r>
        <w:r>
          <w:rPr>
            <w:webHidden/>
          </w:rPr>
          <w:t>3</w:t>
        </w:r>
        <w:r>
          <w:rPr>
            <w:webHidden/>
          </w:rPr>
          <w:fldChar w:fldCharType="end"/>
        </w:r>
      </w:hyperlink>
    </w:p>
    <w:p w14:paraId="777FBC61"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1" w:history="1">
        <w:r w:rsidRPr="008F76DD">
          <w:rPr>
            <w:rStyle w:val="Hyperlink"/>
          </w:rPr>
          <w:t>1.2</w:t>
        </w:r>
        <w:r>
          <w:rPr>
            <w:rFonts w:asciiTheme="minorHAnsi" w:eastAsiaTheme="minorEastAsia" w:hAnsiTheme="minorHAnsi" w:cstheme="minorBidi"/>
            <w:sz w:val="22"/>
            <w:szCs w:val="22"/>
            <w:lang w:eastAsia="en-GB"/>
          </w:rPr>
          <w:tab/>
        </w:r>
        <w:r w:rsidRPr="008F76DD">
          <w:rPr>
            <w:rStyle w:val="Hyperlink"/>
          </w:rPr>
          <w:t>Glossary</w:t>
        </w:r>
        <w:r>
          <w:rPr>
            <w:webHidden/>
          </w:rPr>
          <w:tab/>
        </w:r>
        <w:r>
          <w:rPr>
            <w:webHidden/>
          </w:rPr>
          <w:fldChar w:fldCharType="begin"/>
        </w:r>
        <w:r>
          <w:rPr>
            <w:webHidden/>
          </w:rPr>
          <w:instrText xml:space="preserve"> PAGEREF _Toc15292991 \h </w:instrText>
        </w:r>
        <w:r>
          <w:rPr>
            <w:webHidden/>
          </w:rPr>
        </w:r>
        <w:r>
          <w:rPr>
            <w:webHidden/>
          </w:rPr>
          <w:fldChar w:fldCharType="separate"/>
        </w:r>
        <w:r>
          <w:rPr>
            <w:webHidden/>
          </w:rPr>
          <w:t>3</w:t>
        </w:r>
        <w:r>
          <w:rPr>
            <w:webHidden/>
          </w:rPr>
          <w:fldChar w:fldCharType="end"/>
        </w:r>
      </w:hyperlink>
    </w:p>
    <w:p w14:paraId="7A6ACD92"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2" w:history="1">
        <w:r w:rsidRPr="008F76DD">
          <w:rPr>
            <w:rStyle w:val="Hyperlink"/>
          </w:rPr>
          <w:t>1.3</w:t>
        </w:r>
        <w:r>
          <w:rPr>
            <w:rFonts w:asciiTheme="minorHAnsi" w:eastAsiaTheme="minorEastAsia" w:hAnsiTheme="minorHAnsi" w:cstheme="minorBidi"/>
            <w:sz w:val="22"/>
            <w:szCs w:val="22"/>
            <w:lang w:eastAsia="en-GB"/>
          </w:rPr>
          <w:tab/>
        </w:r>
        <w:r w:rsidRPr="008F76DD">
          <w:rPr>
            <w:rStyle w:val="Hyperlink"/>
          </w:rPr>
          <w:t>Document Scope and Objectives</w:t>
        </w:r>
        <w:r>
          <w:rPr>
            <w:webHidden/>
          </w:rPr>
          <w:tab/>
        </w:r>
        <w:r>
          <w:rPr>
            <w:webHidden/>
          </w:rPr>
          <w:fldChar w:fldCharType="begin"/>
        </w:r>
        <w:r>
          <w:rPr>
            <w:webHidden/>
          </w:rPr>
          <w:instrText xml:space="preserve"> PAGEREF _Toc15292992 \h </w:instrText>
        </w:r>
        <w:r>
          <w:rPr>
            <w:webHidden/>
          </w:rPr>
        </w:r>
        <w:r>
          <w:rPr>
            <w:webHidden/>
          </w:rPr>
          <w:fldChar w:fldCharType="separate"/>
        </w:r>
        <w:r>
          <w:rPr>
            <w:webHidden/>
          </w:rPr>
          <w:t>4</w:t>
        </w:r>
        <w:r>
          <w:rPr>
            <w:webHidden/>
          </w:rPr>
          <w:fldChar w:fldCharType="end"/>
        </w:r>
      </w:hyperlink>
    </w:p>
    <w:p w14:paraId="6E5D4F4D"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3" w:history="1">
        <w:r w:rsidRPr="008F76DD">
          <w:rPr>
            <w:rStyle w:val="Hyperlink"/>
          </w:rPr>
          <w:t>1.4</w:t>
        </w:r>
        <w:r>
          <w:rPr>
            <w:rFonts w:asciiTheme="minorHAnsi" w:eastAsiaTheme="minorEastAsia" w:hAnsiTheme="minorHAnsi" w:cstheme="minorBidi"/>
            <w:sz w:val="22"/>
            <w:szCs w:val="22"/>
            <w:lang w:eastAsia="en-GB"/>
          </w:rPr>
          <w:tab/>
        </w:r>
        <w:r w:rsidRPr="008F76DD">
          <w:rPr>
            <w:rStyle w:val="Hyperlink"/>
          </w:rPr>
          <w:t>References</w:t>
        </w:r>
        <w:r>
          <w:rPr>
            <w:webHidden/>
          </w:rPr>
          <w:tab/>
        </w:r>
        <w:r>
          <w:rPr>
            <w:webHidden/>
          </w:rPr>
          <w:fldChar w:fldCharType="begin"/>
        </w:r>
        <w:r>
          <w:rPr>
            <w:webHidden/>
          </w:rPr>
          <w:instrText xml:space="preserve"> PAGEREF _Toc15292993 \h </w:instrText>
        </w:r>
        <w:r>
          <w:rPr>
            <w:webHidden/>
          </w:rPr>
        </w:r>
        <w:r>
          <w:rPr>
            <w:webHidden/>
          </w:rPr>
          <w:fldChar w:fldCharType="separate"/>
        </w:r>
        <w:r>
          <w:rPr>
            <w:webHidden/>
          </w:rPr>
          <w:t>4</w:t>
        </w:r>
        <w:r>
          <w:rPr>
            <w:webHidden/>
          </w:rPr>
          <w:fldChar w:fldCharType="end"/>
        </w:r>
      </w:hyperlink>
    </w:p>
    <w:p w14:paraId="0CB82128" w14:textId="77777777" w:rsidR="004D0449" w:rsidRDefault="004D0449">
      <w:pPr>
        <w:pStyle w:val="TOC1"/>
        <w:rPr>
          <w:rFonts w:asciiTheme="minorHAnsi" w:eastAsiaTheme="minorEastAsia" w:hAnsiTheme="minorHAnsi" w:cstheme="minorBidi"/>
          <w:b w:val="0"/>
          <w:sz w:val="22"/>
          <w:szCs w:val="22"/>
          <w:lang w:eastAsia="en-GB"/>
        </w:rPr>
      </w:pPr>
      <w:hyperlink w:anchor="_Toc15292994" w:history="1">
        <w:r w:rsidRPr="008F76DD">
          <w:rPr>
            <w:rStyle w:val="Hyperlink"/>
          </w:rPr>
          <w:t>2.</w:t>
        </w:r>
        <w:r>
          <w:rPr>
            <w:rFonts w:asciiTheme="minorHAnsi" w:eastAsiaTheme="minorEastAsia" w:hAnsiTheme="minorHAnsi" w:cstheme="minorBidi"/>
            <w:b w:val="0"/>
            <w:sz w:val="22"/>
            <w:szCs w:val="22"/>
            <w:lang w:eastAsia="en-GB"/>
          </w:rPr>
          <w:tab/>
        </w:r>
        <w:r w:rsidRPr="008F76DD">
          <w:rPr>
            <w:rStyle w:val="Hyperlink"/>
          </w:rPr>
          <w:t>Scope and Functionality</w:t>
        </w:r>
        <w:r>
          <w:rPr>
            <w:webHidden/>
          </w:rPr>
          <w:tab/>
        </w:r>
        <w:r>
          <w:rPr>
            <w:webHidden/>
          </w:rPr>
          <w:fldChar w:fldCharType="begin"/>
        </w:r>
        <w:r>
          <w:rPr>
            <w:webHidden/>
          </w:rPr>
          <w:instrText xml:space="preserve"> PAGEREF _Toc15292994 \h </w:instrText>
        </w:r>
        <w:r>
          <w:rPr>
            <w:webHidden/>
          </w:rPr>
        </w:r>
        <w:r>
          <w:rPr>
            <w:webHidden/>
          </w:rPr>
          <w:fldChar w:fldCharType="separate"/>
        </w:r>
        <w:r>
          <w:rPr>
            <w:webHidden/>
          </w:rPr>
          <w:t>5</w:t>
        </w:r>
        <w:r>
          <w:rPr>
            <w:webHidden/>
          </w:rPr>
          <w:fldChar w:fldCharType="end"/>
        </w:r>
      </w:hyperlink>
    </w:p>
    <w:p w14:paraId="0EDCA977"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5" w:history="1">
        <w:r w:rsidRPr="008F76DD">
          <w:rPr>
            <w:rStyle w:val="Hyperlink"/>
          </w:rPr>
          <w:t>2.1</w:t>
        </w:r>
        <w:r>
          <w:rPr>
            <w:rFonts w:asciiTheme="minorHAnsi" w:eastAsiaTheme="minorEastAsia" w:hAnsiTheme="minorHAnsi" w:cstheme="minorBidi"/>
            <w:sz w:val="22"/>
            <w:szCs w:val="22"/>
            <w:lang w:eastAsia="en-GB"/>
          </w:rPr>
          <w:tab/>
        </w:r>
        <w:r w:rsidRPr="008F76DD">
          <w:rPr>
            <w:rStyle w:val="Hyperlink"/>
          </w:rPr>
          <w:t>Background</w:t>
        </w:r>
        <w:r>
          <w:rPr>
            <w:webHidden/>
          </w:rPr>
          <w:tab/>
        </w:r>
        <w:r>
          <w:rPr>
            <w:webHidden/>
          </w:rPr>
          <w:fldChar w:fldCharType="begin"/>
        </w:r>
        <w:r>
          <w:rPr>
            <w:webHidden/>
          </w:rPr>
          <w:instrText xml:space="preserve"> PAGEREF _Toc15292995 \h </w:instrText>
        </w:r>
        <w:r>
          <w:rPr>
            <w:webHidden/>
          </w:rPr>
        </w:r>
        <w:r>
          <w:rPr>
            <w:webHidden/>
          </w:rPr>
          <w:fldChar w:fldCharType="separate"/>
        </w:r>
        <w:r>
          <w:rPr>
            <w:webHidden/>
          </w:rPr>
          <w:t>5</w:t>
        </w:r>
        <w:r>
          <w:rPr>
            <w:webHidden/>
          </w:rPr>
          <w:fldChar w:fldCharType="end"/>
        </w:r>
      </w:hyperlink>
    </w:p>
    <w:p w14:paraId="425DFAF8"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6" w:history="1">
        <w:r w:rsidRPr="008F76DD">
          <w:rPr>
            <w:rStyle w:val="Hyperlink"/>
          </w:rPr>
          <w:t>2.2</w:t>
        </w:r>
        <w:r>
          <w:rPr>
            <w:rFonts w:asciiTheme="minorHAnsi" w:eastAsiaTheme="minorEastAsia" w:hAnsiTheme="minorHAnsi" w:cstheme="minorBidi"/>
            <w:sz w:val="22"/>
            <w:szCs w:val="22"/>
            <w:lang w:eastAsia="en-GB"/>
          </w:rPr>
          <w:tab/>
        </w:r>
        <w:r w:rsidRPr="008F76DD">
          <w:rPr>
            <w:rStyle w:val="Hyperlink"/>
          </w:rPr>
          <w:t>Scope</w:t>
        </w:r>
        <w:r>
          <w:rPr>
            <w:webHidden/>
          </w:rPr>
          <w:tab/>
        </w:r>
        <w:r>
          <w:rPr>
            <w:webHidden/>
          </w:rPr>
          <w:fldChar w:fldCharType="begin"/>
        </w:r>
        <w:r>
          <w:rPr>
            <w:webHidden/>
          </w:rPr>
          <w:instrText xml:space="preserve"> PAGEREF _Toc15292996 \h </w:instrText>
        </w:r>
        <w:r>
          <w:rPr>
            <w:webHidden/>
          </w:rPr>
        </w:r>
        <w:r>
          <w:rPr>
            <w:webHidden/>
          </w:rPr>
          <w:fldChar w:fldCharType="separate"/>
        </w:r>
        <w:r>
          <w:rPr>
            <w:webHidden/>
          </w:rPr>
          <w:t>5</w:t>
        </w:r>
        <w:r>
          <w:rPr>
            <w:webHidden/>
          </w:rPr>
          <w:fldChar w:fldCharType="end"/>
        </w:r>
      </w:hyperlink>
    </w:p>
    <w:p w14:paraId="2A71D389"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2997" w:history="1">
        <w:r w:rsidRPr="008F76DD">
          <w:rPr>
            <w:rStyle w:val="Hyperlink"/>
          </w:rPr>
          <w:t>2.3</w:t>
        </w:r>
        <w:r>
          <w:rPr>
            <w:rFonts w:asciiTheme="minorHAnsi" w:eastAsiaTheme="minorEastAsia" w:hAnsiTheme="minorHAnsi" w:cstheme="minorBidi"/>
            <w:sz w:val="22"/>
            <w:szCs w:val="22"/>
            <w:lang w:eastAsia="en-GB"/>
          </w:rPr>
          <w:tab/>
        </w:r>
        <w:r w:rsidRPr="008F76DD">
          <w:rPr>
            <w:rStyle w:val="Hyperlink"/>
          </w:rPr>
          <w:t>Groups of Message Definitions and Functionality</w:t>
        </w:r>
        <w:r>
          <w:rPr>
            <w:webHidden/>
          </w:rPr>
          <w:tab/>
        </w:r>
        <w:r>
          <w:rPr>
            <w:webHidden/>
          </w:rPr>
          <w:fldChar w:fldCharType="begin"/>
        </w:r>
        <w:r>
          <w:rPr>
            <w:webHidden/>
          </w:rPr>
          <w:instrText xml:space="preserve"> PAGEREF _Toc15292997 \h </w:instrText>
        </w:r>
        <w:r>
          <w:rPr>
            <w:webHidden/>
          </w:rPr>
        </w:r>
        <w:r>
          <w:rPr>
            <w:webHidden/>
          </w:rPr>
          <w:fldChar w:fldCharType="separate"/>
        </w:r>
        <w:r>
          <w:rPr>
            <w:webHidden/>
          </w:rPr>
          <w:t>6</w:t>
        </w:r>
        <w:r>
          <w:rPr>
            <w:webHidden/>
          </w:rPr>
          <w:fldChar w:fldCharType="end"/>
        </w:r>
      </w:hyperlink>
    </w:p>
    <w:p w14:paraId="6BCD07A2" w14:textId="77777777" w:rsidR="004D0449" w:rsidRDefault="004D0449">
      <w:pPr>
        <w:pStyle w:val="TOC1"/>
        <w:rPr>
          <w:rFonts w:asciiTheme="minorHAnsi" w:eastAsiaTheme="minorEastAsia" w:hAnsiTheme="minorHAnsi" w:cstheme="minorBidi"/>
          <w:b w:val="0"/>
          <w:sz w:val="22"/>
          <w:szCs w:val="22"/>
          <w:lang w:eastAsia="en-GB"/>
        </w:rPr>
      </w:pPr>
      <w:hyperlink w:anchor="_Toc15292998" w:history="1">
        <w:r w:rsidRPr="008F76DD">
          <w:rPr>
            <w:rStyle w:val="Hyperlink"/>
          </w:rPr>
          <w:t>3.</w:t>
        </w:r>
        <w:r>
          <w:rPr>
            <w:rFonts w:asciiTheme="minorHAnsi" w:eastAsiaTheme="minorEastAsia" w:hAnsiTheme="minorHAnsi" w:cstheme="minorBidi"/>
            <w:b w:val="0"/>
            <w:sz w:val="22"/>
            <w:szCs w:val="22"/>
            <w:lang w:eastAsia="en-GB"/>
          </w:rPr>
          <w:tab/>
        </w:r>
        <w:r w:rsidRPr="008F76DD">
          <w:rPr>
            <w:rStyle w:val="Hyperlink"/>
          </w:rPr>
          <w:t>BusinessRoles and Participants</w:t>
        </w:r>
        <w:r>
          <w:rPr>
            <w:webHidden/>
          </w:rPr>
          <w:tab/>
        </w:r>
        <w:r>
          <w:rPr>
            <w:webHidden/>
          </w:rPr>
          <w:fldChar w:fldCharType="begin"/>
        </w:r>
        <w:r>
          <w:rPr>
            <w:webHidden/>
          </w:rPr>
          <w:instrText xml:space="preserve"> PAGEREF _Toc15292998 \h </w:instrText>
        </w:r>
        <w:r>
          <w:rPr>
            <w:webHidden/>
          </w:rPr>
        </w:r>
        <w:r>
          <w:rPr>
            <w:webHidden/>
          </w:rPr>
          <w:fldChar w:fldCharType="separate"/>
        </w:r>
        <w:r>
          <w:rPr>
            <w:webHidden/>
          </w:rPr>
          <w:t>7</w:t>
        </w:r>
        <w:r>
          <w:rPr>
            <w:webHidden/>
          </w:rPr>
          <w:fldChar w:fldCharType="end"/>
        </w:r>
      </w:hyperlink>
    </w:p>
    <w:p w14:paraId="33AABC07" w14:textId="77777777" w:rsidR="004D0449" w:rsidRDefault="004D0449">
      <w:pPr>
        <w:pStyle w:val="TOC1"/>
        <w:rPr>
          <w:rFonts w:asciiTheme="minorHAnsi" w:eastAsiaTheme="minorEastAsia" w:hAnsiTheme="minorHAnsi" w:cstheme="minorBidi"/>
          <w:b w:val="0"/>
          <w:sz w:val="22"/>
          <w:szCs w:val="22"/>
          <w:lang w:eastAsia="en-GB"/>
        </w:rPr>
      </w:pPr>
      <w:hyperlink w:anchor="_Toc15292999" w:history="1">
        <w:r w:rsidRPr="008F76DD">
          <w:rPr>
            <w:rStyle w:val="Hyperlink"/>
          </w:rPr>
          <w:t>4.</w:t>
        </w:r>
        <w:r>
          <w:rPr>
            <w:rFonts w:asciiTheme="minorHAnsi" w:eastAsiaTheme="minorEastAsia" w:hAnsiTheme="minorHAnsi" w:cstheme="minorBidi"/>
            <w:b w:val="0"/>
            <w:sz w:val="22"/>
            <w:szCs w:val="22"/>
            <w:lang w:eastAsia="en-GB"/>
          </w:rPr>
          <w:tab/>
        </w:r>
        <w:r w:rsidRPr="008F76DD">
          <w:rPr>
            <w:rStyle w:val="Hyperlink"/>
          </w:rPr>
          <w:t>BusinessProcess Description</w:t>
        </w:r>
        <w:r>
          <w:rPr>
            <w:webHidden/>
          </w:rPr>
          <w:tab/>
        </w:r>
        <w:r>
          <w:rPr>
            <w:webHidden/>
          </w:rPr>
          <w:fldChar w:fldCharType="begin"/>
        </w:r>
        <w:r>
          <w:rPr>
            <w:webHidden/>
          </w:rPr>
          <w:instrText xml:space="preserve"> PAGEREF _Toc15292999 \h </w:instrText>
        </w:r>
        <w:r>
          <w:rPr>
            <w:webHidden/>
          </w:rPr>
        </w:r>
        <w:r>
          <w:rPr>
            <w:webHidden/>
          </w:rPr>
          <w:fldChar w:fldCharType="separate"/>
        </w:r>
        <w:r>
          <w:rPr>
            <w:webHidden/>
          </w:rPr>
          <w:t>10</w:t>
        </w:r>
        <w:r>
          <w:rPr>
            <w:webHidden/>
          </w:rPr>
          <w:fldChar w:fldCharType="end"/>
        </w:r>
      </w:hyperlink>
    </w:p>
    <w:p w14:paraId="37FC1ADB"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3000" w:history="1">
        <w:r w:rsidRPr="008F76DD">
          <w:rPr>
            <w:rStyle w:val="Hyperlink"/>
          </w:rPr>
          <w:t>4.1</w:t>
        </w:r>
        <w:r>
          <w:rPr>
            <w:rFonts w:asciiTheme="minorHAnsi" w:eastAsiaTheme="minorEastAsia" w:hAnsiTheme="minorHAnsi" w:cstheme="minorBidi"/>
            <w:sz w:val="22"/>
            <w:szCs w:val="22"/>
            <w:lang w:eastAsia="en-GB"/>
          </w:rPr>
          <w:tab/>
        </w:r>
        <w:r w:rsidRPr="008F76DD">
          <w:rPr>
            <w:rStyle w:val="Hyperlink"/>
          </w:rPr>
          <w:t>BusinessProcess Diagram</w:t>
        </w:r>
        <w:r>
          <w:rPr>
            <w:webHidden/>
          </w:rPr>
          <w:tab/>
        </w:r>
        <w:r>
          <w:rPr>
            <w:webHidden/>
          </w:rPr>
          <w:fldChar w:fldCharType="begin"/>
        </w:r>
        <w:r>
          <w:rPr>
            <w:webHidden/>
          </w:rPr>
          <w:instrText xml:space="preserve"> PAGEREF _Toc15293000 \h </w:instrText>
        </w:r>
        <w:r>
          <w:rPr>
            <w:webHidden/>
          </w:rPr>
        </w:r>
        <w:r>
          <w:rPr>
            <w:webHidden/>
          </w:rPr>
          <w:fldChar w:fldCharType="separate"/>
        </w:r>
        <w:r>
          <w:rPr>
            <w:webHidden/>
          </w:rPr>
          <w:t>10</w:t>
        </w:r>
        <w:r>
          <w:rPr>
            <w:webHidden/>
          </w:rPr>
          <w:fldChar w:fldCharType="end"/>
        </w:r>
      </w:hyperlink>
    </w:p>
    <w:p w14:paraId="5D9F13E1"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3001" w:history="1">
        <w:r w:rsidRPr="008F76DD">
          <w:rPr>
            <w:rStyle w:val="Hyperlink"/>
          </w:rPr>
          <w:t>4.2</w:t>
        </w:r>
        <w:r>
          <w:rPr>
            <w:rFonts w:asciiTheme="minorHAnsi" w:eastAsiaTheme="minorEastAsia" w:hAnsiTheme="minorHAnsi" w:cstheme="minorBidi"/>
            <w:sz w:val="22"/>
            <w:szCs w:val="22"/>
            <w:lang w:eastAsia="en-GB"/>
          </w:rPr>
          <w:tab/>
        </w:r>
        <w:r w:rsidRPr="008F76DD">
          <w:rPr>
            <w:rStyle w:val="Hyperlink"/>
          </w:rPr>
          <w:t>Business process flow</w:t>
        </w:r>
        <w:r>
          <w:rPr>
            <w:webHidden/>
          </w:rPr>
          <w:tab/>
        </w:r>
        <w:r>
          <w:rPr>
            <w:webHidden/>
          </w:rPr>
          <w:fldChar w:fldCharType="begin"/>
        </w:r>
        <w:r>
          <w:rPr>
            <w:webHidden/>
          </w:rPr>
          <w:instrText xml:space="preserve"> PAGEREF _Toc15293001 \h </w:instrText>
        </w:r>
        <w:r>
          <w:rPr>
            <w:webHidden/>
          </w:rPr>
        </w:r>
        <w:r>
          <w:rPr>
            <w:webHidden/>
          </w:rPr>
          <w:fldChar w:fldCharType="separate"/>
        </w:r>
        <w:r>
          <w:rPr>
            <w:webHidden/>
          </w:rPr>
          <w:t>12</w:t>
        </w:r>
        <w:r>
          <w:rPr>
            <w:webHidden/>
          </w:rPr>
          <w:fldChar w:fldCharType="end"/>
        </w:r>
      </w:hyperlink>
    </w:p>
    <w:p w14:paraId="3ACA9427" w14:textId="77777777" w:rsidR="004D0449" w:rsidRDefault="004D0449">
      <w:pPr>
        <w:pStyle w:val="TOC1"/>
        <w:rPr>
          <w:rFonts w:asciiTheme="minorHAnsi" w:eastAsiaTheme="minorEastAsia" w:hAnsiTheme="minorHAnsi" w:cstheme="minorBidi"/>
          <w:b w:val="0"/>
          <w:sz w:val="22"/>
          <w:szCs w:val="22"/>
          <w:lang w:eastAsia="en-GB"/>
        </w:rPr>
      </w:pPr>
      <w:hyperlink w:anchor="_Toc15293002" w:history="1">
        <w:r w:rsidRPr="008F76DD">
          <w:rPr>
            <w:rStyle w:val="Hyperlink"/>
          </w:rPr>
          <w:t>5.</w:t>
        </w:r>
        <w:r>
          <w:rPr>
            <w:rFonts w:asciiTheme="minorHAnsi" w:eastAsiaTheme="minorEastAsia" w:hAnsiTheme="minorHAnsi" w:cstheme="minorBidi"/>
            <w:b w:val="0"/>
            <w:sz w:val="22"/>
            <w:szCs w:val="22"/>
            <w:lang w:eastAsia="en-GB"/>
          </w:rPr>
          <w:tab/>
        </w:r>
        <w:r w:rsidRPr="008F76DD">
          <w:rPr>
            <w:rStyle w:val="Hyperlink"/>
          </w:rPr>
          <w:t>Description of BusinessActivities</w:t>
        </w:r>
        <w:r>
          <w:rPr>
            <w:webHidden/>
          </w:rPr>
          <w:tab/>
        </w:r>
        <w:r>
          <w:rPr>
            <w:webHidden/>
          </w:rPr>
          <w:fldChar w:fldCharType="begin"/>
        </w:r>
        <w:r>
          <w:rPr>
            <w:webHidden/>
          </w:rPr>
          <w:instrText xml:space="preserve"> PAGEREF _Toc15293002 \h </w:instrText>
        </w:r>
        <w:r>
          <w:rPr>
            <w:webHidden/>
          </w:rPr>
        </w:r>
        <w:r>
          <w:rPr>
            <w:webHidden/>
          </w:rPr>
          <w:fldChar w:fldCharType="separate"/>
        </w:r>
        <w:r>
          <w:rPr>
            <w:webHidden/>
          </w:rPr>
          <w:t>13</w:t>
        </w:r>
        <w:r>
          <w:rPr>
            <w:webHidden/>
          </w:rPr>
          <w:fldChar w:fldCharType="end"/>
        </w:r>
      </w:hyperlink>
    </w:p>
    <w:p w14:paraId="08A267D9" w14:textId="77777777" w:rsidR="004D0449" w:rsidRDefault="004D0449">
      <w:pPr>
        <w:pStyle w:val="TOC2"/>
        <w:tabs>
          <w:tab w:val="left" w:pos="1418"/>
        </w:tabs>
        <w:rPr>
          <w:rFonts w:asciiTheme="minorHAnsi" w:eastAsiaTheme="minorEastAsia" w:hAnsiTheme="minorHAnsi" w:cstheme="minorBidi"/>
          <w:sz w:val="22"/>
          <w:szCs w:val="22"/>
          <w:lang w:eastAsia="en-GB"/>
        </w:rPr>
      </w:pPr>
      <w:hyperlink w:anchor="_Toc15293003" w:history="1">
        <w:r w:rsidRPr="008F76DD">
          <w:rPr>
            <w:rStyle w:val="Hyperlink"/>
          </w:rPr>
          <w:t>5.1</w:t>
        </w:r>
        <w:r>
          <w:rPr>
            <w:rFonts w:asciiTheme="minorHAnsi" w:eastAsiaTheme="minorEastAsia" w:hAnsiTheme="minorHAnsi" w:cstheme="minorBidi"/>
            <w:sz w:val="22"/>
            <w:szCs w:val="22"/>
            <w:lang w:eastAsia="en-GB"/>
          </w:rPr>
          <w:tab/>
        </w:r>
        <w:r w:rsidRPr="008F76DD">
          <w:rPr>
            <w:rStyle w:val="Hyperlink"/>
          </w:rPr>
          <w:t>Description of activities – Query Management Process</w:t>
        </w:r>
        <w:r>
          <w:rPr>
            <w:webHidden/>
          </w:rPr>
          <w:tab/>
        </w:r>
        <w:r>
          <w:rPr>
            <w:webHidden/>
          </w:rPr>
          <w:fldChar w:fldCharType="begin"/>
        </w:r>
        <w:r>
          <w:rPr>
            <w:webHidden/>
          </w:rPr>
          <w:instrText xml:space="preserve"> PAGEREF _Toc15293003 \h </w:instrText>
        </w:r>
        <w:r>
          <w:rPr>
            <w:webHidden/>
          </w:rPr>
        </w:r>
        <w:r>
          <w:rPr>
            <w:webHidden/>
          </w:rPr>
          <w:fldChar w:fldCharType="separate"/>
        </w:r>
        <w:r>
          <w:rPr>
            <w:webHidden/>
          </w:rPr>
          <w:t>14</w:t>
        </w:r>
        <w:r>
          <w:rPr>
            <w:webHidden/>
          </w:rPr>
          <w:fldChar w:fldCharType="end"/>
        </w:r>
      </w:hyperlink>
    </w:p>
    <w:p w14:paraId="5976B4D7" w14:textId="77777777" w:rsidR="004D0449" w:rsidRDefault="004D0449">
      <w:pPr>
        <w:pStyle w:val="TOC1"/>
        <w:rPr>
          <w:rFonts w:asciiTheme="minorHAnsi" w:eastAsiaTheme="minorEastAsia" w:hAnsiTheme="minorHAnsi" w:cstheme="minorBidi"/>
          <w:b w:val="0"/>
          <w:sz w:val="22"/>
          <w:szCs w:val="22"/>
          <w:lang w:eastAsia="en-GB"/>
        </w:rPr>
      </w:pPr>
      <w:hyperlink w:anchor="_Toc15293004" w:history="1">
        <w:r w:rsidRPr="008F76DD">
          <w:rPr>
            <w:rStyle w:val="Hyperlink"/>
          </w:rPr>
          <w:t>6.</w:t>
        </w:r>
        <w:r>
          <w:rPr>
            <w:rFonts w:asciiTheme="minorHAnsi" w:eastAsiaTheme="minorEastAsia" w:hAnsiTheme="minorHAnsi" w:cstheme="minorBidi"/>
            <w:b w:val="0"/>
            <w:sz w:val="22"/>
            <w:szCs w:val="22"/>
            <w:lang w:eastAsia="en-GB"/>
          </w:rPr>
          <w:tab/>
        </w:r>
        <w:r w:rsidRPr="008F76DD">
          <w:rPr>
            <w:rStyle w:val="Hyperlink"/>
          </w:rPr>
          <w:t>Business Transactions</w:t>
        </w:r>
        <w:r>
          <w:rPr>
            <w:webHidden/>
          </w:rPr>
          <w:tab/>
        </w:r>
        <w:r>
          <w:rPr>
            <w:webHidden/>
          </w:rPr>
          <w:fldChar w:fldCharType="begin"/>
        </w:r>
        <w:r>
          <w:rPr>
            <w:webHidden/>
          </w:rPr>
          <w:instrText xml:space="preserve"> PAGEREF _Toc15293004 \h </w:instrText>
        </w:r>
        <w:r>
          <w:rPr>
            <w:webHidden/>
          </w:rPr>
        </w:r>
        <w:r>
          <w:rPr>
            <w:webHidden/>
          </w:rPr>
          <w:fldChar w:fldCharType="separate"/>
        </w:r>
        <w:r>
          <w:rPr>
            <w:webHidden/>
          </w:rPr>
          <w:t>16</w:t>
        </w:r>
        <w:r>
          <w:rPr>
            <w:webHidden/>
          </w:rPr>
          <w:fldChar w:fldCharType="end"/>
        </w:r>
      </w:hyperlink>
    </w:p>
    <w:p w14:paraId="3A04811C" w14:textId="77777777" w:rsidR="004D0449" w:rsidRDefault="004D0449">
      <w:pPr>
        <w:pStyle w:val="TOC1"/>
        <w:rPr>
          <w:rFonts w:asciiTheme="minorHAnsi" w:eastAsiaTheme="minorEastAsia" w:hAnsiTheme="minorHAnsi" w:cstheme="minorBidi"/>
          <w:b w:val="0"/>
          <w:sz w:val="22"/>
          <w:szCs w:val="22"/>
          <w:lang w:eastAsia="en-GB"/>
        </w:rPr>
      </w:pPr>
      <w:hyperlink w:anchor="_Toc15293005" w:history="1">
        <w:r w:rsidRPr="008F76DD">
          <w:rPr>
            <w:rStyle w:val="Hyperlink"/>
          </w:rPr>
          <w:t>7.</w:t>
        </w:r>
        <w:r>
          <w:rPr>
            <w:rFonts w:asciiTheme="minorHAnsi" w:eastAsiaTheme="minorEastAsia" w:hAnsiTheme="minorHAnsi" w:cstheme="minorBidi"/>
            <w:b w:val="0"/>
            <w:sz w:val="22"/>
            <w:szCs w:val="22"/>
            <w:lang w:eastAsia="en-GB"/>
          </w:rPr>
          <w:tab/>
        </w:r>
        <w:r w:rsidRPr="008F76DD">
          <w:rPr>
            <w:rStyle w:val="Hyperlink"/>
          </w:rPr>
          <w:t>Revision Record</w:t>
        </w:r>
        <w:r>
          <w:rPr>
            <w:webHidden/>
          </w:rPr>
          <w:tab/>
        </w:r>
        <w:r>
          <w:rPr>
            <w:webHidden/>
          </w:rPr>
          <w:fldChar w:fldCharType="begin"/>
        </w:r>
        <w:r>
          <w:rPr>
            <w:webHidden/>
          </w:rPr>
          <w:instrText xml:space="preserve"> PAGEREF _Toc15293005 \h </w:instrText>
        </w:r>
        <w:r>
          <w:rPr>
            <w:webHidden/>
          </w:rPr>
        </w:r>
        <w:r>
          <w:rPr>
            <w:webHidden/>
          </w:rPr>
          <w:fldChar w:fldCharType="separate"/>
        </w:r>
        <w:r>
          <w:rPr>
            <w:webHidden/>
          </w:rPr>
          <w:t>18</w:t>
        </w:r>
        <w:r>
          <w:rPr>
            <w:webHidden/>
          </w:rPr>
          <w:fldChar w:fldCharType="end"/>
        </w:r>
      </w:hyperlink>
    </w:p>
    <w:p w14:paraId="4AC4E244" w14:textId="77777777" w:rsidR="000579F3" w:rsidRDefault="00115470" w:rsidP="000579F3">
      <w:pPr>
        <w:rPr>
          <w:rFonts w:ascii="Arial" w:hAnsi="Arial" w:cs="Arial"/>
          <w:b/>
          <w:noProof/>
          <w:sz w:val="20"/>
        </w:rPr>
      </w:pPr>
      <w:r>
        <w:rPr>
          <w:rFonts w:ascii="Arial" w:hAnsi="Arial" w:cs="Arial"/>
          <w:b/>
          <w:noProof/>
          <w:sz w:val="20"/>
        </w:rPr>
        <w:fldChar w:fldCharType="end"/>
      </w:r>
    </w:p>
    <w:p w14:paraId="7E291E05" w14:textId="77777777" w:rsidR="000579F3" w:rsidRDefault="000579F3" w:rsidP="000579F3">
      <w:pPr>
        <w:rPr>
          <w:rFonts w:ascii="Arial" w:hAnsi="Arial" w:cs="Arial"/>
          <w:b/>
          <w:noProof/>
          <w:sz w:val="20"/>
        </w:rPr>
      </w:pPr>
    </w:p>
    <w:p w14:paraId="0A71A56C" w14:textId="77777777" w:rsidR="00082879" w:rsidRDefault="00082879" w:rsidP="000579F3">
      <w:pPr>
        <w:rPr>
          <w:rFonts w:ascii="Arial" w:hAnsi="Arial" w:cs="Arial"/>
          <w:b/>
          <w:noProof/>
          <w:sz w:val="20"/>
        </w:rPr>
      </w:pPr>
    </w:p>
    <w:p w14:paraId="44E3E099" w14:textId="77777777" w:rsidR="00082879" w:rsidRDefault="00082879" w:rsidP="000579F3">
      <w:pPr>
        <w:rPr>
          <w:rFonts w:ascii="Arial" w:hAnsi="Arial" w:cs="Arial"/>
          <w:b/>
          <w:noProof/>
          <w:sz w:val="20"/>
        </w:rPr>
      </w:pPr>
    </w:p>
    <w:p w14:paraId="752C288B" w14:textId="77777777" w:rsidR="00082879" w:rsidRDefault="00082879" w:rsidP="000579F3">
      <w:pPr>
        <w:rPr>
          <w:rFonts w:ascii="Arial" w:hAnsi="Arial" w:cs="Arial"/>
          <w:b/>
          <w:noProof/>
          <w:sz w:val="20"/>
        </w:rPr>
      </w:pPr>
    </w:p>
    <w:p w14:paraId="3A1C49F8" w14:textId="77777777" w:rsidR="00082879" w:rsidRDefault="00082879" w:rsidP="000579F3">
      <w:pPr>
        <w:rPr>
          <w:rFonts w:ascii="Arial" w:hAnsi="Arial" w:cs="Arial"/>
          <w:b/>
          <w:noProof/>
          <w:sz w:val="20"/>
        </w:rPr>
      </w:pPr>
    </w:p>
    <w:p w14:paraId="6A4E711A" w14:textId="77777777" w:rsidR="000579F3" w:rsidRPr="00080CF0" w:rsidRDefault="000579F3" w:rsidP="000579F3">
      <w:pPr>
        <w:rPr>
          <w:rFonts w:ascii="Arial" w:hAnsi="Arial" w:cs="Arial"/>
          <w:b/>
          <w:noProof/>
          <w:sz w:val="20"/>
        </w:rPr>
      </w:pPr>
      <w:r w:rsidRPr="00080CF0">
        <w:rPr>
          <w:rFonts w:ascii="Arial" w:hAnsi="Arial" w:cs="Arial"/>
          <w:b/>
          <w:noProof/>
          <w:sz w:val="20"/>
        </w:rPr>
        <w:t>Preliminary note:</w:t>
      </w:r>
    </w:p>
    <w:p w14:paraId="5E55F39F" w14:textId="77777777" w:rsidR="000579F3" w:rsidRPr="00080CF0" w:rsidRDefault="000579F3" w:rsidP="000579F3">
      <w:pPr>
        <w:rPr>
          <w:rFonts w:ascii="Arial" w:hAnsi="Arial" w:cs="Arial"/>
          <w:noProof/>
          <w:sz w:val="20"/>
        </w:rPr>
      </w:pPr>
      <w:r w:rsidRPr="00080CF0">
        <w:rPr>
          <w:rFonts w:ascii="Arial" w:hAnsi="Arial" w:cs="Arial"/>
          <w:noProof/>
          <w:sz w:val="20"/>
        </w:rPr>
        <w:t>The Message Definition Report (MDR) is made of three parts:</w:t>
      </w:r>
    </w:p>
    <w:p w14:paraId="226FFA4C" w14:textId="77777777" w:rsidR="000579F3" w:rsidRPr="00080CF0" w:rsidRDefault="000579F3" w:rsidP="002F0374">
      <w:pPr>
        <w:pStyle w:val="ListParagraph"/>
        <w:numPr>
          <w:ilvl w:val="0"/>
          <w:numId w:val="9"/>
        </w:numPr>
        <w:rPr>
          <w:rFonts w:ascii="Arial" w:hAnsi="Arial" w:cs="Arial"/>
          <w:noProof/>
          <w:sz w:val="20"/>
        </w:rPr>
      </w:pPr>
      <w:r w:rsidRPr="00080CF0">
        <w:rPr>
          <w:rFonts w:ascii="Arial" w:hAnsi="Arial" w:cs="Arial"/>
          <w:b/>
          <w:noProof/>
          <w:sz w:val="20"/>
        </w:rPr>
        <w:t>MDR - Part 1</w:t>
      </w:r>
      <w:r w:rsidRPr="00080CF0">
        <w:rPr>
          <w:rFonts w:ascii="Arial" w:hAnsi="Arial" w:cs="Arial"/>
          <w:noProof/>
          <w:sz w:val="20"/>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5" w:history="1">
        <w:r w:rsidRPr="00080CF0">
          <w:rPr>
            <w:rStyle w:val="Hyperlink"/>
            <w:rFonts w:ascii="Arial" w:hAnsi="Arial" w:cs="Arial"/>
            <w:noProof/>
            <w:color w:val="auto"/>
            <w:sz w:val="20"/>
          </w:rPr>
          <w:t>www.iso20022.org</w:t>
        </w:r>
      </w:hyperlink>
    </w:p>
    <w:p w14:paraId="3CE1FFCA" w14:textId="77777777" w:rsidR="000579F3" w:rsidRPr="00080CF0" w:rsidRDefault="000579F3" w:rsidP="002F0374">
      <w:pPr>
        <w:pStyle w:val="ListParagraph"/>
        <w:numPr>
          <w:ilvl w:val="0"/>
          <w:numId w:val="9"/>
        </w:numPr>
        <w:spacing w:after="240"/>
        <w:rPr>
          <w:rFonts w:ascii="Arial" w:hAnsi="Arial" w:cs="Arial"/>
          <w:noProof/>
          <w:sz w:val="20"/>
        </w:rPr>
      </w:pPr>
      <w:r w:rsidRPr="00080CF0">
        <w:rPr>
          <w:rFonts w:ascii="Arial" w:hAnsi="Arial" w:cs="Arial"/>
          <w:b/>
          <w:noProof/>
          <w:sz w:val="20"/>
        </w:rPr>
        <w:t xml:space="preserve">MDR – Part 2 </w:t>
      </w:r>
      <w:r w:rsidRPr="00080CF0">
        <w:rPr>
          <w:rFonts w:ascii="Arial" w:hAnsi="Arial" w:cs="Arial"/>
          <w:noProof/>
          <w:sz w:val="20"/>
        </w:rPr>
        <w:t>is the detailed description of each message definition of the message set. Part 2 is produced by the RA using the model developed by the submitting organisation.</w:t>
      </w:r>
    </w:p>
    <w:p w14:paraId="451EBB7A" w14:textId="77777777" w:rsidR="000579F3" w:rsidRPr="00080CF0" w:rsidRDefault="000579F3" w:rsidP="002F0374">
      <w:pPr>
        <w:pStyle w:val="ListParagraph"/>
        <w:numPr>
          <w:ilvl w:val="0"/>
          <w:numId w:val="9"/>
        </w:numPr>
        <w:rPr>
          <w:rFonts w:ascii="Arial" w:hAnsi="Arial" w:cs="Arial"/>
          <w:noProof/>
          <w:sz w:val="20"/>
        </w:rPr>
      </w:pPr>
      <w:r w:rsidRPr="00080CF0">
        <w:rPr>
          <w:rFonts w:ascii="Arial" w:hAnsi="Arial" w:cs="Arial"/>
          <w:b/>
          <w:noProof/>
          <w:sz w:val="20"/>
        </w:rPr>
        <w:t xml:space="preserve">MDR – Part 3 </w:t>
      </w:r>
      <w:r w:rsidRPr="00080CF0">
        <w:rPr>
          <w:rFonts w:ascii="Arial" w:hAnsi="Arial" w:cs="Arial"/>
          <w:noProof/>
          <w:sz w:val="20"/>
        </w:rPr>
        <w:t>is an extract of the ISO 20022 Business Model describing the business concepts used in the message set.</w:t>
      </w:r>
      <w:r>
        <w:rPr>
          <w:rFonts w:ascii="Arial" w:hAnsi="Arial" w:cs="Arial"/>
          <w:noProof/>
          <w:sz w:val="20"/>
        </w:rPr>
        <w:t xml:space="preserve"> </w:t>
      </w:r>
      <w:r w:rsidRPr="00080CF0">
        <w:rPr>
          <w:rFonts w:ascii="Arial" w:hAnsi="Arial" w:cs="Arial"/>
          <w:noProof/>
          <w:sz w:val="20"/>
        </w:rPr>
        <w:t>Part 3 is an Excel document produced by the RA.</w:t>
      </w:r>
    </w:p>
    <w:p w14:paraId="470B2205" w14:textId="77777777" w:rsidR="0029002B" w:rsidRDefault="0029002B" w:rsidP="004330F5">
      <w:pPr>
        <w:rPr>
          <w:rFonts w:ascii="Arial" w:hAnsi="Arial" w:cs="Arial"/>
          <w:b/>
          <w:noProof/>
          <w:sz w:val="20"/>
        </w:rPr>
      </w:pPr>
    </w:p>
    <w:p w14:paraId="1124E679" w14:textId="77777777" w:rsidR="007177B4" w:rsidRDefault="007177B4" w:rsidP="004330F5">
      <w:pPr>
        <w:rPr>
          <w:rFonts w:ascii="Arial" w:hAnsi="Arial" w:cs="Arial"/>
          <w:b/>
          <w:noProof/>
          <w:sz w:val="20"/>
        </w:rPr>
      </w:pPr>
    </w:p>
    <w:p w14:paraId="4FAA5C77" w14:textId="77777777" w:rsidR="007177B4" w:rsidRPr="000368C4" w:rsidRDefault="007177B4" w:rsidP="007177B4">
      <w:pPr>
        <w:rPr>
          <w:rFonts w:ascii="Arial" w:hAnsi="Arial" w:cs="Arial"/>
        </w:rPr>
      </w:pPr>
      <w:r w:rsidRPr="000368C4">
        <w:rPr>
          <w:rFonts w:ascii="Arial" w:hAnsi="Arial" w:cs="Arial"/>
        </w:rPr>
        <w:br w:type="page"/>
      </w:r>
    </w:p>
    <w:p w14:paraId="55AA1706" w14:textId="77777777" w:rsidR="007177B4" w:rsidRPr="008B3BC4" w:rsidRDefault="007177B4" w:rsidP="004330F5">
      <w:pPr>
        <w:rPr>
          <w:rFonts w:ascii="Arial" w:hAnsi="Arial" w:cs="Arial"/>
          <w:b/>
          <w:noProof/>
          <w:sz w:val="20"/>
        </w:rPr>
        <w:sectPr w:rsidR="007177B4" w:rsidRPr="008B3BC4" w:rsidSect="005568C7">
          <w:headerReference w:type="even" r:id="rId16"/>
          <w:headerReference w:type="default" r:id="rId17"/>
          <w:footerReference w:type="default" r:id="rId18"/>
          <w:footerReference w:type="first" r:id="rId19"/>
          <w:pgSz w:w="11907" w:h="16840" w:code="9"/>
          <w:pgMar w:top="1021" w:right="1304" w:bottom="1701" w:left="1304" w:header="567" w:footer="533" w:gutter="0"/>
          <w:cols w:space="720"/>
          <w:formProt w:val="0"/>
          <w:titlePg/>
        </w:sectPr>
      </w:pPr>
    </w:p>
    <w:p w14:paraId="79421A31" w14:textId="77777777" w:rsidR="00961093" w:rsidRPr="008B3BC4" w:rsidRDefault="005B5ECF" w:rsidP="0010291D">
      <w:pPr>
        <w:pStyle w:val="Heading1"/>
      </w:pPr>
      <w:bookmarkStart w:id="0" w:name="_Toc116962860"/>
      <w:bookmarkStart w:id="1" w:name="_Toc146690773"/>
      <w:r w:rsidRPr="008B3BC4">
        <w:lastRenderedPageBreak/>
        <w:t xml:space="preserve"> </w:t>
      </w:r>
      <w:bookmarkStart w:id="2" w:name="_Toc15292989"/>
      <w:r w:rsidR="00961093" w:rsidRPr="008B3BC4">
        <w:t>Introduction</w:t>
      </w:r>
      <w:bookmarkEnd w:id="0"/>
      <w:bookmarkEnd w:id="1"/>
      <w:bookmarkEnd w:id="2"/>
    </w:p>
    <w:p w14:paraId="77F3C1E8" w14:textId="77777777" w:rsidR="00840A10" w:rsidRPr="008B3BC4" w:rsidRDefault="00755E11" w:rsidP="00840A10">
      <w:pPr>
        <w:pStyle w:val="Heading2"/>
      </w:pPr>
      <w:bookmarkStart w:id="3" w:name="_Toc116962861"/>
      <w:bookmarkStart w:id="4" w:name="_Toc146690774"/>
      <w:bookmarkStart w:id="5" w:name="_Toc15292990"/>
      <w:r>
        <w:t>Terms and d</w:t>
      </w:r>
      <w:r w:rsidR="00840A10">
        <w:t>efinitions</w:t>
      </w:r>
      <w:bookmarkEnd w:id="5"/>
    </w:p>
    <w:p w14:paraId="5D62E813" w14:textId="77777777" w:rsidR="00840A10" w:rsidRPr="006B1B55" w:rsidRDefault="00840A10" w:rsidP="00840A10">
      <w:pPr>
        <w:rPr>
          <w:rFonts w:ascii="Arial" w:hAnsi="Arial" w:cs="Arial"/>
          <w:sz w:val="18"/>
        </w:rPr>
      </w:pPr>
      <w:r w:rsidRPr="007750E8">
        <w:rPr>
          <w:rFonts w:ascii="Arial" w:hAnsi="Arial" w:cs="Arial"/>
          <w:sz w:val="18"/>
        </w:rPr>
        <w:t>The following terms are reserved words defined in ISO 20022</w:t>
      </w:r>
      <w:r w:rsidR="007177B4">
        <w:rPr>
          <w:rFonts w:ascii="Arial" w:hAnsi="Arial" w:cs="Arial"/>
          <w:sz w:val="18"/>
        </w:rPr>
        <w:t xml:space="preserve"> </w:t>
      </w:r>
      <w:r w:rsidRPr="007750E8">
        <w:rPr>
          <w:rFonts w:ascii="Arial" w:hAnsi="Arial" w:cs="Arial"/>
          <w:sz w:val="18"/>
        </w:rPr>
        <w:t xml:space="preserve">– Part1. When used in this document, they will follow </w:t>
      </w:r>
      <w:r w:rsidRPr="006B1B55">
        <w:rPr>
          <w:rFonts w:ascii="Arial" w:hAnsi="Arial" w:cs="Arial"/>
          <w:sz w:val="18"/>
        </w:rPr>
        <w:t xml:space="preserve">the </w:t>
      </w:r>
      <w:proofErr w:type="spellStart"/>
      <w:r w:rsidRPr="006B1B55">
        <w:rPr>
          <w:rFonts w:ascii="Arial" w:hAnsi="Arial" w:cs="Arial"/>
          <w:sz w:val="18"/>
        </w:rPr>
        <w:t>UpperCamelCase</w:t>
      </w:r>
      <w:proofErr w:type="spellEnd"/>
      <w:r w:rsidRPr="006B1B55">
        <w:rPr>
          <w:rFonts w:ascii="Arial" w:hAnsi="Arial" w:cs="Arial"/>
          <w:sz w:val="18"/>
        </w:rPr>
        <w:t xml:space="preserve"> notation.</w:t>
      </w:r>
    </w:p>
    <w:p w14:paraId="366E186A" w14:textId="77777777" w:rsidR="00840A10" w:rsidRPr="006B1B55"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6B1B55" w14:paraId="7EDDA19A" w14:textId="77777777" w:rsidTr="007177B4">
        <w:tc>
          <w:tcPr>
            <w:tcW w:w="2410" w:type="dxa"/>
            <w:shd w:val="pct60" w:color="000000" w:fill="FFFFFF"/>
            <w:vAlign w:val="center"/>
          </w:tcPr>
          <w:p w14:paraId="38AB697C" w14:textId="77777777" w:rsidR="00840A10" w:rsidRPr="006B1B55" w:rsidRDefault="00755E11" w:rsidP="00B63233">
            <w:pPr>
              <w:pStyle w:val="TableTitle"/>
              <w:rPr>
                <w:rFonts w:ascii="Arial" w:hAnsi="Arial" w:cs="Arial"/>
                <w:sz w:val="20"/>
              </w:rPr>
            </w:pPr>
            <w:r w:rsidRPr="006B1B55">
              <w:rPr>
                <w:rFonts w:ascii="Arial" w:hAnsi="Arial" w:cs="Arial"/>
                <w:sz w:val="20"/>
              </w:rPr>
              <w:t>Term</w:t>
            </w:r>
          </w:p>
        </w:tc>
        <w:tc>
          <w:tcPr>
            <w:tcW w:w="7088" w:type="dxa"/>
            <w:shd w:val="pct60" w:color="000000" w:fill="FFFFFF"/>
            <w:vAlign w:val="center"/>
          </w:tcPr>
          <w:p w14:paraId="22FA7EC2" w14:textId="77777777" w:rsidR="00840A10" w:rsidRPr="006B1B55" w:rsidRDefault="00840A10" w:rsidP="00B63233">
            <w:pPr>
              <w:pStyle w:val="TableTitle"/>
              <w:rPr>
                <w:rFonts w:ascii="Arial" w:hAnsi="Arial" w:cs="Arial"/>
                <w:sz w:val="20"/>
              </w:rPr>
            </w:pPr>
            <w:r w:rsidRPr="006B1B55">
              <w:rPr>
                <w:rFonts w:ascii="Arial" w:hAnsi="Arial" w:cs="Arial"/>
                <w:sz w:val="20"/>
              </w:rPr>
              <w:t>Definition</w:t>
            </w:r>
          </w:p>
        </w:tc>
      </w:tr>
      <w:tr w:rsidR="00840A10" w:rsidRPr="006B1B55" w14:paraId="691D01D5" w14:textId="77777777" w:rsidTr="007177B4">
        <w:tc>
          <w:tcPr>
            <w:tcW w:w="2410" w:type="dxa"/>
            <w:vAlign w:val="center"/>
          </w:tcPr>
          <w:p w14:paraId="178D9BF1" w14:textId="77777777" w:rsidR="00840A10" w:rsidRPr="006B1B55" w:rsidRDefault="00840A10" w:rsidP="00B63233">
            <w:pPr>
              <w:pStyle w:val="TableEntrySpecial"/>
              <w:rPr>
                <w:rFonts w:ascii="Arial" w:hAnsi="Arial" w:cs="Arial"/>
                <w:b w:val="0"/>
                <w:sz w:val="20"/>
              </w:rPr>
            </w:pPr>
            <w:proofErr w:type="spellStart"/>
            <w:r w:rsidRPr="006B1B55">
              <w:rPr>
                <w:rFonts w:ascii="Arial" w:hAnsi="Arial" w:cs="Arial"/>
                <w:b w:val="0"/>
                <w:sz w:val="20"/>
              </w:rPr>
              <w:t>BusinessRole</w:t>
            </w:r>
            <w:proofErr w:type="spellEnd"/>
          </w:p>
        </w:tc>
        <w:tc>
          <w:tcPr>
            <w:tcW w:w="7088" w:type="dxa"/>
            <w:vAlign w:val="center"/>
          </w:tcPr>
          <w:p w14:paraId="2EA41DEE" w14:textId="77777777" w:rsidR="00840A10" w:rsidRPr="006B1B55" w:rsidRDefault="00840A10" w:rsidP="00B63233">
            <w:pPr>
              <w:pStyle w:val="BodyText"/>
              <w:spacing w:before="0"/>
              <w:rPr>
                <w:rFonts w:ascii="Arial" w:hAnsi="Arial" w:cs="Arial"/>
              </w:rPr>
            </w:pPr>
            <w:r w:rsidRPr="006B1B55">
              <w:rPr>
                <w:rFonts w:ascii="Arial" w:hAnsi="Arial" w:cs="Arial"/>
                <w:lang w:val="en-US"/>
              </w:rPr>
              <w:t xml:space="preserve">functional role played by a business actor in a particular </w:t>
            </w:r>
            <w:proofErr w:type="spellStart"/>
            <w:r w:rsidRPr="006B1B55">
              <w:rPr>
                <w:rFonts w:ascii="Arial" w:hAnsi="Arial" w:cs="Arial"/>
                <w:lang w:val="en-US"/>
              </w:rPr>
              <w:t>BusinessProcess</w:t>
            </w:r>
            <w:proofErr w:type="spellEnd"/>
            <w:r w:rsidRPr="006B1B55">
              <w:rPr>
                <w:rFonts w:ascii="Arial" w:hAnsi="Arial" w:cs="Arial"/>
                <w:lang w:val="en-US"/>
              </w:rPr>
              <w:t xml:space="preserve"> or </w:t>
            </w:r>
            <w:proofErr w:type="spellStart"/>
            <w:r w:rsidRPr="006B1B55">
              <w:rPr>
                <w:rFonts w:ascii="Arial" w:hAnsi="Arial" w:cs="Arial"/>
                <w:lang w:val="en-US"/>
              </w:rPr>
              <w:t>BusinessTransaction</w:t>
            </w:r>
            <w:proofErr w:type="spellEnd"/>
          </w:p>
        </w:tc>
      </w:tr>
      <w:tr w:rsidR="00840A10" w:rsidRPr="006B1B55" w14:paraId="2FFDB715" w14:textId="77777777" w:rsidTr="007177B4">
        <w:tc>
          <w:tcPr>
            <w:tcW w:w="2410" w:type="dxa"/>
            <w:vAlign w:val="center"/>
          </w:tcPr>
          <w:p w14:paraId="18DC486F" w14:textId="77777777" w:rsidR="00840A10" w:rsidRPr="006B1B55" w:rsidRDefault="00840A10" w:rsidP="00B63233">
            <w:pPr>
              <w:pStyle w:val="TableEntrySpecial"/>
              <w:rPr>
                <w:rFonts w:ascii="Arial" w:hAnsi="Arial" w:cs="Arial"/>
                <w:b w:val="0"/>
                <w:sz w:val="20"/>
              </w:rPr>
            </w:pPr>
            <w:r w:rsidRPr="006B1B55">
              <w:rPr>
                <w:rFonts w:ascii="Arial" w:hAnsi="Arial" w:cs="Arial"/>
                <w:b w:val="0"/>
                <w:sz w:val="20"/>
              </w:rPr>
              <w:t>Participant</w:t>
            </w:r>
          </w:p>
        </w:tc>
        <w:tc>
          <w:tcPr>
            <w:tcW w:w="7088" w:type="dxa"/>
            <w:vAlign w:val="center"/>
          </w:tcPr>
          <w:p w14:paraId="55D38E0F" w14:textId="77777777" w:rsidR="00840A10" w:rsidRPr="006B1B55" w:rsidRDefault="00840A10" w:rsidP="00B63233">
            <w:pPr>
              <w:pStyle w:val="TableEntry"/>
              <w:rPr>
                <w:rFonts w:ascii="Arial" w:hAnsi="Arial" w:cs="Arial"/>
                <w:sz w:val="20"/>
              </w:rPr>
            </w:pPr>
            <w:r w:rsidRPr="006B1B55">
              <w:rPr>
                <w:rFonts w:ascii="Arial" w:hAnsi="Arial" w:cs="Arial"/>
                <w:sz w:val="20"/>
                <w:lang w:val="en-US"/>
              </w:rPr>
              <w:t xml:space="preserve">involvement of a </w:t>
            </w:r>
            <w:proofErr w:type="spellStart"/>
            <w:r w:rsidRPr="006B1B55">
              <w:rPr>
                <w:rFonts w:ascii="Arial" w:hAnsi="Arial" w:cs="Arial"/>
                <w:sz w:val="20"/>
                <w:lang w:val="en-US"/>
              </w:rPr>
              <w:t>BusinessRole</w:t>
            </w:r>
            <w:proofErr w:type="spellEnd"/>
            <w:r w:rsidRPr="006B1B55">
              <w:rPr>
                <w:rFonts w:ascii="Arial" w:hAnsi="Arial" w:cs="Arial"/>
                <w:sz w:val="20"/>
                <w:lang w:val="en-US"/>
              </w:rPr>
              <w:t xml:space="preserve"> in a </w:t>
            </w:r>
            <w:proofErr w:type="spellStart"/>
            <w:r w:rsidRPr="006B1B55">
              <w:rPr>
                <w:rFonts w:ascii="Arial" w:hAnsi="Arial" w:cs="Arial"/>
                <w:sz w:val="20"/>
                <w:lang w:val="en-US"/>
              </w:rPr>
              <w:t>BusinessTransaction</w:t>
            </w:r>
            <w:proofErr w:type="spellEnd"/>
          </w:p>
        </w:tc>
      </w:tr>
      <w:tr w:rsidR="00840A10" w:rsidRPr="006B1B55" w14:paraId="40120D22" w14:textId="77777777" w:rsidTr="007177B4">
        <w:tc>
          <w:tcPr>
            <w:tcW w:w="2410" w:type="dxa"/>
            <w:vAlign w:val="center"/>
          </w:tcPr>
          <w:p w14:paraId="33656E1B" w14:textId="77777777" w:rsidR="00840A10" w:rsidRPr="006B1B55" w:rsidRDefault="00FB0BEA" w:rsidP="00B63233">
            <w:pPr>
              <w:pStyle w:val="TableEntrySpecial"/>
              <w:rPr>
                <w:rFonts w:ascii="Arial" w:hAnsi="Arial" w:cs="Arial"/>
                <w:b w:val="0"/>
                <w:sz w:val="20"/>
              </w:rPr>
            </w:pPr>
            <w:proofErr w:type="spellStart"/>
            <w:r w:rsidRPr="006B1B55">
              <w:rPr>
                <w:rFonts w:ascii="Arial" w:hAnsi="Arial" w:cs="Arial"/>
                <w:b w:val="0"/>
                <w:sz w:val="20"/>
              </w:rPr>
              <w:t>BusinessProcess</w:t>
            </w:r>
            <w:proofErr w:type="spellEnd"/>
          </w:p>
        </w:tc>
        <w:tc>
          <w:tcPr>
            <w:tcW w:w="7088" w:type="dxa"/>
            <w:vAlign w:val="center"/>
          </w:tcPr>
          <w:p w14:paraId="553DD49A" w14:textId="77777777" w:rsidR="00840A10" w:rsidRPr="006B1B55" w:rsidRDefault="00FB0BEA" w:rsidP="00B63233">
            <w:pPr>
              <w:pStyle w:val="BodyText"/>
              <w:spacing w:before="0"/>
              <w:rPr>
                <w:rFonts w:ascii="Arial" w:hAnsi="Arial" w:cs="Arial"/>
              </w:rPr>
            </w:pPr>
            <w:r w:rsidRPr="006B1B55">
              <w:rPr>
                <w:rFonts w:ascii="Arial" w:hAnsi="Arial" w:cs="Arial"/>
                <w:lang w:val="en-US"/>
              </w:rPr>
              <w:t xml:space="preserve">unrealized definition of the business activities undertaken by </w:t>
            </w:r>
            <w:proofErr w:type="spellStart"/>
            <w:r w:rsidRPr="006B1B55">
              <w:rPr>
                <w:rFonts w:ascii="Arial" w:hAnsi="Arial" w:cs="Arial"/>
                <w:lang w:val="en-US"/>
              </w:rPr>
              <w:t>BusinessRoles</w:t>
            </w:r>
            <w:proofErr w:type="spellEnd"/>
            <w:r w:rsidRPr="006B1B55">
              <w:rPr>
                <w:rFonts w:ascii="Arial" w:hAnsi="Arial" w:cs="Arial"/>
                <w:lang w:val="en-US"/>
              </w:rPr>
              <w:t xml:space="preserve"> within a </w:t>
            </w:r>
            <w:proofErr w:type="spellStart"/>
            <w:r w:rsidRPr="006B1B55">
              <w:rPr>
                <w:rFonts w:ascii="Arial" w:hAnsi="Arial" w:cs="Arial"/>
                <w:lang w:val="en-US"/>
              </w:rPr>
              <w:t>BusinessArea</w:t>
            </w:r>
            <w:proofErr w:type="spellEnd"/>
            <w:r w:rsidRPr="006B1B55">
              <w:rPr>
                <w:rFonts w:ascii="Arial" w:hAnsi="Arial" w:cs="Arial"/>
                <w:lang w:val="en-US"/>
              </w:rPr>
              <w:t xml:space="preserve"> whereby each </w:t>
            </w:r>
            <w:proofErr w:type="spellStart"/>
            <w:r w:rsidRPr="006B1B55">
              <w:rPr>
                <w:rFonts w:ascii="Arial" w:hAnsi="Arial" w:cs="Arial"/>
                <w:lang w:val="en-US"/>
              </w:rPr>
              <w:t>BusinessProcess</w:t>
            </w:r>
            <w:proofErr w:type="spellEnd"/>
            <w:r w:rsidRPr="006B1B55">
              <w:rPr>
                <w:rFonts w:ascii="Arial" w:hAnsi="Arial" w:cs="Arial"/>
                <w:lang w:val="en-US"/>
              </w:rPr>
              <w:t xml:space="preserve"> fulfils one type of business activity and whereby a </w:t>
            </w:r>
            <w:proofErr w:type="spellStart"/>
            <w:r w:rsidRPr="006B1B55">
              <w:rPr>
                <w:rFonts w:ascii="Arial" w:hAnsi="Arial" w:cs="Arial"/>
                <w:lang w:val="en-US"/>
              </w:rPr>
              <w:t>BusinessProcess</w:t>
            </w:r>
            <w:proofErr w:type="spellEnd"/>
            <w:r w:rsidRPr="006B1B55">
              <w:rPr>
                <w:rFonts w:ascii="Arial" w:hAnsi="Arial" w:cs="Arial"/>
                <w:lang w:val="en-US"/>
              </w:rPr>
              <w:t xml:space="preserve"> may include and extend other </w:t>
            </w:r>
            <w:proofErr w:type="spellStart"/>
            <w:r w:rsidRPr="006B1B55">
              <w:rPr>
                <w:rFonts w:ascii="Arial" w:hAnsi="Arial" w:cs="Arial"/>
                <w:lang w:val="en-US"/>
              </w:rPr>
              <w:t>BusinessProcesses</w:t>
            </w:r>
            <w:proofErr w:type="spellEnd"/>
          </w:p>
        </w:tc>
      </w:tr>
      <w:tr w:rsidR="00840A10" w:rsidRPr="006B1B55" w14:paraId="03E5568A" w14:textId="77777777" w:rsidTr="007177B4">
        <w:trPr>
          <w:trHeight w:val="312"/>
        </w:trPr>
        <w:tc>
          <w:tcPr>
            <w:tcW w:w="2410" w:type="dxa"/>
            <w:vAlign w:val="center"/>
          </w:tcPr>
          <w:p w14:paraId="0F8EAE7E" w14:textId="77777777" w:rsidR="00840A10" w:rsidRPr="006B1B55" w:rsidRDefault="00FB0BEA" w:rsidP="00755E11">
            <w:pPr>
              <w:pStyle w:val="TableEntrySpecial"/>
              <w:rPr>
                <w:rFonts w:ascii="Arial" w:hAnsi="Arial" w:cs="Arial"/>
                <w:b w:val="0"/>
                <w:sz w:val="20"/>
              </w:rPr>
            </w:pPr>
            <w:proofErr w:type="spellStart"/>
            <w:r w:rsidRPr="006B1B55">
              <w:rPr>
                <w:rFonts w:ascii="Arial" w:hAnsi="Arial" w:cs="Arial"/>
                <w:b w:val="0"/>
                <w:sz w:val="20"/>
              </w:rPr>
              <w:t>BusinessTransaction</w:t>
            </w:r>
            <w:proofErr w:type="spellEnd"/>
          </w:p>
        </w:tc>
        <w:tc>
          <w:tcPr>
            <w:tcW w:w="7088" w:type="dxa"/>
            <w:vAlign w:val="center"/>
          </w:tcPr>
          <w:p w14:paraId="6FC8C2C8" w14:textId="77777777" w:rsidR="00840A10" w:rsidRPr="006B1B55" w:rsidRDefault="00FB0BEA" w:rsidP="00FB0BEA">
            <w:pPr>
              <w:pStyle w:val="TableEntry"/>
              <w:rPr>
                <w:rFonts w:ascii="Arial" w:hAnsi="Arial" w:cs="Arial"/>
                <w:sz w:val="20"/>
              </w:rPr>
            </w:pPr>
            <w:r w:rsidRPr="006B1B55">
              <w:rPr>
                <w:rFonts w:ascii="Arial" w:hAnsi="Arial" w:cs="Arial"/>
                <w:sz w:val="20"/>
                <w:lang w:val="en-US"/>
              </w:rPr>
              <w:t xml:space="preserve">particular solution that meets the communication requirements and the interaction requirements of a particular </w:t>
            </w:r>
            <w:proofErr w:type="spellStart"/>
            <w:r w:rsidRPr="006B1B55">
              <w:rPr>
                <w:rFonts w:ascii="Arial" w:hAnsi="Arial" w:cs="Arial"/>
                <w:sz w:val="20"/>
                <w:lang w:val="en-US"/>
              </w:rPr>
              <w:t>BusinessProcess</w:t>
            </w:r>
            <w:proofErr w:type="spellEnd"/>
            <w:r w:rsidRPr="006B1B55">
              <w:rPr>
                <w:rFonts w:ascii="Arial" w:hAnsi="Arial" w:cs="Arial"/>
                <w:sz w:val="20"/>
                <w:lang w:val="en-US"/>
              </w:rPr>
              <w:t xml:space="preserve"> and </w:t>
            </w:r>
            <w:proofErr w:type="spellStart"/>
            <w:r w:rsidRPr="006B1B55">
              <w:rPr>
                <w:rFonts w:ascii="Arial" w:hAnsi="Arial" w:cs="Arial"/>
                <w:sz w:val="20"/>
                <w:lang w:val="en-US"/>
              </w:rPr>
              <w:t>BusinessArea</w:t>
            </w:r>
            <w:proofErr w:type="spellEnd"/>
          </w:p>
        </w:tc>
      </w:tr>
      <w:tr w:rsidR="00840A10" w:rsidRPr="006B1B55" w14:paraId="36505725" w14:textId="77777777" w:rsidTr="007177B4">
        <w:tc>
          <w:tcPr>
            <w:tcW w:w="2410" w:type="dxa"/>
            <w:vAlign w:val="center"/>
          </w:tcPr>
          <w:p w14:paraId="1035A48F" w14:textId="77777777" w:rsidR="00840A10" w:rsidRPr="006B1B55" w:rsidRDefault="008F0A01" w:rsidP="00B63233">
            <w:pPr>
              <w:pStyle w:val="TableEntrySpecial"/>
              <w:rPr>
                <w:rFonts w:ascii="Arial" w:hAnsi="Arial" w:cs="Arial"/>
                <w:b w:val="0"/>
                <w:sz w:val="20"/>
              </w:rPr>
            </w:pPr>
            <w:proofErr w:type="spellStart"/>
            <w:r w:rsidRPr="006B1B55">
              <w:rPr>
                <w:rFonts w:ascii="Arial" w:hAnsi="Arial" w:cs="Arial"/>
                <w:b w:val="0"/>
                <w:sz w:val="20"/>
              </w:rPr>
              <w:t>MessageDefinition</w:t>
            </w:r>
            <w:proofErr w:type="spellEnd"/>
          </w:p>
        </w:tc>
        <w:tc>
          <w:tcPr>
            <w:tcW w:w="7088" w:type="dxa"/>
            <w:vAlign w:val="center"/>
          </w:tcPr>
          <w:p w14:paraId="74F6ACCE" w14:textId="77777777" w:rsidR="00840A10" w:rsidRPr="006B1B55" w:rsidRDefault="008F0A01" w:rsidP="00B63233">
            <w:pPr>
              <w:pStyle w:val="BodyText"/>
              <w:spacing w:before="0"/>
              <w:rPr>
                <w:rFonts w:ascii="Arial" w:hAnsi="Arial" w:cs="Arial"/>
              </w:rPr>
            </w:pPr>
            <w:r w:rsidRPr="006B1B55">
              <w:rPr>
                <w:rFonts w:ascii="Arial" w:hAnsi="Arial" w:cs="Arial"/>
              </w:rPr>
              <w:t xml:space="preserve">formal description of the structure of a </w:t>
            </w:r>
            <w:proofErr w:type="spellStart"/>
            <w:r w:rsidRPr="006B1B55">
              <w:rPr>
                <w:rFonts w:ascii="Arial" w:hAnsi="Arial" w:cs="Arial"/>
              </w:rPr>
              <w:t>MessageInstance</w:t>
            </w:r>
            <w:proofErr w:type="spellEnd"/>
          </w:p>
        </w:tc>
      </w:tr>
    </w:tbl>
    <w:p w14:paraId="432BE71B" w14:textId="77777777" w:rsidR="00961093" w:rsidRPr="008B3BC4" w:rsidRDefault="00961093" w:rsidP="00BB5003">
      <w:pPr>
        <w:pStyle w:val="Heading2"/>
      </w:pPr>
      <w:bookmarkStart w:id="6" w:name="_Toc15292991"/>
      <w:r w:rsidRPr="008B3BC4">
        <w:t>Glossary</w:t>
      </w:r>
      <w:bookmarkEnd w:id="3"/>
      <w:bookmarkEnd w:id="4"/>
      <w:bookmarkEnd w:id="6"/>
    </w:p>
    <w:p w14:paraId="064DC749" w14:textId="77777777" w:rsidR="00961093" w:rsidRPr="008B3BC4" w:rsidRDefault="00961093" w:rsidP="007906F1">
      <w:pPr>
        <w:shd w:val="clear" w:color="auto" w:fill="99CCFF"/>
        <w:rPr>
          <w:rFonts w:ascii="Arial" w:hAnsi="Arial" w:cs="Arial"/>
          <w:b/>
        </w:rPr>
      </w:pPr>
      <w:bookmarkStart w:id="7" w:name="_Toc146690776"/>
      <w:bookmarkStart w:id="8" w:name="_Toc116962862"/>
      <w:r w:rsidRPr="008B3BC4">
        <w:rPr>
          <w:rFonts w:ascii="Arial" w:hAnsi="Arial" w:cs="Arial"/>
          <w:b/>
        </w:rPr>
        <w:t>Acronyms</w:t>
      </w:r>
      <w:bookmarkEnd w:id="7"/>
      <w:r w:rsidR="00AE35F7">
        <w:rPr>
          <w:rFonts w:ascii="Arial" w:hAnsi="Arial" w:cs="Arial"/>
          <w:b/>
        </w:rPr>
        <w:t>/Abbreviations</w:t>
      </w:r>
    </w:p>
    <w:tbl>
      <w:tblPr>
        <w:tblpPr w:leftFromText="141" w:rightFromText="141" w:vertAnchor="text" w:horzAnchor="margin" w:tblpY="196"/>
        <w:tblW w:w="907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1984"/>
        <w:gridCol w:w="7088"/>
      </w:tblGrid>
      <w:tr w:rsidR="005C2AEB" w:rsidRPr="00E14A56" w14:paraId="6542D57F" w14:textId="77777777" w:rsidTr="005C2AEB">
        <w:tc>
          <w:tcPr>
            <w:tcW w:w="1984" w:type="dxa"/>
            <w:shd w:val="pct60" w:color="000000" w:fill="FFFFFF"/>
            <w:vAlign w:val="center"/>
          </w:tcPr>
          <w:p w14:paraId="70E2F224" w14:textId="77777777" w:rsidR="005C2AEB" w:rsidRPr="00E14A56" w:rsidRDefault="005C2AEB" w:rsidP="005C2AEB">
            <w:pPr>
              <w:pStyle w:val="TableTitle"/>
              <w:rPr>
                <w:rFonts w:ascii="Arial" w:hAnsi="Arial" w:cs="Arial"/>
                <w:sz w:val="20"/>
              </w:rPr>
            </w:pPr>
            <w:r w:rsidRPr="00E14A56">
              <w:rPr>
                <w:rFonts w:ascii="Arial" w:hAnsi="Arial" w:cs="Arial"/>
                <w:sz w:val="20"/>
              </w:rPr>
              <w:t>Acronym</w:t>
            </w:r>
          </w:p>
        </w:tc>
        <w:tc>
          <w:tcPr>
            <w:tcW w:w="7088" w:type="dxa"/>
            <w:shd w:val="pct60" w:color="000000" w:fill="FFFFFF"/>
            <w:vAlign w:val="center"/>
          </w:tcPr>
          <w:p w14:paraId="4D7038E0" w14:textId="77777777" w:rsidR="005C2AEB" w:rsidRPr="00E14A56" w:rsidRDefault="005C2AEB" w:rsidP="005C2AEB">
            <w:pPr>
              <w:pStyle w:val="TableTitle"/>
              <w:rPr>
                <w:rFonts w:ascii="Arial" w:hAnsi="Arial" w:cs="Arial"/>
                <w:sz w:val="20"/>
              </w:rPr>
            </w:pPr>
            <w:r w:rsidRPr="00E14A56">
              <w:rPr>
                <w:rFonts w:ascii="Arial" w:hAnsi="Arial" w:cs="Arial"/>
                <w:sz w:val="20"/>
              </w:rPr>
              <w:t>Definition</w:t>
            </w:r>
          </w:p>
        </w:tc>
      </w:tr>
      <w:tr w:rsidR="005C2AEB" w:rsidRPr="002C62CD" w14:paraId="180F7527" w14:textId="77777777" w:rsidTr="005C2AEB">
        <w:tc>
          <w:tcPr>
            <w:tcW w:w="1984" w:type="dxa"/>
          </w:tcPr>
          <w:p w14:paraId="50054719" w14:textId="77777777" w:rsidR="005C2AEB" w:rsidRPr="00E14A56" w:rsidRDefault="005C2AEB" w:rsidP="005C2AEB">
            <w:pPr>
              <w:pStyle w:val="TableEntrySpecial"/>
              <w:rPr>
                <w:rFonts w:ascii="Arial" w:hAnsi="Arial" w:cs="Arial"/>
              </w:rPr>
            </w:pPr>
            <w:r w:rsidRPr="00E14A56">
              <w:rPr>
                <w:rFonts w:ascii="Arial" w:hAnsi="Arial" w:cs="Arial"/>
              </w:rPr>
              <w:t>4CB</w:t>
            </w:r>
          </w:p>
        </w:tc>
        <w:tc>
          <w:tcPr>
            <w:tcW w:w="7088" w:type="dxa"/>
          </w:tcPr>
          <w:p w14:paraId="75855B60" w14:textId="77777777" w:rsidR="005C2AEB" w:rsidRPr="00E14A56" w:rsidRDefault="005C2AEB" w:rsidP="005C2AEB">
            <w:pPr>
              <w:pStyle w:val="TableEntry"/>
              <w:rPr>
                <w:rFonts w:ascii="Arial" w:hAnsi="Arial" w:cs="Arial"/>
                <w:lang w:val="it-IT"/>
              </w:rPr>
            </w:pPr>
            <w:r w:rsidRPr="00E14A56">
              <w:rPr>
                <w:rFonts w:ascii="Arial" w:hAnsi="Arial" w:cs="Arial"/>
                <w:lang w:val="es-ES"/>
              </w:rPr>
              <w:t xml:space="preserve">Banca </w:t>
            </w:r>
            <w:proofErr w:type="spellStart"/>
            <w:r w:rsidRPr="00E14A56">
              <w:rPr>
                <w:rFonts w:ascii="Arial" w:hAnsi="Arial" w:cs="Arial"/>
                <w:lang w:val="es-ES"/>
              </w:rPr>
              <w:t>d’Italia</w:t>
            </w:r>
            <w:proofErr w:type="spellEnd"/>
            <w:r w:rsidRPr="00E14A56">
              <w:rPr>
                <w:rFonts w:ascii="Arial" w:hAnsi="Arial" w:cs="Arial"/>
                <w:lang w:val="es-ES"/>
              </w:rPr>
              <w:t xml:space="preserve">, Banque de France, Deutsche Bundesbank and Banco </w:t>
            </w:r>
            <w:proofErr w:type="spellStart"/>
            <w:r w:rsidRPr="00E14A56">
              <w:rPr>
                <w:rFonts w:ascii="Arial" w:hAnsi="Arial" w:cs="Arial"/>
                <w:lang w:val="es-ES"/>
              </w:rPr>
              <w:t>d’Espa</w:t>
            </w:r>
            <w:r>
              <w:rPr>
                <w:rFonts w:ascii="Arial" w:hAnsi="Arial" w:cs="Arial"/>
                <w:lang w:val="es-ES"/>
              </w:rPr>
              <w:t>ñ</w:t>
            </w:r>
            <w:r w:rsidRPr="00E14A56">
              <w:rPr>
                <w:rFonts w:ascii="Arial" w:hAnsi="Arial" w:cs="Arial"/>
                <w:lang w:val="es-ES"/>
              </w:rPr>
              <w:t>a</w:t>
            </w:r>
            <w:proofErr w:type="spellEnd"/>
          </w:p>
        </w:tc>
      </w:tr>
      <w:tr w:rsidR="005C2AEB" w:rsidRPr="00E14A56" w14:paraId="5D4EEE4D" w14:textId="77777777" w:rsidTr="005C2AEB">
        <w:tc>
          <w:tcPr>
            <w:tcW w:w="1984" w:type="dxa"/>
          </w:tcPr>
          <w:p w14:paraId="240E15A3" w14:textId="77777777" w:rsidR="005C2AEB" w:rsidRPr="00E14A56" w:rsidRDefault="005C2AEB" w:rsidP="005C2AEB">
            <w:pPr>
              <w:pStyle w:val="TableEntrySpecial"/>
              <w:rPr>
                <w:rFonts w:ascii="Arial" w:hAnsi="Arial" w:cs="Arial"/>
              </w:rPr>
            </w:pPr>
            <w:r w:rsidRPr="00E14A56">
              <w:rPr>
                <w:rFonts w:ascii="Arial" w:hAnsi="Arial" w:cs="Arial"/>
              </w:rPr>
              <w:t>ACH</w:t>
            </w:r>
          </w:p>
        </w:tc>
        <w:tc>
          <w:tcPr>
            <w:tcW w:w="7088" w:type="dxa"/>
          </w:tcPr>
          <w:p w14:paraId="4B60D818" w14:textId="77777777" w:rsidR="005C2AEB" w:rsidRPr="00E14A56" w:rsidRDefault="005C2AEB" w:rsidP="005C2AEB">
            <w:pPr>
              <w:pStyle w:val="TableEntry"/>
              <w:rPr>
                <w:rFonts w:ascii="Arial" w:hAnsi="Arial" w:cs="Arial"/>
              </w:rPr>
            </w:pPr>
            <w:r w:rsidRPr="00E14A56">
              <w:rPr>
                <w:rFonts w:ascii="Arial" w:hAnsi="Arial" w:cs="Arial"/>
              </w:rPr>
              <w:t>Automated Clearing House</w:t>
            </w:r>
          </w:p>
        </w:tc>
      </w:tr>
      <w:tr w:rsidR="005C2AEB" w:rsidRPr="00F96AC3" w14:paraId="7CBC3287" w14:textId="77777777" w:rsidTr="005C2AEB">
        <w:tc>
          <w:tcPr>
            <w:tcW w:w="1984" w:type="dxa"/>
          </w:tcPr>
          <w:p w14:paraId="3818FB28" w14:textId="77777777" w:rsidR="005C2AEB" w:rsidRPr="00E14A56" w:rsidRDefault="005C2AEB" w:rsidP="005C2AEB">
            <w:pPr>
              <w:pStyle w:val="TableEntrySpecial"/>
              <w:rPr>
                <w:rFonts w:ascii="Arial" w:hAnsi="Arial" w:cs="Arial"/>
              </w:rPr>
            </w:pPr>
            <w:r w:rsidRPr="00D721CA">
              <w:rPr>
                <w:rFonts w:ascii="Arial" w:hAnsi="Arial" w:cs="Arial"/>
              </w:rPr>
              <w:t>A2A</w:t>
            </w:r>
          </w:p>
        </w:tc>
        <w:tc>
          <w:tcPr>
            <w:tcW w:w="7088" w:type="dxa"/>
          </w:tcPr>
          <w:p w14:paraId="3167F8AF" w14:textId="77777777" w:rsidR="005C2AEB" w:rsidRPr="00E14A56" w:rsidRDefault="005C2AEB" w:rsidP="005C2AEB">
            <w:pPr>
              <w:pStyle w:val="TableEntry"/>
              <w:rPr>
                <w:rFonts w:ascii="Arial" w:hAnsi="Arial" w:cs="Arial"/>
              </w:rPr>
            </w:pPr>
            <w:r w:rsidRPr="00D721CA">
              <w:rPr>
                <w:rFonts w:ascii="Arial" w:hAnsi="Arial" w:cs="Arial"/>
              </w:rPr>
              <w:t>Application-to-Application mode. Defines a mode of technical communication that permits the exchange of information between software applications of T2S and a directly connected T2S actor.</w:t>
            </w:r>
          </w:p>
        </w:tc>
      </w:tr>
      <w:tr w:rsidR="005C2AEB" w:rsidRPr="00E14A56" w14:paraId="417787CE" w14:textId="77777777" w:rsidTr="005C2AEB">
        <w:tc>
          <w:tcPr>
            <w:tcW w:w="1984" w:type="dxa"/>
          </w:tcPr>
          <w:p w14:paraId="5AEB66E4" w14:textId="77777777" w:rsidR="005C2AEB" w:rsidRPr="00E14A56" w:rsidRDefault="005C2AEB" w:rsidP="005C2AEB">
            <w:pPr>
              <w:pStyle w:val="TableEntrySpecial"/>
              <w:rPr>
                <w:rFonts w:ascii="Arial" w:hAnsi="Arial" w:cs="Arial"/>
              </w:rPr>
            </w:pPr>
            <w:r w:rsidRPr="00E14A56">
              <w:rPr>
                <w:rFonts w:ascii="Arial" w:hAnsi="Arial" w:cs="Arial"/>
              </w:rPr>
              <w:t>BAH</w:t>
            </w:r>
            <w:r>
              <w:rPr>
                <w:rFonts w:ascii="Arial" w:hAnsi="Arial" w:cs="Arial"/>
              </w:rPr>
              <w:t>/head.001</w:t>
            </w:r>
          </w:p>
        </w:tc>
        <w:tc>
          <w:tcPr>
            <w:tcW w:w="7088" w:type="dxa"/>
          </w:tcPr>
          <w:p w14:paraId="13D730CB" w14:textId="77777777" w:rsidR="005C2AEB" w:rsidRPr="00E14A56" w:rsidRDefault="005C2AEB" w:rsidP="005C2AEB">
            <w:pPr>
              <w:pStyle w:val="TableEntry"/>
              <w:rPr>
                <w:rFonts w:ascii="Arial" w:hAnsi="Arial" w:cs="Arial"/>
              </w:rPr>
            </w:pPr>
            <w:r w:rsidRPr="00E14A56">
              <w:rPr>
                <w:rFonts w:ascii="Arial" w:hAnsi="Arial" w:cs="Arial"/>
              </w:rPr>
              <w:t>Business Application Header</w:t>
            </w:r>
          </w:p>
        </w:tc>
      </w:tr>
      <w:tr w:rsidR="00404084" w:rsidRPr="00E14A56" w14:paraId="76DF8BA3" w14:textId="77777777" w:rsidTr="005C2AEB">
        <w:tc>
          <w:tcPr>
            <w:tcW w:w="1984" w:type="dxa"/>
          </w:tcPr>
          <w:p w14:paraId="21A1BC2F" w14:textId="77777777" w:rsidR="00404084" w:rsidRPr="00404084" w:rsidRDefault="00404084" w:rsidP="005C2AEB">
            <w:pPr>
              <w:pStyle w:val="TableEntrySpecial"/>
              <w:rPr>
                <w:rFonts w:ascii="Arial" w:hAnsi="Arial" w:cs="Arial"/>
                <w:lang w:val="es-ES"/>
              </w:rPr>
            </w:pPr>
            <w:r>
              <w:rPr>
                <w:rFonts w:ascii="Arial" w:hAnsi="Arial" w:cs="Arial"/>
                <w:lang w:val="es-ES"/>
              </w:rPr>
              <w:t>Head.002</w:t>
            </w:r>
          </w:p>
        </w:tc>
        <w:tc>
          <w:tcPr>
            <w:tcW w:w="7088" w:type="dxa"/>
          </w:tcPr>
          <w:p w14:paraId="54BD2273" w14:textId="77777777" w:rsidR="00404084" w:rsidRDefault="00404084" w:rsidP="005C2AEB">
            <w:pPr>
              <w:pStyle w:val="TableEntry"/>
              <w:rPr>
                <w:rFonts w:ascii="Arial" w:hAnsi="Arial" w:cs="Arial"/>
                <w:lang w:val="es-ES"/>
              </w:rPr>
            </w:pPr>
            <w:r>
              <w:rPr>
                <w:rFonts w:ascii="Arial" w:hAnsi="Arial" w:cs="Arial"/>
                <w:lang w:val="es-ES"/>
              </w:rPr>
              <w:t xml:space="preserve">Business File </w:t>
            </w:r>
            <w:proofErr w:type="spellStart"/>
            <w:r>
              <w:rPr>
                <w:rFonts w:ascii="Arial" w:hAnsi="Arial" w:cs="Arial"/>
                <w:lang w:val="es-ES"/>
              </w:rPr>
              <w:t>Header</w:t>
            </w:r>
            <w:proofErr w:type="spellEnd"/>
            <w:r>
              <w:rPr>
                <w:rFonts w:ascii="Arial" w:hAnsi="Arial" w:cs="Arial"/>
                <w:lang w:val="es-ES"/>
              </w:rPr>
              <w:t xml:space="preserve"> </w:t>
            </w:r>
            <w:proofErr w:type="spellStart"/>
            <w:r>
              <w:rPr>
                <w:rFonts w:ascii="Arial" w:hAnsi="Arial" w:cs="Arial"/>
                <w:lang w:val="es-ES"/>
              </w:rPr>
              <w:t>for</w:t>
            </w:r>
            <w:proofErr w:type="spellEnd"/>
            <w:r>
              <w:rPr>
                <w:rFonts w:ascii="Arial" w:hAnsi="Arial" w:cs="Arial"/>
                <w:lang w:val="es-ES"/>
              </w:rPr>
              <w:t xml:space="preserve"> </w:t>
            </w:r>
            <w:proofErr w:type="spellStart"/>
            <w:r>
              <w:rPr>
                <w:rFonts w:ascii="Arial" w:hAnsi="Arial" w:cs="Arial"/>
                <w:lang w:val="es-ES"/>
              </w:rPr>
              <w:t>multi</w:t>
            </w:r>
            <w:proofErr w:type="spellEnd"/>
            <w:r>
              <w:rPr>
                <w:rFonts w:ascii="Arial" w:hAnsi="Arial" w:cs="Arial"/>
                <w:lang w:val="es-ES"/>
              </w:rPr>
              <w:t xml:space="preserve"> </w:t>
            </w:r>
            <w:proofErr w:type="spellStart"/>
            <w:r>
              <w:rPr>
                <w:rFonts w:ascii="Arial" w:hAnsi="Arial" w:cs="Arial"/>
                <w:lang w:val="es-ES"/>
              </w:rPr>
              <w:t>messages</w:t>
            </w:r>
            <w:proofErr w:type="spellEnd"/>
          </w:p>
        </w:tc>
      </w:tr>
      <w:tr w:rsidR="005C2AEB" w:rsidRPr="00E14A56" w14:paraId="70750598" w14:textId="77777777" w:rsidTr="005C2AEB">
        <w:tc>
          <w:tcPr>
            <w:tcW w:w="1984" w:type="dxa"/>
          </w:tcPr>
          <w:p w14:paraId="78FCE1B3" w14:textId="77777777" w:rsidR="005C2AEB" w:rsidRPr="00E14A56" w:rsidRDefault="005C2AEB" w:rsidP="005C2AEB">
            <w:pPr>
              <w:pStyle w:val="TableEntrySpecial"/>
              <w:rPr>
                <w:rFonts w:ascii="Arial" w:hAnsi="Arial" w:cs="Arial"/>
              </w:rPr>
            </w:pPr>
            <w:r>
              <w:rPr>
                <w:rFonts w:ascii="Arial" w:hAnsi="Arial" w:cs="Arial"/>
              </w:rPr>
              <w:t>BIC</w:t>
            </w:r>
          </w:p>
        </w:tc>
        <w:tc>
          <w:tcPr>
            <w:tcW w:w="7088" w:type="dxa"/>
          </w:tcPr>
          <w:p w14:paraId="186B890A" w14:textId="77777777" w:rsidR="005C2AEB" w:rsidRPr="00E14A56" w:rsidRDefault="00752EF7" w:rsidP="005C2AEB">
            <w:pPr>
              <w:pStyle w:val="TableEntry"/>
              <w:rPr>
                <w:rFonts w:ascii="Arial" w:hAnsi="Arial" w:cs="Arial"/>
                <w:lang w:val="es-ES"/>
              </w:rPr>
            </w:pPr>
            <w:r>
              <w:rPr>
                <w:rFonts w:ascii="Arial" w:hAnsi="Arial" w:cs="Arial"/>
                <w:lang w:val="es-ES"/>
              </w:rPr>
              <w:t xml:space="preserve">Business </w:t>
            </w:r>
            <w:proofErr w:type="spellStart"/>
            <w:r w:rsidR="005C2AEB">
              <w:rPr>
                <w:rFonts w:ascii="Arial" w:hAnsi="Arial" w:cs="Arial"/>
                <w:lang w:val="es-ES"/>
              </w:rPr>
              <w:t>Identifier</w:t>
            </w:r>
            <w:proofErr w:type="spellEnd"/>
            <w:r w:rsidR="005C2AEB">
              <w:rPr>
                <w:rFonts w:ascii="Arial" w:hAnsi="Arial" w:cs="Arial"/>
                <w:lang w:val="es-ES"/>
              </w:rPr>
              <w:t xml:space="preserve"> </w:t>
            </w:r>
            <w:proofErr w:type="spellStart"/>
            <w:r w:rsidR="005C2AEB">
              <w:rPr>
                <w:rFonts w:ascii="Arial" w:hAnsi="Arial" w:cs="Arial"/>
                <w:lang w:val="es-ES"/>
              </w:rPr>
              <w:t>Code</w:t>
            </w:r>
            <w:proofErr w:type="spellEnd"/>
          </w:p>
        </w:tc>
      </w:tr>
      <w:tr w:rsidR="005C2AEB" w:rsidRPr="00E14A56" w14:paraId="0B0E1864" w14:textId="77777777" w:rsidTr="005C2AEB">
        <w:trPr>
          <w:trHeight w:val="312"/>
        </w:trPr>
        <w:tc>
          <w:tcPr>
            <w:tcW w:w="1984" w:type="dxa"/>
          </w:tcPr>
          <w:p w14:paraId="54648490" w14:textId="77777777" w:rsidR="005C2AEB" w:rsidRPr="008F77AF" w:rsidRDefault="005C2AEB" w:rsidP="005C2AEB">
            <w:pPr>
              <w:pStyle w:val="TableEntrySpecial"/>
              <w:rPr>
                <w:rFonts w:ascii="Arial" w:hAnsi="Arial" w:cs="Arial"/>
                <w:strike/>
              </w:rPr>
            </w:pPr>
            <w:proofErr w:type="spellStart"/>
            <w:r w:rsidRPr="001E73DF">
              <w:rPr>
                <w:rFonts w:ascii="Arial" w:hAnsi="Arial" w:cs="Arial"/>
              </w:rPr>
              <w:t>CeBM</w:t>
            </w:r>
            <w:proofErr w:type="spellEnd"/>
          </w:p>
        </w:tc>
        <w:tc>
          <w:tcPr>
            <w:tcW w:w="7088" w:type="dxa"/>
          </w:tcPr>
          <w:p w14:paraId="2F3E7B54" w14:textId="77777777" w:rsidR="005C2AEB" w:rsidRPr="008F77AF" w:rsidRDefault="005C2AEB" w:rsidP="005C2AEB">
            <w:pPr>
              <w:pStyle w:val="TableEntry"/>
              <w:rPr>
                <w:rFonts w:ascii="Arial" w:hAnsi="Arial" w:cs="Arial"/>
                <w:strike/>
              </w:rPr>
            </w:pPr>
            <w:r w:rsidRPr="001E73DF">
              <w:rPr>
                <w:rFonts w:ascii="Arial" w:hAnsi="Arial" w:cs="Arial"/>
              </w:rPr>
              <w:t>Central Bank Money</w:t>
            </w:r>
          </w:p>
        </w:tc>
      </w:tr>
      <w:tr w:rsidR="005C2AEB" w:rsidRPr="001E73DF" w14:paraId="7F3ACD84" w14:textId="77777777" w:rsidTr="005C2AEB">
        <w:tc>
          <w:tcPr>
            <w:tcW w:w="1984" w:type="dxa"/>
          </w:tcPr>
          <w:p w14:paraId="36CA63C2" w14:textId="77777777" w:rsidR="005C2AEB" w:rsidRPr="001E73DF" w:rsidRDefault="005C2AEB" w:rsidP="005C2AEB">
            <w:pPr>
              <w:pStyle w:val="TableEntrySpecial"/>
              <w:rPr>
                <w:rFonts w:ascii="Arial" w:hAnsi="Arial" w:cs="Arial"/>
              </w:rPr>
            </w:pPr>
            <w:r w:rsidRPr="00E14A56">
              <w:rPr>
                <w:rFonts w:ascii="Arial" w:hAnsi="Arial" w:cs="Arial"/>
              </w:rPr>
              <w:t>CSD</w:t>
            </w:r>
          </w:p>
        </w:tc>
        <w:tc>
          <w:tcPr>
            <w:tcW w:w="7088" w:type="dxa"/>
          </w:tcPr>
          <w:p w14:paraId="0D61E27F" w14:textId="77777777" w:rsidR="005C2AEB" w:rsidRPr="001E73DF" w:rsidRDefault="005C2AEB" w:rsidP="005C2AEB">
            <w:pPr>
              <w:pStyle w:val="TableEntry"/>
              <w:rPr>
                <w:rFonts w:ascii="Arial" w:hAnsi="Arial" w:cs="Arial"/>
              </w:rPr>
            </w:pPr>
            <w:r>
              <w:rPr>
                <w:rFonts w:ascii="Arial" w:hAnsi="Arial" w:cs="Arial"/>
              </w:rPr>
              <w:t>Central Securities Depository</w:t>
            </w:r>
          </w:p>
        </w:tc>
      </w:tr>
      <w:tr w:rsidR="005C2AEB" w:rsidRPr="008F77AF" w14:paraId="5170F982" w14:textId="77777777" w:rsidTr="005C2AEB">
        <w:tc>
          <w:tcPr>
            <w:tcW w:w="1984" w:type="dxa"/>
          </w:tcPr>
          <w:p w14:paraId="0DEB47AD" w14:textId="77777777" w:rsidR="005C2AEB" w:rsidRPr="00E14A56" w:rsidRDefault="005C2AEB" w:rsidP="005C2AEB">
            <w:pPr>
              <w:pStyle w:val="TableEntrySpecial"/>
              <w:rPr>
                <w:rFonts w:ascii="Arial" w:hAnsi="Arial" w:cs="Arial"/>
              </w:rPr>
            </w:pPr>
            <w:r>
              <w:rPr>
                <w:rFonts w:ascii="Arial" w:hAnsi="Arial" w:cs="Arial"/>
              </w:rPr>
              <w:t>ID</w:t>
            </w:r>
          </w:p>
        </w:tc>
        <w:tc>
          <w:tcPr>
            <w:tcW w:w="7088" w:type="dxa"/>
          </w:tcPr>
          <w:p w14:paraId="1629821B" w14:textId="77777777" w:rsidR="005C2AEB" w:rsidRPr="00E14A56" w:rsidRDefault="005C2AEB" w:rsidP="005C2AEB">
            <w:pPr>
              <w:pStyle w:val="TableEntry"/>
              <w:rPr>
                <w:rFonts w:ascii="Arial" w:hAnsi="Arial" w:cs="Arial"/>
              </w:rPr>
            </w:pPr>
            <w:proofErr w:type="spellStart"/>
            <w:r>
              <w:rPr>
                <w:rFonts w:ascii="Arial" w:hAnsi="Arial" w:cs="Arial"/>
                <w:lang w:val="es-ES"/>
              </w:rPr>
              <w:t>Identification</w:t>
            </w:r>
            <w:proofErr w:type="spellEnd"/>
          </w:p>
        </w:tc>
      </w:tr>
      <w:tr w:rsidR="005C2AEB" w:rsidRPr="00E14A56" w14:paraId="1D3312A3" w14:textId="77777777" w:rsidTr="005C2AEB">
        <w:tc>
          <w:tcPr>
            <w:tcW w:w="1984" w:type="dxa"/>
          </w:tcPr>
          <w:p w14:paraId="7620D6CD" w14:textId="77777777" w:rsidR="005C2AEB" w:rsidRPr="00E14A56" w:rsidRDefault="005C2AEB" w:rsidP="005C2AEB">
            <w:pPr>
              <w:pStyle w:val="TableEntrySpecial"/>
              <w:rPr>
                <w:rFonts w:ascii="Arial" w:hAnsi="Arial" w:cs="Arial"/>
              </w:rPr>
            </w:pPr>
            <w:r w:rsidRPr="001E73DF">
              <w:rPr>
                <w:rFonts w:ascii="Arial" w:hAnsi="Arial" w:cs="Arial"/>
              </w:rPr>
              <w:t>MDR</w:t>
            </w:r>
          </w:p>
        </w:tc>
        <w:tc>
          <w:tcPr>
            <w:tcW w:w="7088" w:type="dxa"/>
          </w:tcPr>
          <w:p w14:paraId="64DD69DC" w14:textId="77777777" w:rsidR="005C2AEB" w:rsidRPr="00E14A56" w:rsidRDefault="005C2AEB" w:rsidP="005C2AEB">
            <w:pPr>
              <w:pStyle w:val="TableEntry"/>
              <w:rPr>
                <w:rFonts w:ascii="Arial" w:hAnsi="Arial" w:cs="Arial"/>
                <w:lang w:val="es-ES"/>
              </w:rPr>
            </w:pPr>
            <w:r w:rsidRPr="001E73DF">
              <w:rPr>
                <w:rFonts w:ascii="Arial" w:hAnsi="Arial" w:cs="Arial"/>
              </w:rPr>
              <w:t>Message Definition Report</w:t>
            </w:r>
          </w:p>
        </w:tc>
      </w:tr>
      <w:tr w:rsidR="005C2AEB" w:rsidRPr="001E73DF" w14:paraId="0A91F0D7" w14:textId="77777777" w:rsidTr="005C2AEB">
        <w:tc>
          <w:tcPr>
            <w:tcW w:w="1984" w:type="dxa"/>
          </w:tcPr>
          <w:p w14:paraId="4B5EB867" w14:textId="77777777" w:rsidR="005C2AEB" w:rsidRPr="001E73DF" w:rsidRDefault="005C2AEB" w:rsidP="005C2AEB">
            <w:pPr>
              <w:pStyle w:val="TableEntrySpecial"/>
              <w:rPr>
                <w:rFonts w:ascii="Arial" w:hAnsi="Arial" w:cs="Arial"/>
              </w:rPr>
            </w:pPr>
            <w:r w:rsidRPr="00E14A56">
              <w:rPr>
                <w:rFonts w:ascii="Arial" w:hAnsi="Arial" w:cs="Arial"/>
              </w:rPr>
              <w:t>NCB</w:t>
            </w:r>
          </w:p>
        </w:tc>
        <w:tc>
          <w:tcPr>
            <w:tcW w:w="7088" w:type="dxa"/>
          </w:tcPr>
          <w:p w14:paraId="0BD5224F" w14:textId="77777777" w:rsidR="005C2AEB" w:rsidRPr="001E73DF" w:rsidRDefault="005C2AEB" w:rsidP="005C2AEB">
            <w:pPr>
              <w:pStyle w:val="TableEntry"/>
              <w:rPr>
                <w:rFonts w:ascii="Arial" w:hAnsi="Arial" w:cs="Arial"/>
              </w:rPr>
            </w:pPr>
            <w:r w:rsidRPr="00E14A56">
              <w:rPr>
                <w:rFonts w:ascii="Arial" w:hAnsi="Arial" w:cs="Arial"/>
              </w:rPr>
              <w:t>National Central Bank</w:t>
            </w:r>
          </w:p>
        </w:tc>
      </w:tr>
      <w:tr w:rsidR="005C2AEB" w:rsidRPr="00F96AC3" w14:paraId="288BDFCC" w14:textId="77777777" w:rsidTr="005C2AEB">
        <w:tc>
          <w:tcPr>
            <w:tcW w:w="1984" w:type="dxa"/>
          </w:tcPr>
          <w:p w14:paraId="1BD12E2A" w14:textId="77777777" w:rsidR="005C2AEB" w:rsidRPr="008F77AF" w:rsidRDefault="005C2AEB" w:rsidP="005C2AEB">
            <w:pPr>
              <w:pStyle w:val="TableEntrySpecial"/>
              <w:rPr>
                <w:rFonts w:ascii="Arial" w:hAnsi="Arial" w:cs="Arial"/>
                <w:strike/>
              </w:rPr>
            </w:pPr>
            <w:r w:rsidRPr="00E14A56">
              <w:rPr>
                <w:rFonts w:ascii="Arial" w:hAnsi="Arial" w:cs="Arial"/>
              </w:rPr>
              <w:t>RTGS</w:t>
            </w:r>
          </w:p>
        </w:tc>
        <w:tc>
          <w:tcPr>
            <w:tcW w:w="7088" w:type="dxa"/>
          </w:tcPr>
          <w:p w14:paraId="42E4D4BA" w14:textId="77777777" w:rsidR="005C2AEB" w:rsidRPr="00E14A56" w:rsidRDefault="005C2AEB" w:rsidP="005C2AEB">
            <w:pPr>
              <w:pStyle w:val="TableEntry"/>
              <w:rPr>
                <w:rFonts w:ascii="Arial" w:hAnsi="Arial" w:cs="Arial"/>
              </w:rPr>
            </w:pPr>
            <w:r w:rsidRPr="00E14A56">
              <w:rPr>
                <w:rFonts w:ascii="Arial" w:hAnsi="Arial" w:cs="Arial"/>
              </w:rPr>
              <w:t xml:space="preserve">Real-time gross settlement (RTGS) system. </w:t>
            </w:r>
          </w:p>
          <w:p w14:paraId="5FC1CABF" w14:textId="77777777" w:rsidR="005C2AEB" w:rsidRPr="008F77AF" w:rsidRDefault="005C2AEB" w:rsidP="005C2AEB">
            <w:pPr>
              <w:pStyle w:val="TableEntry"/>
              <w:rPr>
                <w:rFonts w:ascii="Arial" w:hAnsi="Arial" w:cs="Arial"/>
                <w:strike/>
              </w:rPr>
            </w:pPr>
            <w:r w:rsidRPr="00E14A56">
              <w:rPr>
                <w:rFonts w:ascii="Arial" w:hAnsi="Arial" w:cs="Arial"/>
              </w:rPr>
              <w:t xml:space="preserve">A settlement system in which processing and settlement take place in real-time on a gross basis. </w:t>
            </w:r>
          </w:p>
        </w:tc>
      </w:tr>
      <w:tr w:rsidR="005C2AEB" w:rsidRPr="001E73DF" w14:paraId="162AF01B" w14:textId="77777777" w:rsidTr="005C2AEB">
        <w:tc>
          <w:tcPr>
            <w:tcW w:w="1984" w:type="dxa"/>
          </w:tcPr>
          <w:p w14:paraId="191569DB" w14:textId="77777777" w:rsidR="005C2AEB" w:rsidRPr="00E14A56" w:rsidRDefault="005C2AEB" w:rsidP="005C2AEB">
            <w:pPr>
              <w:pStyle w:val="TableEntrySpecial"/>
              <w:rPr>
                <w:rFonts w:ascii="Arial" w:hAnsi="Arial" w:cs="Arial"/>
              </w:rPr>
            </w:pPr>
            <w:r>
              <w:rPr>
                <w:rFonts w:ascii="Arial" w:hAnsi="Arial" w:cs="Arial"/>
              </w:rPr>
              <w:t>SEG</w:t>
            </w:r>
          </w:p>
        </w:tc>
        <w:tc>
          <w:tcPr>
            <w:tcW w:w="7088" w:type="dxa"/>
          </w:tcPr>
          <w:p w14:paraId="658ABABE" w14:textId="77777777" w:rsidR="005C2AEB" w:rsidRPr="00E14A56" w:rsidRDefault="005C2AEB" w:rsidP="005C2AEB">
            <w:pPr>
              <w:pStyle w:val="TableEntry"/>
              <w:rPr>
                <w:rFonts w:ascii="Arial" w:hAnsi="Arial" w:cs="Arial"/>
              </w:rPr>
            </w:pPr>
            <w:r>
              <w:rPr>
                <w:rFonts w:ascii="Arial" w:hAnsi="Arial" w:cs="Arial"/>
              </w:rPr>
              <w:t>Standards Evaluation Group</w:t>
            </w:r>
          </w:p>
        </w:tc>
      </w:tr>
      <w:tr w:rsidR="005C2AEB" w:rsidRPr="001E73DF" w14:paraId="34AE5A55" w14:textId="77777777" w:rsidTr="005C2AEB">
        <w:tc>
          <w:tcPr>
            <w:tcW w:w="1984" w:type="dxa"/>
          </w:tcPr>
          <w:p w14:paraId="0849F090" w14:textId="77777777" w:rsidR="005C2AEB" w:rsidRPr="001E73DF" w:rsidRDefault="005C2AEB" w:rsidP="005C2AEB">
            <w:pPr>
              <w:pStyle w:val="TableEntrySpecial"/>
              <w:rPr>
                <w:rFonts w:ascii="Arial" w:hAnsi="Arial" w:cs="Arial"/>
                <w:strike/>
              </w:rPr>
            </w:pPr>
            <w:r w:rsidRPr="00E14A56">
              <w:rPr>
                <w:rFonts w:ascii="Arial" w:hAnsi="Arial" w:cs="Arial"/>
              </w:rPr>
              <w:t>T2S</w:t>
            </w:r>
          </w:p>
        </w:tc>
        <w:tc>
          <w:tcPr>
            <w:tcW w:w="7088" w:type="dxa"/>
          </w:tcPr>
          <w:p w14:paraId="179E72FF" w14:textId="77777777" w:rsidR="005C2AEB" w:rsidRPr="001E73DF" w:rsidRDefault="005C2AEB" w:rsidP="005C2AEB">
            <w:pPr>
              <w:pStyle w:val="TableEntry"/>
              <w:rPr>
                <w:rFonts w:ascii="Arial" w:hAnsi="Arial" w:cs="Arial"/>
                <w:strike/>
              </w:rPr>
            </w:pPr>
            <w:r w:rsidRPr="00E14A56">
              <w:rPr>
                <w:rFonts w:ascii="Arial" w:hAnsi="Arial" w:cs="Arial"/>
              </w:rPr>
              <w:t>TARGET2-Securities</w:t>
            </w:r>
          </w:p>
        </w:tc>
      </w:tr>
      <w:tr w:rsidR="005C2AEB" w:rsidRPr="00F96AC3" w14:paraId="50F088FF" w14:textId="77777777" w:rsidTr="005C2AEB">
        <w:tc>
          <w:tcPr>
            <w:tcW w:w="1984" w:type="dxa"/>
          </w:tcPr>
          <w:p w14:paraId="1FCC437A" w14:textId="77777777" w:rsidR="005C2AEB" w:rsidRPr="008F77AF" w:rsidRDefault="005C2AEB" w:rsidP="005C2AEB">
            <w:pPr>
              <w:pStyle w:val="TableEntrySpecial"/>
              <w:rPr>
                <w:rFonts w:ascii="Arial" w:hAnsi="Arial" w:cs="Arial"/>
                <w:strike/>
              </w:rPr>
            </w:pPr>
            <w:r w:rsidRPr="00E14A56">
              <w:rPr>
                <w:rFonts w:ascii="Arial" w:hAnsi="Arial" w:cs="Arial"/>
              </w:rPr>
              <w:t>TM</w:t>
            </w:r>
          </w:p>
        </w:tc>
        <w:tc>
          <w:tcPr>
            <w:tcW w:w="7088" w:type="dxa"/>
          </w:tcPr>
          <w:p w14:paraId="7A455591" w14:textId="77777777" w:rsidR="005C2AEB" w:rsidRPr="008F77AF" w:rsidRDefault="005C2AEB" w:rsidP="005C2AEB">
            <w:pPr>
              <w:pStyle w:val="TableEntry"/>
              <w:rPr>
                <w:rFonts w:ascii="Arial" w:hAnsi="Arial" w:cs="Arial"/>
                <w:strike/>
              </w:rPr>
            </w:pPr>
            <w:r w:rsidRPr="00E14A56">
              <w:rPr>
                <w:rFonts w:ascii="Arial" w:hAnsi="Arial" w:cs="Arial"/>
              </w:rPr>
              <w:t>Technical Message. Messages which cover technical functions within T2S System</w:t>
            </w:r>
          </w:p>
        </w:tc>
      </w:tr>
      <w:tr w:rsidR="005C2AEB" w:rsidRPr="00F96AC3" w14:paraId="1A4285CA" w14:textId="77777777" w:rsidTr="005C2AEB">
        <w:tc>
          <w:tcPr>
            <w:tcW w:w="1984" w:type="dxa"/>
          </w:tcPr>
          <w:p w14:paraId="36C47913" w14:textId="77777777" w:rsidR="005C2AEB" w:rsidRPr="00E14A56" w:rsidRDefault="005C2AEB" w:rsidP="005C2AEB">
            <w:pPr>
              <w:pStyle w:val="TableEntrySpecial"/>
              <w:rPr>
                <w:rFonts w:ascii="Arial" w:hAnsi="Arial" w:cs="Arial"/>
              </w:rPr>
            </w:pPr>
            <w:r w:rsidRPr="00D721CA">
              <w:rPr>
                <w:rFonts w:ascii="Arial" w:hAnsi="Arial" w:cs="Arial"/>
              </w:rPr>
              <w:t>U2A</w:t>
            </w:r>
          </w:p>
        </w:tc>
        <w:tc>
          <w:tcPr>
            <w:tcW w:w="7088" w:type="dxa"/>
          </w:tcPr>
          <w:p w14:paraId="2A65B0F6" w14:textId="77777777" w:rsidR="005C2AEB" w:rsidRPr="00E14A56" w:rsidRDefault="005C2AEB" w:rsidP="005C2AEB">
            <w:pPr>
              <w:pStyle w:val="TableEntry"/>
              <w:rPr>
                <w:rFonts w:ascii="Arial" w:hAnsi="Arial" w:cs="Arial"/>
              </w:rPr>
            </w:pPr>
            <w:r w:rsidRPr="00D721CA">
              <w:rPr>
                <w:rFonts w:ascii="Arial" w:hAnsi="Arial" w:cs="Arial"/>
              </w:rPr>
              <w:t>User-to-Application mode. Defines a mode of technical communication that permits the exchange of information between software applications of T2S and a T2S system user through a graphical user interface (GUI).</w:t>
            </w:r>
          </w:p>
        </w:tc>
      </w:tr>
      <w:tr w:rsidR="005C2AEB" w:rsidRPr="00D721CA" w14:paraId="79D72D33" w14:textId="77777777" w:rsidTr="005C2AEB">
        <w:tc>
          <w:tcPr>
            <w:tcW w:w="1984" w:type="dxa"/>
          </w:tcPr>
          <w:p w14:paraId="0513679C" w14:textId="77777777" w:rsidR="005C2AEB" w:rsidRPr="00E14A56" w:rsidRDefault="005C2AEB" w:rsidP="005C2AEB">
            <w:pPr>
              <w:pStyle w:val="TableEntrySpecial"/>
              <w:rPr>
                <w:rFonts w:ascii="Arial" w:hAnsi="Arial" w:cs="Arial"/>
              </w:rPr>
            </w:pPr>
            <w:r>
              <w:rPr>
                <w:rFonts w:ascii="Arial" w:hAnsi="Arial" w:cs="Arial"/>
              </w:rPr>
              <w:t>URD</w:t>
            </w:r>
          </w:p>
        </w:tc>
        <w:tc>
          <w:tcPr>
            <w:tcW w:w="7088" w:type="dxa"/>
          </w:tcPr>
          <w:p w14:paraId="547A7B40" w14:textId="77777777" w:rsidR="005C2AEB" w:rsidRPr="00E14A56" w:rsidRDefault="005C2AEB" w:rsidP="005C2AEB">
            <w:pPr>
              <w:pStyle w:val="TableEntry"/>
              <w:rPr>
                <w:rFonts w:ascii="Arial" w:hAnsi="Arial" w:cs="Arial"/>
              </w:rPr>
            </w:pPr>
            <w:r>
              <w:rPr>
                <w:rFonts w:ascii="Arial" w:hAnsi="Arial" w:cs="Arial"/>
              </w:rPr>
              <w:t>T2S User Requirement Document</w:t>
            </w:r>
          </w:p>
        </w:tc>
      </w:tr>
      <w:tr w:rsidR="005C2AEB" w:rsidRPr="008F77AF" w14:paraId="10958768" w14:textId="77777777" w:rsidTr="005C2AEB">
        <w:tc>
          <w:tcPr>
            <w:tcW w:w="1984" w:type="dxa"/>
          </w:tcPr>
          <w:p w14:paraId="4EEDED65" w14:textId="77777777" w:rsidR="005C2AEB" w:rsidRPr="001E73DF" w:rsidRDefault="005C2AEB" w:rsidP="005C2AEB">
            <w:pPr>
              <w:pStyle w:val="TableEntrySpecial"/>
              <w:rPr>
                <w:rFonts w:ascii="Arial" w:hAnsi="Arial" w:cs="Arial"/>
                <w:strike/>
              </w:rPr>
            </w:pPr>
            <w:r w:rsidRPr="00E14A56">
              <w:rPr>
                <w:rFonts w:ascii="Arial" w:hAnsi="Arial" w:cs="Arial"/>
              </w:rPr>
              <w:lastRenderedPageBreak/>
              <w:t>XML</w:t>
            </w:r>
          </w:p>
        </w:tc>
        <w:tc>
          <w:tcPr>
            <w:tcW w:w="7088" w:type="dxa"/>
          </w:tcPr>
          <w:p w14:paraId="18B91CE0" w14:textId="77777777" w:rsidR="005C2AEB" w:rsidRPr="001E73DF" w:rsidRDefault="005C2AEB" w:rsidP="005C2AEB">
            <w:pPr>
              <w:pStyle w:val="TableEntry"/>
              <w:rPr>
                <w:rFonts w:ascii="Arial" w:hAnsi="Arial" w:cs="Arial"/>
                <w:strike/>
              </w:rPr>
            </w:pPr>
            <w:proofErr w:type="spellStart"/>
            <w:r>
              <w:rPr>
                <w:rFonts w:ascii="Arial" w:hAnsi="Arial" w:cs="Arial"/>
              </w:rPr>
              <w:t>eX</w:t>
            </w:r>
            <w:r w:rsidRPr="00E14A56">
              <w:rPr>
                <w:rFonts w:ascii="Arial" w:hAnsi="Arial" w:cs="Arial"/>
              </w:rPr>
              <w:t>tensible</w:t>
            </w:r>
            <w:proofErr w:type="spellEnd"/>
            <w:r w:rsidRPr="00E14A56">
              <w:rPr>
                <w:rFonts w:ascii="Arial" w:hAnsi="Arial" w:cs="Arial"/>
              </w:rPr>
              <w:t xml:space="preserve"> Mark-up language</w:t>
            </w:r>
          </w:p>
        </w:tc>
      </w:tr>
    </w:tbl>
    <w:p w14:paraId="537865F0" w14:textId="77777777" w:rsidR="002545C4" w:rsidRPr="007750E8" w:rsidRDefault="002545C4">
      <w:pPr>
        <w:rPr>
          <w:rFonts w:ascii="Arial" w:hAnsi="Arial" w:cs="Arial"/>
        </w:rPr>
      </w:pPr>
    </w:p>
    <w:p w14:paraId="4CEB9B21" w14:textId="77777777" w:rsidR="00961093" w:rsidRPr="008B3BC4" w:rsidRDefault="00B5005B" w:rsidP="00BB5003">
      <w:pPr>
        <w:pStyle w:val="Heading2"/>
      </w:pPr>
      <w:bookmarkStart w:id="9" w:name="_Toc146690778"/>
      <w:bookmarkStart w:id="10" w:name="_Toc15292992"/>
      <w:r w:rsidRPr="008B3BC4">
        <w:t>Document Sc</w:t>
      </w:r>
      <w:r w:rsidR="00961093" w:rsidRPr="008B3BC4">
        <w:t>ope</w:t>
      </w:r>
      <w:bookmarkEnd w:id="8"/>
      <w:bookmarkEnd w:id="9"/>
      <w:r w:rsidRPr="008B3BC4">
        <w:t xml:space="preserve"> and O</w:t>
      </w:r>
      <w:r w:rsidR="0003109F" w:rsidRPr="008B3BC4">
        <w:t>bjectives</w:t>
      </w:r>
      <w:bookmarkEnd w:id="10"/>
    </w:p>
    <w:p w14:paraId="05AB0CE5" w14:textId="77777777" w:rsidR="006E4A92" w:rsidRPr="006B1B55" w:rsidRDefault="006E4A92" w:rsidP="006E4A92">
      <w:pPr>
        <w:pStyle w:val="BodyText"/>
        <w:jc w:val="both"/>
        <w:rPr>
          <w:rFonts w:ascii="Arial" w:hAnsi="Arial" w:cs="Arial"/>
        </w:rPr>
      </w:pPr>
      <w:bookmarkStart w:id="11" w:name="OLE_LINK1"/>
      <w:bookmarkStart w:id="12" w:name="OLE_LINK2"/>
      <w:r w:rsidRPr="006B1B55">
        <w:rPr>
          <w:rFonts w:ascii="Arial" w:hAnsi="Arial" w:cs="Arial"/>
        </w:rPr>
        <w:t xml:space="preserve">This </w:t>
      </w:r>
      <w:r w:rsidR="00CA0823" w:rsidRPr="006B1B55">
        <w:rPr>
          <w:rFonts w:ascii="Arial" w:hAnsi="Arial" w:cs="Arial"/>
        </w:rPr>
        <w:t xml:space="preserve">document is the first part of the </w:t>
      </w:r>
      <w:r w:rsidR="00D02062" w:rsidRPr="006B1B55">
        <w:rPr>
          <w:rFonts w:ascii="Arial" w:hAnsi="Arial" w:cs="Arial"/>
        </w:rPr>
        <w:t>ISO 20022</w:t>
      </w:r>
      <w:r w:rsidR="00CA0823" w:rsidRPr="006B1B55">
        <w:rPr>
          <w:rFonts w:ascii="Arial" w:hAnsi="Arial" w:cs="Arial"/>
        </w:rPr>
        <w:t xml:space="preserve"> </w:t>
      </w:r>
      <w:r w:rsidR="00C57A36" w:rsidRPr="006B1B55">
        <w:rPr>
          <w:rFonts w:ascii="Arial" w:hAnsi="Arial" w:cs="Arial"/>
        </w:rPr>
        <w:t xml:space="preserve">Message Definition Report </w:t>
      </w:r>
      <w:r w:rsidR="009632BD" w:rsidRPr="006B1B55">
        <w:rPr>
          <w:rFonts w:ascii="Arial" w:hAnsi="Arial" w:cs="Arial"/>
        </w:rPr>
        <w:t xml:space="preserve">(MDR) </w:t>
      </w:r>
      <w:r w:rsidR="00C57A36" w:rsidRPr="006B1B55">
        <w:rPr>
          <w:rFonts w:ascii="Arial" w:hAnsi="Arial" w:cs="Arial"/>
        </w:rPr>
        <w:t xml:space="preserve">that describes the </w:t>
      </w:r>
      <w:proofErr w:type="spellStart"/>
      <w:r w:rsidR="00493E71" w:rsidRPr="006B1B55">
        <w:rPr>
          <w:rFonts w:ascii="Arial" w:hAnsi="Arial" w:cs="Arial"/>
        </w:rPr>
        <w:t>BusinessT</w:t>
      </w:r>
      <w:r w:rsidR="00C57A36" w:rsidRPr="006B1B55">
        <w:rPr>
          <w:rFonts w:ascii="Arial" w:hAnsi="Arial" w:cs="Arial"/>
        </w:rPr>
        <w:t>ransactions</w:t>
      </w:r>
      <w:proofErr w:type="spellEnd"/>
      <w:r w:rsidR="00C57A36" w:rsidRPr="006B1B55">
        <w:rPr>
          <w:rFonts w:ascii="Arial" w:hAnsi="Arial" w:cs="Arial"/>
        </w:rPr>
        <w:t xml:space="preserve"> and underlying message set</w:t>
      </w:r>
      <w:r w:rsidR="00CA0823" w:rsidRPr="006B1B55">
        <w:rPr>
          <w:rFonts w:ascii="Arial" w:hAnsi="Arial" w:cs="Arial"/>
        </w:rPr>
        <w:t xml:space="preserve">. </w:t>
      </w:r>
      <w:r w:rsidRPr="006B1B55">
        <w:rPr>
          <w:rFonts w:ascii="Arial" w:hAnsi="Arial" w:cs="Arial"/>
        </w:rPr>
        <w:t xml:space="preserve">For the sake of completeness, the document may also describe </w:t>
      </w:r>
      <w:proofErr w:type="spellStart"/>
      <w:r w:rsidR="00493E71" w:rsidRPr="006B1B55">
        <w:rPr>
          <w:rFonts w:ascii="Arial" w:hAnsi="Arial" w:cs="Arial"/>
        </w:rPr>
        <w:t>BusinessA</w:t>
      </w:r>
      <w:r w:rsidRPr="006B1B55">
        <w:rPr>
          <w:rFonts w:ascii="Arial" w:hAnsi="Arial" w:cs="Arial"/>
        </w:rPr>
        <w:t>ctivities</w:t>
      </w:r>
      <w:proofErr w:type="spellEnd"/>
      <w:r w:rsidRPr="006B1B55">
        <w:rPr>
          <w:rFonts w:ascii="Arial" w:hAnsi="Arial" w:cs="Arial"/>
        </w:rPr>
        <w:t xml:space="preserve"> that </w:t>
      </w:r>
      <w:r w:rsidR="00C57A36" w:rsidRPr="006B1B55">
        <w:rPr>
          <w:rFonts w:ascii="Arial" w:hAnsi="Arial" w:cs="Arial"/>
        </w:rPr>
        <w:t xml:space="preserve">are not in the </w:t>
      </w:r>
      <w:r w:rsidRPr="006B1B55">
        <w:rPr>
          <w:rFonts w:ascii="Arial" w:hAnsi="Arial" w:cs="Arial"/>
        </w:rPr>
        <w:t>scope</w:t>
      </w:r>
      <w:r w:rsidR="00C57A36" w:rsidRPr="006B1B55">
        <w:rPr>
          <w:rFonts w:ascii="Arial" w:hAnsi="Arial" w:cs="Arial"/>
        </w:rPr>
        <w:t xml:space="preserve"> of the project</w:t>
      </w:r>
      <w:r w:rsidRPr="006B1B55">
        <w:rPr>
          <w:rFonts w:ascii="Arial" w:hAnsi="Arial" w:cs="Arial"/>
        </w:rPr>
        <w:t>.</w:t>
      </w:r>
    </w:p>
    <w:bookmarkEnd w:id="11"/>
    <w:bookmarkEnd w:id="12"/>
    <w:p w14:paraId="0E1A60BF" w14:textId="77777777" w:rsidR="006E4A92" w:rsidRPr="006B1B55" w:rsidRDefault="006E4A92" w:rsidP="006E4A92">
      <w:pPr>
        <w:pStyle w:val="BodyText"/>
        <w:jc w:val="both"/>
        <w:rPr>
          <w:rFonts w:ascii="Arial" w:hAnsi="Arial" w:cs="Arial"/>
        </w:rPr>
      </w:pPr>
      <w:r w:rsidRPr="006B1B55">
        <w:rPr>
          <w:rFonts w:ascii="Arial" w:hAnsi="Arial" w:cs="Arial"/>
        </w:rPr>
        <w:t>This document sets:</w:t>
      </w:r>
    </w:p>
    <w:p w14:paraId="24FE31AA" w14:textId="77777777" w:rsidR="006E4A92" w:rsidRPr="006B1B55" w:rsidRDefault="00493E71" w:rsidP="006E4A92">
      <w:pPr>
        <w:pStyle w:val="BodyText"/>
        <w:numPr>
          <w:ilvl w:val="0"/>
          <w:numId w:val="5"/>
        </w:numPr>
        <w:spacing w:before="120"/>
        <w:jc w:val="both"/>
        <w:rPr>
          <w:rFonts w:ascii="Arial" w:hAnsi="Arial" w:cs="Arial"/>
        </w:rPr>
      </w:pPr>
      <w:r w:rsidRPr="006B1B55">
        <w:rPr>
          <w:rFonts w:ascii="Arial" w:hAnsi="Arial" w:cs="Arial"/>
        </w:rPr>
        <w:t xml:space="preserve">The </w:t>
      </w:r>
      <w:proofErr w:type="spellStart"/>
      <w:r w:rsidRPr="006B1B55">
        <w:rPr>
          <w:rFonts w:ascii="Arial" w:hAnsi="Arial" w:cs="Arial"/>
        </w:rPr>
        <w:t>B</w:t>
      </w:r>
      <w:r w:rsidR="006E4A92" w:rsidRPr="006B1B55">
        <w:rPr>
          <w:rFonts w:ascii="Arial" w:hAnsi="Arial" w:cs="Arial"/>
        </w:rPr>
        <w:t>usiness</w:t>
      </w:r>
      <w:r w:rsidRPr="006B1B55">
        <w:rPr>
          <w:rFonts w:ascii="Arial" w:hAnsi="Arial" w:cs="Arial"/>
        </w:rPr>
        <w:t>P</w:t>
      </w:r>
      <w:r w:rsidR="006E4A92" w:rsidRPr="006B1B55">
        <w:rPr>
          <w:rFonts w:ascii="Arial" w:hAnsi="Arial" w:cs="Arial"/>
        </w:rPr>
        <w:t>rocess</w:t>
      </w:r>
      <w:proofErr w:type="spellEnd"/>
      <w:r w:rsidR="006E4A92" w:rsidRPr="006B1B55">
        <w:rPr>
          <w:rFonts w:ascii="Arial" w:hAnsi="Arial" w:cs="Arial"/>
        </w:rPr>
        <w:t xml:space="preserve"> scope (business processes addressed or impacted by the project)</w:t>
      </w:r>
    </w:p>
    <w:p w14:paraId="46C41C07" w14:textId="77777777" w:rsidR="00493E71" w:rsidRPr="006B1B55" w:rsidRDefault="00493E71" w:rsidP="006E4A92">
      <w:pPr>
        <w:pStyle w:val="BodyText"/>
        <w:numPr>
          <w:ilvl w:val="0"/>
          <w:numId w:val="5"/>
        </w:numPr>
        <w:spacing w:before="120"/>
        <w:jc w:val="both"/>
        <w:rPr>
          <w:rFonts w:ascii="Arial" w:hAnsi="Arial" w:cs="Arial"/>
        </w:rPr>
      </w:pPr>
      <w:r w:rsidRPr="006B1B55">
        <w:rPr>
          <w:rFonts w:ascii="Arial" w:hAnsi="Arial" w:cs="Arial"/>
        </w:rPr>
        <w:t xml:space="preserve">The </w:t>
      </w:r>
      <w:proofErr w:type="spellStart"/>
      <w:r w:rsidRPr="006B1B55">
        <w:rPr>
          <w:rFonts w:ascii="Arial" w:hAnsi="Arial" w:cs="Arial"/>
        </w:rPr>
        <w:t>BusinessRoles</w:t>
      </w:r>
      <w:proofErr w:type="spellEnd"/>
      <w:r w:rsidRPr="006B1B55">
        <w:rPr>
          <w:rFonts w:ascii="Arial" w:hAnsi="Arial" w:cs="Arial"/>
        </w:rPr>
        <w:t xml:space="preserve"> involved in these </w:t>
      </w:r>
      <w:proofErr w:type="spellStart"/>
      <w:r w:rsidRPr="006B1B55">
        <w:rPr>
          <w:rFonts w:ascii="Arial" w:hAnsi="Arial" w:cs="Arial"/>
        </w:rPr>
        <w:t>BusinessProcesses</w:t>
      </w:r>
      <w:proofErr w:type="spellEnd"/>
    </w:p>
    <w:p w14:paraId="6C740724" w14:textId="77777777" w:rsidR="00493E71" w:rsidRPr="006B1B55" w:rsidRDefault="00493E71" w:rsidP="00F91934">
      <w:pPr>
        <w:pStyle w:val="BodyText"/>
        <w:spacing w:before="120"/>
        <w:ind w:left="1211"/>
        <w:jc w:val="both"/>
        <w:rPr>
          <w:rFonts w:ascii="Arial" w:hAnsi="Arial" w:cs="Arial"/>
        </w:rPr>
      </w:pPr>
    </w:p>
    <w:p w14:paraId="3A42DEAC" w14:textId="77777777" w:rsidR="006E4A92" w:rsidRPr="006B1B55" w:rsidRDefault="00CA0823" w:rsidP="006E4A92">
      <w:pPr>
        <w:pStyle w:val="BodyText"/>
        <w:jc w:val="both"/>
        <w:rPr>
          <w:rFonts w:ascii="Arial" w:hAnsi="Arial" w:cs="Arial"/>
        </w:rPr>
      </w:pPr>
      <w:r w:rsidRPr="006B1B55">
        <w:rPr>
          <w:rFonts w:ascii="Arial" w:hAnsi="Arial" w:cs="Arial"/>
        </w:rPr>
        <w:t xml:space="preserve">The main objectives of this </w:t>
      </w:r>
      <w:r w:rsidR="006E4A92" w:rsidRPr="006B1B55">
        <w:rPr>
          <w:rFonts w:ascii="Arial" w:hAnsi="Arial" w:cs="Arial"/>
        </w:rPr>
        <w:t>document are:</w:t>
      </w:r>
    </w:p>
    <w:p w14:paraId="32654A39" w14:textId="1AA58640" w:rsidR="006E4A92" w:rsidRPr="006B1B55" w:rsidRDefault="00F91934" w:rsidP="006E4A92">
      <w:pPr>
        <w:pStyle w:val="BodyText"/>
        <w:numPr>
          <w:ilvl w:val="0"/>
          <w:numId w:val="4"/>
        </w:numPr>
        <w:spacing w:before="120"/>
        <w:jc w:val="both"/>
        <w:rPr>
          <w:rFonts w:ascii="Arial" w:hAnsi="Arial" w:cs="Arial"/>
        </w:rPr>
      </w:pPr>
      <w:r w:rsidRPr="006B1B55">
        <w:rPr>
          <w:rFonts w:ascii="Arial" w:hAnsi="Arial" w:cs="Arial"/>
        </w:rPr>
        <w:t xml:space="preserve">To explain what </w:t>
      </w:r>
      <w:proofErr w:type="spellStart"/>
      <w:r w:rsidRPr="006B1B55">
        <w:rPr>
          <w:rFonts w:ascii="Arial" w:hAnsi="Arial" w:cs="Arial"/>
        </w:rPr>
        <w:t>B</w:t>
      </w:r>
      <w:r w:rsidR="006E4A92" w:rsidRPr="006B1B55">
        <w:rPr>
          <w:rFonts w:ascii="Arial" w:hAnsi="Arial" w:cs="Arial"/>
        </w:rPr>
        <w:t>usi</w:t>
      </w:r>
      <w:r w:rsidRPr="006B1B55">
        <w:rPr>
          <w:rFonts w:ascii="Arial" w:hAnsi="Arial" w:cs="Arial"/>
        </w:rPr>
        <w:t>nessP</w:t>
      </w:r>
      <w:r w:rsidR="006E4A92" w:rsidRPr="006B1B55">
        <w:rPr>
          <w:rFonts w:ascii="Arial" w:hAnsi="Arial" w:cs="Arial"/>
        </w:rPr>
        <w:t>rocesses</w:t>
      </w:r>
      <w:proofErr w:type="spellEnd"/>
      <w:r w:rsidR="006E4A92" w:rsidRPr="006B1B55">
        <w:rPr>
          <w:rFonts w:ascii="Arial" w:hAnsi="Arial" w:cs="Arial"/>
        </w:rPr>
        <w:t xml:space="preserve"> and </w:t>
      </w:r>
      <w:proofErr w:type="spellStart"/>
      <w:r w:rsidRPr="006B1B55">
        <w:rPr>
          <w:rFonts w:ascii="Arial" w:hAnsi="Arial" w:cs="Arial"/>
        </w:rPr>
        <w:t>BusinessA</w:t>
      </w:r>
      <w:r w:rsidR="006E4A92" w:rsidRPr="006B1B55">
        <w:rPr>
          <w:rFonts w:ascii="Arial" w:hAnsi="Arial" w:cs="Arial"/>
        </w:rPr>
        <w:t>ctivities</w:t>
      </w:r>
      <w:proofErr w:type="spellEnd"/>
      <w:r w:rsidR="006E4A92" w:rsidRPr="006B1B55">
        <w:rPr>
          <w:rFonts w:ascii="Arial" w:hAnsi="Arial" w:cs="Arial"/>
        </w:rPr>
        <w:t xml:space="preserve"> these </w:t>
      </w:r>
      <w:proofErr w:type="spellStart"/>
      <w:r w:rsidR="00620A84" w:rsidRPr="006B1B55">
        <w:rPr>
          <w:rFonts w:ascii="Arial" w:hAnsi="Arial" w:cs="Arial"/>
        </w:rPr>
        <w:t>M</w:t>
      </w:r>
      <w:r w:rsidR="006E4A92" w:rsidRPr="006B1B55">
        <w:rPr>
          <w:rFonts w:ascii="Arial" w:hAnsi="Arial" w:cs="Arial"/>
        </w:rPr>
        <w:t>essage</w:t>
      </w:r>
      <w:r w:rsidR="00620A84" w:rsidRPr="006B1B55">
        <w:rPr>
          <w:rFonts w:ascii="Arial" w:hAnsi="Arial" w:cs="Arial"/>
        </w:rPr>
        <w:t>D</w:t>
      </w:r>
      <w:r w:rsidR="00C57A36" w:rsidRPr="006B1B55">
        <w:rPr>
          <w:rFonts w:ascii="Arial" w:hAnsi="Arial" w:cs="Arial"/>
        </w:rPr>
        <w:t>efinition</w:t>
      </w:r>
      <w:r w:rsidR="006E4A92" w:rsidRPr="006B1B55">
        <w:rPr>
          <w:rFonts w:ascii="Arial" w:hAnsi="Arial" w:cs="Arial"/>
        </w:rPr>
        <w:t>s</w:t>
      </w:r>
      <w:proofErr w:type="spellEnd"/>
      <w:r w:rsidR="006E4A92" w:rsidRPr="006B1B55">
        <w:rPr>
          <w:rFonts w:ascii="Arial" w:hAnsi="Arial" w:cs="Arial"/>
        </w:rPr>
        <w:t xml:space="preserve"> </w:t>
      </w:r>
      <w:r w:rsidR="00CA0823" w:rsidRPr="006B1B55">
        <w:rPr>
          <w:rFonts w:ascii="Arial" w:hAnsi="Arial" w:cs="Arial"/>
        </w:rPr>
        <w:t>have addressed</w:t>
      </w:r>
    </w:p>
    <w:p w14:paraId="72DD2919" w14:textId="77777777" w:rsidR="006E4A92" w:rsidRPr="006B1B55" w:rsidRDefault="006E4A92" w:rsidP="006E4A92">
      <w:pPr>
        <w:pStyle w:val="BodyText"/>
        <w:numPr>
          <w:ilvl w:val="0"/>
          <w:numId w:val="4"/>
        </w:numPr>
        <w:spacing w:before="120"/>
        <w:jc w:val="both"/>
        <w:rPr>
          <w:rFonts w:ascii="Arial" w:hAnsi="Arial" w:cs="Arial"/>
        </w:rPr>
      </w:pPr>
      <w:r w:rsidRPr="006B1B55">
        <w:rPr>
          <w:rFonts w:ascii="Arial" w:hAnsi="Arial" w:cs="Arial"/>
        </w:rPr>
        <w:t xml:space="preserve">To give a high level description </w:t>
      </w:r>
      <w:r w:rsidR="00F91934" w:rsidRPr="006B1B55">
        <w:rPr>
          <w:rFonts w:ascii="Arial" w:hAnsi="Arial" w:cs="Arial"/>
        </w:rPr>
        <w:t xml:space="preserve">of </w:t>
      </w:r>
      <w:proofErr w:type="spellStart"/>
      <w:r w:rsidR="00F91934" w:rsidRPr="006B1B55">
        <w:rPr>
          <w:rFonts w:ascii="Arial" w:hAnsi="Arial" w:cs="Arial"/>
        </w:rPr>
        <w:t>BusinessP</w:t>
      </w:r>
      <w:r w:rsidR="009145CE" w:rsidRPr="006B1B55">
        <w:rPr>
          <w:rFonts w:ascii="Arial" w:hAnsi="Arial" w:cs="Arial"/>
        </w:rPr>
        <w:t>rocesses</w:t>
      </w:r>
      <w:proofErr w:type="spellEnd"/>
      <w:r w:rsidR="009145CE" w:rsidRPr="006B1B55">
        <w:rPr>
          <w:rFonts w:ascii="Arial" w:hAnsi="Arial" w:cs="Arial"/>
        </w:rPr>
        <w:t xml:space="preserve"> and the associated </w:t>
      </w:r>
      <w:proofErr w:type="spellStart"/>
      <w:r w:rsidR="009145CE" w:rsidRPr="006B1B55">
        <w:rPr>
          <w:rFonts w:ascii="Arial" w:hAnsi="Arial" w:cs="Arial"/>
        </w:rPr>
        <w:t>BusinessRoles</w:t>
      </w:r>
      <w:proofErr w:type="spellEnd"/>
    </w:p>
    <w:p w14:paraId="297E8D5C" w14:textId="77777777" w:rsidR="006E4A92" w:rsidRPr="006B1B55" w:rsidRDefault="006E4A92" w:rsidP="006E4A92">
      <w:pPr>
        <w:pStyle w:val="BodyText"/>
        <w:numPr>
          <w:ilvl w:val="0"/>
          <w:numId w:val="4"/>
        </w:numPr>
        <w:spacing w:before="120"/>
        <w:jc w:val="both"/>
        <w:rPr>
          <w:rFonts w:ascii="Arial" w:hAnsi="Arial" w:cs="Arial"/>
        </w:rPr>
      </w:pPr>
      <w:r w:rsidRPr="006B1B55">
        <w:rPr>
          <w:rFonts w:ascii="Arial" w:hAnsi="Arial" w:cs="Arial"/>
        </w:rPr>
        <w:t xml:space="preserve">To </w:t>
      </w:r>
      <w:r w:rsidR="009145CE" w:rsidRPr="006B1B55">
        <w:rPr>
          <w:rFonts w:ascii="Arial" w:hAnsi="Arial" w:cs="Arial"/>
        </w:rPr>
        <w:t xml:space="preserve">document the </w:t>
      </w:r>
      <w:proofErr w:type="spellStart"/>
      <w:r w:rsidR="009145CE" w:rsidRPr="006B1B55">
        <w:rPr>
          <w:rFonts w:ascii="Arial" w:hAnsi="Arial" w:cs="Arial"/>
        </w:rPr>
        <w:t>BusinessTransaction</w:t>
      </w:r>
      <w:r w:rsidR="000B72F7" w:rsidRPr="006B1B55">
        <w:rPr>
          <w:rFonts w:ascii="Arial" w:hAnsi="Arial" w:cs="Arial"/>
        </w:rPr>
        <w:t>s</w:t>
      </w:r>
      <w:proofErr w:type="spellEnd"/>
      <w:r w:rsidR="009145CE" w:rsidRPr="006B1B55">
        <w:rPr>
          <w:rFonts w:ascii="Arial" w:hAnsi="Arial" w:cs="Arial"/>
        </w:rPr>
        <w:t xml:space="preserve"> and their Participants</w:t>
      </w:r>
      <w:r w:rsidR="000B72F7" w:rsidRPr="006B1B55">
        <w:rPr>
          <w:rFonts w:ascii="Arial" w:hAnsi="Arial" w:cs="Arial"/>
        </w:rPr>
        <w:t xml:space="preserve"> (sequence diagrams)</w:t>
      </w:r>
      <w:r w:rsidRPr="006B1B55">
        <w:rPr>
          <w:rFonts w:ascii="Arial" w:hAnsi="Arial" w:cs="Arial"/>
        </w:rPr>
        <w:t xml:space="preserve"> </w:t>
      </w:r>
    </w:p>
    <w:p w14:paraId="7701BDD6" w14:textId="5B1C1592" w:rsidR="006E4A92" w:rsidRPr="006B1B55" w:rsidRDefault="006E4A92" w:rsidP="006E4A92">
      <w:pPr>
        <w:pStyle w:val="BodyText"/>
        <w:numPr>
          <w:ilvl w:val="0"/>
          <w:numId w:val="4"/>
        </w:numPr>
        <w:spacing w:before="120"/>
        <w:jc w:val="both"/>
        <w:rPr>
          <w:rFonts w:ascii="Arial" w:hAnsi="Arial" w:cs="Arial"/>
        </w:rPr>
      </w:pPr>
      <w:r w:rsidRPr="006B1B55">
        <w:rPr>
          <w:rFonts w:ascii="Arial" w:hAnsi="Arial" w:cs="Arial"/>
        </w:rPr>
        <w:t xml:space="preserve">To </w:t>
      </w:r>
      <w:r w:rsidR="00D432A8" w:rsidRPr="006B1B55">
        <w:rPr>
          <w:rFonts w:ascii="Arial" w:hAnsi="Arial" w:cs="Arial"/>
        </w:rPr>
        <w:t>list the</w:t>
      </w:r>
      <w:r w:rsidR="00C61312" w:rsidRPr="006B1B55">
        <w:rPr>
          <w:rFonts w:ascii="Arial" w:hAnsi="Arial" w:cs="Arial"/>
        </w:rPr>
        <w:t xml:space="preserve"> </w:t>
      </w:r>
      <w:proofErr w:type="spellStart"/>
      <w:r w:rsidR="00D432A8" w:rsidRPr="006B1B55">
        <w:rPr>
          <w:rFonts w:ascii="Arial" w:hAnsi="Arial" w:cs="Arial"/>
        </w:rPr>
        <w:t>MessageD</w:t>
      </w:r>
      <w:r w:rsidR="00C57A36" w:rsidRPr="006B1B55">
        <w:rPr>
          <w:rFonts w:ascii="Arial" w:hAnsi="Arial" w:cs="Arial"/>
        </w:rPr>
        <w:t>efinition</w:t>
      </w:r>
      <w:r w:rsidR="00CA0823" w:rsidRPr="006B1B55">
        <w:rPr>
          <w:rFonts w:ascii="Arial" w:hAnsi="Arial" w:cs="Arial"/>
        </w:rPr>
        <w:t>s</w:t>
      </w:r>
      <w:proofErr w:type="spellEnd"/>
      <w:r w:rsidR="00C57A36" w:rsidRPr="006B1B55">
        <w:rPr>
          <w:rFonts w:ascii="Arial" w:hAnsi="Arial" w:cs="Arial"/>
        </w:rPr>
        <w:t xml:space="preserve"> </w:t>
      </w:r>
    </w:p>
    <w:p w14:paraId="18DCBC85" w14:textId="77777777" w:rsidR="000368C4" w:rsidRPr="000368C4" w:rsidRDefault="000368C4" w:rsidP="003C6A90">
      <w:pPr>
        <w:rPr>
          <w:rFonts w:ascii="Arial" w:hAnsi="Arial" w:cs="Arial"/>
        </w:rPr>
      </w:pPr>
    </w:p>
    <w:p w14:paraId="673904DE" w14:textId="77777777" w:rsidR="00961093" w:rsidRPr="008B3BC4" w:rsidRDefault="00961093" w:rsidP="00BB5003">
      <w:pPr>
        <w:pStyle w:val="Heading2"/>
      </w:pPr>
      <w:bookmarkStart w:id="13" w:name="_Target_audience"/>
      <w:bookmarkStart w:id="14" w:name="_Toc338423620"/>
      <w:bookmarkStart w:id="15" w:name="_Toc116962865"/>
      <w:bookmarkStart w:id="16" w:name="_Toc146690781"/>
      <w:bookmarkStart w:id="17" w:name="_Toc15292993"/>
      <w:bookmarkEnd w:id="13"/>
      <w:r w:rsidRPr="008B3BC4">
        <w:t>References</w:t>
      </w:r>
      <w:bookmarkEnd w:id="14"/>
      <w:bookmarkEnd w:id="15"/>
      <w:bookmarkEnd w:id="16"/>
      <w:bookmarkEnd w:id="17"/>
    </w:p>
    <w:p w14:paraId="117CAE97" w14:textId="77777777" w:rsidR="00004240" w:rsidRPr="008B3BC4" w:rsidRDefault="00004240" w:rsidP="00C64929">
      <w:pPr>
        <w:autoSpaceDE w:val="0"/>
        <w:autoSpaceDN w:val="0"/>
        <w:adjustRightInd w:val="0"/>
        <w:spacing w:before="0"/>
        <w:jc w:val="both"/>
        <w:rPr>
          <w:sz w:val="20"/>
        </w:rPr>
      </w:pPr>
    </w:p>
    <w:tbl>
      <w:tblPr>
        <w:tblW w:w="9865" w:type="dxa"/>
        <w:jc w:val="center"/>
        <w:tblLook w:val="0000" w:firstRow="0" w:lastRow="0" w:firstColumn="0" w:lastColumn="0" w:noHBand="0" w:noVBand="0"/>
      </w:tblPr>
      <w:tblGrid>
        <w:gridCol w:w="8132"/>
        <w:gridCol w:w="895"/>
        <w:gridCol w:w="939"/>
        <w:gridCol w:w="806"/>
      </w:tblGrid>
      <w:tr w:rsidR="00004240" w:rsidRPr="00740BDD" w14:paraId="650560CA" w14:textId="77777777" w:rsidTr="00146DB1">
        <w:trPr>
          <w:trHeight w:val="255"/>
          <w:tblHeader/>
          <w:jc w:val="center"/>
        </w:trPr>
        <w:tc>
          <w:tcPr>
            <w:tcW w:w="6549" w:type="dxa"/>
            <w:tcBorders>
              <w:top w:val="single" w:sz="4" w:space="0" w:color="auto"/>
              <w:left w:val="single" w:sz="4" w:space="0" w:color="auto"/>
              <w:bottom w:val="single" w:sz="4" w:space="0" w:color="auto"/>
              <w:right w:val="single" w:sz="4" w:space="0" w:color="auto"/>
            </w:tcBorders>
            <w:shd w:val="clear" w:color="auto" w:fill="606060"/>
          </w:tcPr>
          <w:p w14:paraId="77428695"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Document</w:t>
            </w:r>
          </w:p>
        </w:tc>
        <w:tc>
          <w:tcPr>
            <w:tcW w:w="1258" w:type="dxa"/>
            <w:tcBorders>
              <w:top w:val="single" w:sz="4" w:space="0" w:color="auto"/>
              <w:left w:val="single" w:sz="4" w:space="0" w:color="auto"/>
              <w:bottom w:val="single" w:sz="4" w:space="0" w:color="auto"/>
              <w:right w:val="single" w:sz="4" w:space="0" w:color="auto"/>
            </w:tcBorders>
            <w:shd w:val="clear" w:color="auto" w:fill="606060"/>
          </w:tcPr>
          <w:p w14:paraId="4E31F704"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Version</w:t>
            </w:r>
          </w:p>
        </w:tc>
        <w:tc>
          <w:tcPr>
            <w:tcW w:w="1175" w:type="dxa"/>
            <w:tcBorders>
              <w:top w:val="single" w:sz="4" w:space="0" w:color="auto"/>
              <w:left w:val="single" w:sz="4" w:space="0" w:color="auto"/>
              <w:bottom w:val="single" w:sz="4" w:space="0" w:color="auto"/>
              <w:right w:val="single" w:sz="4" w:space="0" w:color="auto"/>
            </w:tcBorders>
            <w:shd w:val="clear" w:color="auto" w:fill="606060"/>
          </w:tcPr>
          <w:p w14:paraId="6DDE3C14"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Date</w:t>
            </w:r>
          </w:p>
        </w:tc>
        <w:tc>
          <w:tcPr>
            <w:tcW w:w="883" w:type="dxa"/>
            <w:tcBorders>
              <w:top w:val="single" w:sz="4" w:space="0" w:color="auto"/>
              <w:left w:val="single" w:sz="4" w:space="0" w:color="auto"/>
              <w:bottom w:val="single" w:sz="4" w:space="0" w:color="auto"/>
              <w:right w:val="single" w:sz="4" w:space="0" w:color="auto"/>
            </w:tcBorders>
            <w:shd w:val="clear" w:color="auto" w:fill="606060"/>
          </w:tcPr>
          <w:p w14:paraId="01B3AD20" w14:textId="77777777" w:rsidR="00004240" w:rsidRPr="00740BDD" w:rsidRDefault="00004240" w:rsidP="00A92B1C">
            <w:pPr>
              <w:pStyle w:val="BodyText"/>
              <w:spacing w:before="0"/>
              <w:jc w:val="center"/>
              <w:rPr>
                <w:rFonts w:ascii="Arial" w:hAnsi="Arial" w:cs="Arial"/>
                <w:color w:val="FFFFFF"/>
              </w:rPr>
            </w:pPr>
            <w:r w:rsidRPr="00740BDD">
              <w:rPr>
                <w:rFonts w:ascii="Arial" w:hAnsi="Arial" w:cs="Arial"/>
                <w:color w:val="FFFFFF"/>
              </w:rPr>
              <w:t>Author</w:t>
            </w:r>
          </w:p>
        </w:tc>
      </w:tr>
      <w:tr w:rsidR="00AE35F7" w:rsidRPr="00740BDD" w14:paraId="0E881C7A" w14:textId="77777777" w:rsidTr="00146DB1">
        <w:trPr>
          <w:trHeight w:val="400"/>
          <w:jc w:val="center"/>
        </w:trPr>
        <w:tc>
          <w:tcPr>
            <w:tcW w:w="6549" w:type="dxa"/>
            <w:tcBorders>
              <w:top w:val="single" w:sz="4" w:space="0" w:color="auto"/>
              <w:left w:val="single" w:sz="4" w:space="0" w:color="auto"/>
              <w:bottom w:val="single" w:sz="4" w:space="0" w:color="auto"/>
              <w:right w:val="single" w:sz="4" w:space="0" w:color="auto"/>
            </w:tcBorders>
            <w:vAlign w:val="center"/>
          </w:tcPr>
          <w:p w14:paraId="1A5F201F" w14:textId="77777777" w:rsidR="00AE35F7" w:rsidRPr="001548ED" w:rsidRDefault="00AE35F7" w:rsidP="00AE35F7">
            <w:pPr>
              <w:spacing w:beforeLines="20" w:before="48" w:afterLines="20" w:after="48"/>
              <w:rPr>
                <w:rFonts w:ascii="Arial" w:hAnsi="Arial" w:cs="Arial"/>
                <w:sz w:val="20"/>
              </w:rPr>
            </w:pPr>
            <w:r w:rsidRPr="001548ED">
              <w:rPr>
                <w:rFonts w:ascii="Arial" w:hAnsi="Arial" w:cs="Arial"/>
                <w:sz w:val="20"/>
              </w:rPr>
              <w:t xml:space="preserve">ISO 20022 Business Justification – Securities settlement and reconciliation </w:t>
            </w:r>
            <w:r w:rsidR="00D13286" w:rsidRPr="00957CBB">
              <w:rPr>
                <w:rFonts w:ascii="Arial" w:hAnsi="Arial" w:cs="Arial"/>
                <w:sz w:val="20"/>
                <w:szCs w:val="16"/>
              </w:rPr>
              <w:t>http://www.iso20022.org/documents/BJ/BJ042</w:t>
            </w:r>
            <w:r w:rsidRPr="00957CBB">
              <w:rPr>
                <w:rFonts w:ascii="Arial" w:hAnsi="Arial" w:cs="Arial"/>
                <w:sz w:val="20"/>
                <w:szCs w:val="16"/>
              </w:rPr>
              <w:t>/ISO20022BJ_T2S_v2_with_comments.pdf</w:t>
            </w:r>
          </w:p>
        </w:tc>
        <w:tc>
          <w:tcPr>
            <w:tcW w:w="1258" w:type="dxa"/>
            <w:tcBorders>
              <w:top w:val="single" w:sz="4" w:space="0" w:color="auto"/>
              <w:left w:val="single" w:sz="4" w:space="0" w:color="auto"/>
              <w:bottom w:val="single" w:sz="4" w:space="0" w:color="auto"/>
              <w:right w:val="single" w:sz="4" w:space="0" w:color="auto"/>
            </w:tcBorders>
            <w:vAlign w:val="center"/>
          </w:tcPr>
          <w:p w14:paraId="4E5FFD9B" w14:textId="77777777" w:rsidR="00AE35F7" w:rsidRPr="001548ED" w:rsidRDefault="00AE35F7" w:rsidP="00AE35F7">
            <w:pPr>
              <w:spacing w:beforeLines="20" w:before="48" w:afterLines="20" w:after="48"/>
              <w:rPr>
                <w:rFonts w:ascii="Arial" w:hAnsi="Arial" w:cs="Arial"/>
                <w:sz w:val="20"/>
              </w:rPr>
            </w:pPr>
            <w:r w:rsidRPr="001548ED">
              <w:rPr>
                <w:rFonts w:ascii="Arial" w:hAnsi="Arial" w:cs="Arial"/>
                <w:sz w:val="20"/>
              </w:rPr>
              <w:t>2.0</w:t>
            </w:r>
          </w:p>
        </w:tc>
        <w:tc>
          <w:tcPr>
            <w:tcW w:w="1175" w:type="dxa"/>
            <w:tcBorders>
              <w:top w:val="single" w:sz="4" w:space="0" w:color="auto"/>
              <w:left w:val="single" w:sz="4" w:space="0" w:color="auto"/>
              <w:bottom w:val="single" w:sz="4" w:space="0" w:color="auto"/>
              <w:right w:val="single" w:sz="4" w:space="0" w:color="auto"/>
            </w:tcBorders>
            <w:vAlign w:val="center"/>
          </w:tcPr>
          <w:p w14:paraId="539113ED" w14:textId="77777777" w:rsidR="00AE35F7" w:rsidRPr="00740BDD" w:rsidRDefault="00AE35F7" w:rsidP="008D2445">
            <w:pPr>
              <w:spacing w:before="0"/>
              <w:jc w:val="center"/>
              <w:rPr>
                <w:rFonts w:ascii="Arial" w:eastAsia="Times New Roman" w:hAnsi="Arial" w:cs="Arial"/>
                <w:color w:val="0070C0"/>
                <w:sz w:val="20"/>
              </w:rPr>
            </w:pP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7FB64528" w14:textId="77777777" w:rsidR="00AE35F7" w:rsidRPr="001548ED" w:rsidRDefault="00AE35F7" w:rsidP="00AE35F7">
            <w:pPr>
              <w:spacing w:beforeLines="20" w:before="48" w:afterLines="20" w:after="48"/>
              <w:rPr>
                <w:rFonts w:ascii="Arial" w:hAnsi="Arial" w:cs="Arial"/>
                <w:sz w:val="20"/>
              </w:rPr>
            </w:pPr>
            <w:r>
              <w:rPr>
                <w:rFonts w:ascii="Arial" w:hAnsi="Arial" w:cs="Arial"/>
                <w:sz w:val="20"/>
              </w:rPr>
              <w:t>4CB</w:t>
            </w:r>
          </w:p>
        </w:tc>
      </w:tr>
      <w:tr w:rsidR="00AE35F7" w:rsidRPr="00740BDD" w14:paraId="24BF2EC5" w14:textId="77777777" w:rsidTr="00146DB1">
        <w:trPr>
          <w:trHeight w:val="400"/>
          <w:jc w:val="center"/>
        </w:trPr>
        <w:tc>
          <w:tcPr>
            <w:tcW w:w="6549" w:type="dxa"/>
            <w:tcBorders>
              <w:top w:val="single" w:sz="4" w:space="0" w:color="auto"/>
              <w:left w:val="single" w:sz="4" w:space="0" w:color="auto"/>
              <w:bottom w:val="single" w:sz="4" w:space="0" w:color="auto"/>
              <w:right w:val="single" w:sz="4" w:space="0" w:color="auto"/>
            </w:tcBorders>
            <w:vAlign w:val="center"/>
          </w:tcPr>
          <w:p w14:paraId="16B91B10" w14:textId="77777777" w:rsidR="00AE35F7" w:rsidRDefault="00146DB1" w:rsidP="00AE35F7">
            <w:pPr>
              <w:spacing w:beforeLines="20" w:before="48" w:afterLines="20" w:after="48"/>
              <w:rPr>
                <w:rFonts w:ascii="Arial" w:hAnsi="Arial" w:cs="Arial"/>
                <w:sz w:val="20"/>
              </w:rPr>
            </w:pPr>
            <w:r>
              <w:rPr>
                <w:rFonts w:ascii="Arial" w:hAnsi="Arial" w:cs="Arial"/>
                <w:sz w:val="20"/>
              </w:rPr>
              <w:t>T2S User Requirements (URD)</w:t>
            </w:r>
          </w:p>
          <w:p w14:paraId="564FE4C4" w14:textId="77777777" w:rsidR="00146DB1" w:rsidRPr="001548ED" w:rsidRDefault="00146DB1" w:rsidP="00146DB1">
            <w:pPr>
              <w:spacing w:beforeLines="20" w:before="48" w:afterLines="20" w:after="48"/>
              <w:rPr>
                <w:rFonts w:ascii="Arial" w:hAnsi="Arial" w:cs="Arial"/>
                <w:sz w:val="20"/>
              </w:rPr>
            </w:pPr>
            <w:r w:rsidRPr="00146DB1">
              <w:rPr>
                <w:rFonts w:ascii="Arial" w:hAnsi="Arial" w:cs="Arial"/>
                <w:sz w:val="20"/>
              </w:rPr>
              <w:t>https://www.ecb.europa.eu/paym/t</w:t>
            </w:r>
            <w:r>
              <w:rPr>
                <w:rFonts w:ascii="Arial" w:hAnsi="Arial" w:cs="Arial"/>
                <w:sz w:val="20"/>
              </w:rPr>
              <w:t>2s/pdf/2016-08-01_urd_v5_05.pdf</w:t>
            </w:r>
            <w:r w:rsidRPr="001548ED">
              <w:rPr>
                <w:rFonts w:ascii="Arial" w:hAnsi="Arial" w:cs="Arial"/>
                <w:sz w:val="20"/>
              </w:rPr>
              <w:t xml:space="preserve"> </w:t>
            </w:r>
          </w:p>
        </w:tc>
        <w:tc>
          <w:tcPr>
            <w:tcW w:w="1258" w:type="dxa"/>
            <w:tcBorders>
              <w:top w:val="single" w:sz="4" w:space="0" w:color="auto"/>
              <w:left w:val="single" w:sz="4" w:space="0" w:color="auto"/>
              <w:bottom w:val="single" w:sz="4" w:space="0" w:color="auto"/>
              <w:right w:val="single" w:sz="4" w:space="0" w:color="auto"/>
            </w:tcBorders>
            <w:vAlign w:val="center"/>
          </w:tcPr>
          <w:p w14:paraId="520816A2" w14:textId="77777777" w:rsidR="00AE35F7" w:rsidRPr="001548ED" w:rsidRDefault="00146DB1" w:rsidP="00AE35F7">
            <w:pPr>
              <w:spacing w:beforeLines="20" w:before="48" w:afterLines="20" w:after="48"/>
              <w:rPr>
                <w:rFonts w:ascii="Arial" w:hAnsi="Arial" w:cs="Arial"/>
                <w:sz w:val="20"/>
              </w:rPr>
            </w:pPr>
            <w:r>
              <w:rPr>
                <w:rFonts w:ascii="Arial" w:hAnsi="Arial" w:cs="Arial"/>
                <w:sz w:val="20"/>
              </w:rPr>
              <w:t>5.05</w:t>
            </w:r>
          </w:p>
        </w:tc>
        <w:tc>
          <w:tcPr>
            <w:tcW w:w="1175" w:type="dxa"/>
            <w:tcBorders>
              <w:top w:val="single" w:sz="4" w:space="0" w:color="auto"/>
              <w:left w:val="single" w:sz="4" w:space="0" w:color="auto"/>
              <w:bottom w:val="single" w:sz="4" w:space="0" w:color="auto"/>
              <w:right w:val="single" w:sz="4" w:space="0" w:color="auto"/>
            </w:tcBorders>
            <w:vAlign w:val="center"/>
          </w:tcPr>
          <w:p w14:paraId="1B59201E" w14:textId="77777777" w:rsidR="00AE35F7" w:rsidRPr="00740BDD" w:rsidRDefault="00146DB1" w:rsidP="00146DB1">
            <w:pPr>
              <w:spacing w:beforeLines="20" w:before="48" w:afterLines="20" w:after="48"/>
              <w:rPr>
                <w:rFonts w:ascii="Arial" w:eastAsia="Times New Roman" w:hAnsi="Arial" w:cs="Arial"/>
                <w:color w:val="0070C0"/>
                <w:sz w:val="20"/>
              </w:rPr>
            </w:pPr>
            <w:r w:rsidRPr="00146DB1">
              <w:rPr>
                <w:rFonts w:ascii="Arial" w:hAnsi="Arial" w:cs="Arial"/>
                <w:sz w:val="20"/>
              </w:rPr>
              <w:t>08.2016</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4531DB84" w14:textId="77777777" w:rsidR="00AE35F7" w:rsidRPr="001548ED" w:rsidRDefault="00146DB1" w:rsidP="00AE35F7">
            <w:pPr>
              <w:spacing w:beforeLines="20" w:before="48" w:afterLines="20" w:after="48"/>
              <w:rPr>
                <w:rFonts w:ascii="Arial" w:hAnsi="Arial" w:cs="Arial"/>
                <w:sz w:val="20"/>
              </w:rPr>
            </w:pPr>
            <w:r>
              <w:rPr>
                <w:rFonts w:ascii="Arial" w:hAnsi="Arial" w:cs="Arial"/>
                <w:sz w:val="20"/>
              </w:rPr>
              <w:t>ECB</w:t>
            </w:r>
          </w:p>
        </w:tc>
      </w:tr>
    </w:tbl>
    <w:p w14:paraId="557210E9" w14:textId="77777777" w:rsidR="00155D04" w:rsidRPr="008B3BC4" w:rsidRDefault="00FA000A" w:rsidP="00961093">
      <w:pPr>
        <w:pStyle w:val="BodyText"/>
        <w:sectPr w:rsidR="00155D04" w:rsidRPr="008B3BC4" w:rsidSect="005C2AEB">
          <w:headerReference w:type="default" r:id="rId20"/>
          <w:pgSz w:w="11907" w:h="16840" w:code="9"/>
          <w:pgMar w:top="1021" w:right="1304" w:bottom="567" w:left="1304" w:header="567" w:footer="533" w:gutter="0"/>
          <w:cols w:space="720"/>
          <w:formProt w:val="0"/>
          <w:titlePg/>
        </w:sectPr>
      </w:pPr>
      <w:r>
        <w:t xml:space="preserve"> </w:t>
      </w:r>
    </w:p>
    <w:p w14:paraId="13FF9037" w14:textId="77777777" w:rsidR="008E3B65" w:rsidRPr="008B3BC4" w:rsidRDefault="008E3B65" w:rsidP="008E3B65">
      <w:pPr>
        <w:pStyle w:val="Heading1"/>
      </w:pPr>
      <w:bookmarkStart w:id="18" w:name="_Toc15292994"/>
      <w:r w:rsidRPr="008B3BC4">
        <w:lastRenderedPageBreak/>
        <w:t>Scope</w:t>
      </w:r>
      <w:r>
        <w:t xml:space="preserve"> and Functionality</w:t>
      </w:r>
      <w:bookmarkEnd w:id="18"/>
    </w:p>
    <w:p w14:paraId="4E4C5217" w14:textId="77777777" w:rsidR="008E3B65" w:rsidRDefault="008E3B65" w:rsidP="008E3B65">
      <w:pPr>
        <w:pStyle w:val="Heading2"/>
      </w:pPr>
      <w:bookmarkStart w:id="19" w:name="_Toc15292995"/>
      <w:r w:rsidRPr="008B3BC4">
        <w:t>Background</w:t>
      </w:r>
      <w:bookmarkEnd w:id="19"/>
    </w:p>
    <w:p w14:paraId="60F61A77" w14:textId="302526B8" w:rsidR="005C2AEB" w:rsidRPr="005C2AEB" w:rsidRDefault="005C2AEB" w:rsidP="005C2AEB">
      <w:pPr>
        <w:jc w:val="both"/>
        <w:rPr>
          <w:rFonts w:ascii="Arial" w:hAnsi="Arial" w:cs="Arial"/>
          <w:sz w:val="20"/>
        </w:rPr>
      </w:pPr>
      <w:r w:rsidRPr="005C2AEB">
        <w:rPr>
          <w:rFonts w:ascii="Arial" w:hAnsi="Arial" w:cs="Arial"/>
          <w:sz w:val="20"/>
        </w:rPr>
        <w:t xml:space="preserve">This Message Definition Report covers a set of </w:t>
      </w:r>
      <w:r w:rsidR="00D2330D">
        <w:rPr>
          <w:rFonts w:ascii="Arial" w:hAnsi="Arial" w:cs="Arial"/>
          <w:sz w:val="20"/>
        </w:rPr>
        <w:t>two</w:t>
      </w:r>
      <w:r w:rsidR="00A914AB">
        <w:rPr>
          <w:rFonts w:ascii="Arial" w:hAnsi="Arial" w:cs="Arial"/>
          <w:sz w:val="20"/>
        </w:rPr>
        <w:t xml:space="preserve"> </w:t>
      </w:r>
      <w:r w:rsidR="00D2330D">
        <w:rPr>
          <w:rFonts w:ascii="Arial" w:hAnsi="Arial" w:cs="Arial"/>
          <w:sz w:val="20"/>
        </w:rPr>
        <w:t>Collateral</w:t>
      </w:r>
      <w:r w:rsidR="00A914AB" w:rsidRPr="005C2AEB">
        <w:rPr>
          <w:rFonts w:ascii="Arial" w:hAnsi="Arial" w:cs="Arial"/>
          <w:sz w:val="20"/>
        </w:rPr>
        <w:t xml:space="preserve"> </w:t>
      </w:r>
      <w:r w:rsidRPr="005C2AEB">
        <w:rPr>
          <w:rFonts w:ascii="Arial" w:hAnsi="Arial" w:cs="Arial"/>
          <w:sz w:val="20"/>
        </w:rPr>
        <w:t>Message</w:t>
      </w:r>
      <w:r w:rsidR="0098587D">
        <w:rPr>
          <w:rFonts w:ascii="Arial" w:hAnsi="Arial" w:cs="Arial"/>
          <w:sz w:val="20"/>
        </w:rPr>
        <w:t xml:space="preserve"> </w:t>
      </w:r>
      <w:r w:rsidRPr="005C2AEB">
        <w:rPr>
          <w:rFonts w:ascii="Arial" w:hAnsi="Arial" w:cs="Arial"/>
          <w:sz w:val="20"/>
        </w:rPr>
        <w:t xml:space="preserve">Definitions developed by Deutsche Bundesbank on behalf of 4CB in close collaboration with SWIFT and </w:t>
      </w:r>
      <w:r w:rsidR="00E063C3">
        <w:rPr>
          <w:rFonts w:ascii="Arial" w:hAnsi="Arial" w:cs="Arial"/>
          <w:sz w:val="20"/>
        </w:rPr>
        <w:t>a</w:t>
      </w:r>
      <w:r w:rsidR="00E063C3" w:rsidRPr="00E063C3">
        <w:rPr>
          <w:rFonts w:ascii="Arial" w:hAnsi="Arial" w:cs="Arial"/>
          <w:sz w:val="20"/>
        </w:rPr>
        <w:t>pproved by the Securities and Payments SEG under the leadership of the Securities SEG on the 19th of July 2019</w:t>
      </w:r>
      <w:r w:rsidRPr="005C2AEB">
        <w:rPr>
          <w:rFonts w:ascii="Arial" w:hAnsi="Arial" w:cs="Arial"/>
          <w:sz w:val="20"/>
        </w:rPr>
        <w:t xml:space="preserve">. </w:t>
      </w:r>
    </w:p>
    <w:p w14:paraId="5C622677" w14:textId="77777777" w:rsidR="005C2AEB" w:rsidRPr="005C2AEB" w:rsidRDefault="005C2AEB" w:rsidP="005C2AEB">
      <w:pPr>
        <w:jc w:val="both"/>
        <w:rPr>
          <w:rFonts w:ascii="Arial" w:hAnsi="Arial" w:cs="Arial"/>
          <w:sz w:val="20"/>
        </w:rPr>
      </w:pPr>
    </w:p>
    <w:p w14:paraId="3C6A77E6" w14:textId="77777777" w:rsidR="00430D0A" w:rsidRDefault="005C2AEB" w:rsidP="0098587D">
      <w:pPr>
        <w:jc w:val="both"/>
        <w:rPr>
          <w:rFonts w:ascii="Arial" w:hAnsi="Arial" w:cs="Arial"/>
          <w:sz w:val="20"/>
        </w:rPr>
      </w:pPr>
      <w:r w:rsidRPr="005C2AEB">
        <w:rPr>
          <w:rFonts w:ascii="Arial" w:hAnsi="Arial" w:cs="Arial"/>
          <w:sz w:val="20"/>
        </w:rPr>
        <w:t xml:space="preserve">Originally, these messages have been designed to support the T2S community for </w:t>
      </w:r>
      <w:r w:rsidR="00D2330D">
        <w:rPr>
          <w:rFonts w:ascii="Arial" w:hAnsi="Arial" w:cs="Arial"/>
          <w:sz w:val="20"/>
        </w:rPr>
        <w:t>Collateral</w:t>
      </w:r>
      <w:r>
        <w:rPr>
          <w:rFonts w:ascii="Arial" w:hAnsi="Arial" w:cs="Arial"/>
          <w:sz w:val="20"/>
        </w:rPr>
        <w:t xml:space="preserve"> management</w:t>
      </w:r>
      <w:r w:rsidRPr="005C2AEB">
        <w:rPr>
          <w:rFonts w:ascii="Arial" w:hAnsi="Arial" w:cs="Arial"/>
          <w:sz w:val="20"/>
        </w:rPr>
        <w:t xml:space="preserve">. </w:t>
      </w:r>
      <w:r w:rsidR="00740CE2" w:rsidRPr="004D22DC">
        <w:rPr>
          <w:rFonts w:ascii="Arial" w:hAnsi="Arial" w:cs="Arial"/>
          <w:sz w:val="20"/>
        </w:rPr>
        <w:t>T2S (TARGET2-Securities) is a European securities settlement engine which offers centralised settlement in central bank money across all European securities markets. The fundamental objective of T2S</w:t>
      </w:r>
      <w:r w:rsidR="007963BA">
        <w:rPr>
          <w:rFonts w:ascii="Arial" w:hAnsi="Arial" w:cs="Arial"/>
          <w:sz w:val="20"/>
        </w:rPr>
        <w:t xml:space="preserve"> </w:t>
      </w:r>
      <w:r w:rsidR="00740CE2" w:rsidRPr="004D22DC">
        <w:rPr>
          <w:rFonts w:ascii="Arial" w:hAnsi="Arial" w:cs="Arial"/>
          <w:sz w:val="20"/>
        </w:rPr>
        <w:t>is to integrate and harmonise the highly fragmented securities settlement infrastructure in Europe. It aims to reduce the costs of cross-border securities settlement and increase competition and choice among providers of post-trading services in Europe.</w:t>
      </w:r>
    </w:p>
    <w:p w14:paraId="5B869622" w14:textId="77777777" w:rsidR="0098587D" w:rsidRDefault="0098587D" w:rsidP="0098587D">
      <w:pPr>
        <w:pStyle w:val="T2Base"/>
        <w:rPr>
          <w:rFonts w:ascii="Arial" w:hAnsi="Arial" w:cs="Arial"/>
          <w:sz w:val="20"/>
          <w:lang w:eastAsia="en-US"/>
        </w:rPr>
      </w:pPr>
    </w:p>
    <w:p w14:paraId="553A7F8D" w14:textId="77777777" w:rsidR="0098587D" w:rsidRPr="0098587D" w:rsidRDefault="009F3D9E" w:rsidP="0098587D">
      <w:pPr>
        <w:jc w:val="both"/>
        <w:rPr>
          <w:rFonts w:ascii="Arial" w:hAnsi="Arial" w:cs="Arial"/>
          <w:sz w:val="20"/>
        </w:rPr>
      </w:pPr>
      <w:r w:rsidRPr="009F3D9E">
        <w:rPr>
          <w:rFonts w:ascii="Arial" w:hAnsi="Arial" w:cs="Arial"/>
          <w:sz w:val="20"/>
        </w:rPr>
        <w:t>To support information about collateral values, the Query Management</w:t>
      </w:r>
      <w:r>
        <w:rPr>
          <w:rFonts w:ascii="Arial" w:hAnsi="Arial" w:cs="Arial"/>
          <w:sz w:val="20"/>
        </w:rPr>
        <w:t xml:space="preserve"> module of T2S</w:t>
      </w:r>
      <w:r w:rsidRPr="009F3D9E">
        <w:rPr>
          <w:rFonts w:ascii="Arial" w:hAnsi="Arial" w:cs="Arial"/>
          <w:sz w:val="20"/>
        </w:rPr>
        <w:t xml:space="preserve"> supports three </w:t>
      </w:r>
      <w:r>
        <w:rPr>
          <w:rFonts w:ascii="Arial" w:hAnsi="Arial" w:cs="Arial"/>
          <w:sz w:val="20"/>
        </w:rPr>
        <w:t>different query types, providing</w:t>
      </w:r>
      <w:r w:rsidRPr="009F3D9E">
        <w:rPr>
          <w:rFonts w:ascii="Arial" w:hAnsi="Arial" w:cs="Arial"/>
          <w:sz w:val="20"/>
        </w:rPr>
        <w:t xml:space="preserve"> a drill-down of the current collateral value of securities on </w:t>
      </w:r>
      <w:bookmarkStart w:id="20" w:name="_GoBack"/>
      <w:bookmarkEnd w:id="20"/>
      <w:r w:rsidRPr="009F3D9E">
        <w:rPr>
          <w:rFonts w:ascii="Arial" w:hAnsi="Arial" w:cs="Arial"/>
          <w:sz w:val="20"/>
        </w:rPr>
        <w:t>stock per T2S dedicated cash account and securities account.</w:t>
      </w:r>
      <w:r w:rsidR="0098587D" w:rsidRPr="0098587D">
        <w:rPr>
          <w:rFonts w:ascii="Arial" w:hAnsi="Arial" w:cs="Arial"/>
          <w:sz w:val="20"/>
        </w:rPr>
        <w:t xml:space="preserve"> </w:t>
      </w:r>
    </w:p>
    <w:p w14:paraId="403C1EF6" w14:textId="77777777" w:rsidR="0098587D" w:rsidRDefault="0098587D" w:rsidP="005C2AEB">
      <w:pPr>
        <w:jc w:val="both"/>
        <w:rPr>
          <w:rFonts w:ascii="Arial" w:hAnsi="Arial" w:cs="Arial"/>
          <w:sz w:val="20"/>
        </w:rPr>
      </w:pPr>
    </w:p>
    <w:p w14:paraId="5D7C9BEE" w14:textId="77777777" w:rsidR="007C29DB" w:rsidRPr="005C2AEB" w:rsidRDefault="005C2AEB" w:rsidP="005C2AEB">
      <w:pPr>
        <w:jc w:val="both"/>
        <w:rPr>
          <w:rFonts w:ascii="Arial" w:hAnsi="Arial" w:cs="Arial"/>
          <w:sz w:val="20"/>
        </w:rPr>
      </w:pPr>
      <w:r w:rsidRPr="005C2AEB">
        <w:rPr>
          <w:rFonts w:ascii="Arial" w:hAnsi="Arial" w:cs="Arial"/>
          <w:sz w:val="20"/>
        </w:rPr>
        <w:t xml:space="preserve">The detailed description of each </w:t>
      </w:r>
      <w:r w:rsidR="00A914AB">
        <w:rPr>
          <w:rFonts w:ascii="Arial" w:hAnsi="Arial" w:cs="Arial"/>
          <w:sz w:val="20"/>
        </w:rPr>
        <w:t>Message</w:t>
      </w:r>
      <w:r w:rsidR="00730EAD">
        <w:rPr>
          <w:rFonts w:ascii="Arial" w:hAnsi="Arial" w:cs="Arial"/>
          <w:sz w:val="20"/>
        </w:rPr>
        <w:t xml:space="preserve"> </w:t>
      </w:r>
      <w:r w:rsidR="00A914AB">
        <w:rPr>
          <w:rFonts w:ascii="Arial" w:hAnsi="Arial" w:cs="Arial"/>
          <w:sz w:val="20"/>
        </w:rPr>
        <w:t>Definition</w:t>
      </w:r>
      <w:r w:rsidRPr="005C2AEB">
        <w:rPr>
          <w:rFonts w:ascii="Arial" w:hAnsi="Arial" w:cs="Arial"/>
          <w:sz w:val="20"/>
        </w:rPr>
        <w:t xml:space="preserve"> is provided in Message Definition Report Part</w:t>
      </w:r>
      <w:r w:rsidR="006755AB">
        <w:rPr>
          <w:rFonts w:ascii="Arial" w:hAnsi="Arial" w:cs="Arial"/>
          <w:sz w:val="20"/>
        </w:rPr>
        <w:t> </w:t>
      </w:r>
      <w:r w:rsidRPr="005C2AEB">
        <w:rPr>
          <w:rFonts w:ascii="Arial" w:hAnsi="Arial" w:cs="Arial"/>
          <w:sz w:val="20"/>
        </w:rPr>
        <w:t>2.</w:t>
      </w:r>
    </w:p>
    <w:p w14:paraId="1076EE21" w14:textId="77777777" w:rsidR="008E3B65" w:rsidRPr="006B1B55" w:rsidRDefault="008E3B65" w:rsidP="008E3B65">
      <w:pPr>
        <w:pStyle w:val="Heading2"/>
      </w:pPr>
      <w:bookmarkStart w:id="21" w:name="_Toc15292996"/>
      <w:r w:rsidRPr="006B1B55">
        <w:t>Scope</w:t>
      </w:r>
      <w:bookmarkEnd w:id="21"/>
    </w:p>
    <w:p w14:paraId="3D9A1459" w14:textId="121768D2" w:rsidR="00827674" w:rsidRDefault="00693804" w:rsidP="00730EAD">
      <w:pPr>
        <w:jc w:val="both"/>
        <w:rPr>
          <w:rFonts w:ascii="Arial" w:hAnsi="Arial" w:cs="Arial"/>
          <w:sz w:val="20"/>
        </w:rPr>
      </w:pPr>
      <w:r w:rsidRPr="00693804">
        <w:rPr>
          <w:rFonts w:ascii="Arial" w:hAnsi="Arial" w:cs="Arial"/>
          <w:sz w:val="20"/>
        </w:rPr>
        <w:t xml:space="preserve">These two Message Definitions (colr.001 and colr.002) </w:t>
      </w:r>
      <w:r w:rsidR="00827674">
        <w:rPr>
          <w:rFonts w:ascii="Arial" w:hAnsi="Arial" w:cs="Arial"/>
          <w:sz w:val="20"/>
        </w:rPr>
        <w:t>support</w:t>
      </w:r>
      <w:r w:rsidR="00827674" w:rsidRPr="00827674">
        <w:rPr>
          <w:rFonts w:ascii="Arial" w:hAnsi="Arial" w:cs="Arial"/>
          <w:sz w:val="20"/>
        </w:rPr>
        <w:t xml:space="preserve"> three different query types </w:t>
      </w:r>
      <w:r w:rsidR="00827674">
        <w:rPr>
          <w:rFonts w:ascii="Arial" w:hAnsi="Arial" w:cs="Arial"/>
          <w:sz w:val="20"/>
        </w:rPr>
        <w:t xml:space="preserve">and </w:t>
      </w:r>
      <w:r w:rsidRPr="00693804">
        <w:rPr>
          <w:rFonts w:ascii="Arial" w:hAnsi="Arial" w:cs="Arial"/>
          <w:sz w:val="20"/>
        </w:rPr>
        <w:t xml:space="preserve">are specifically designed to provide information on </w:t>
      </w:r>
      <w:r w:rsidR="00827674" w:rsidRPr="00827674">
        <w:rPr>
          <w:rFonts w:ascii="Arial" w:hAnsi="Arial" w:cs="Arial"/>
          <w:sz w:val="20"/>
        </w:rPr>
        <w:t>the current collateral value of securities on stock per cash account and securities account</w:t>
      </w:r>
      <w:r w:rsidRPr="00693804">
        <w:rPr>
          <w:rFonts w:ascii="Arial" w:hAnsi="Arial" w:cs="Arial"/>
          <w:sz w:val="20"/>
        </w:rPr>
        <w:t xml:space="preserve">. </w:t>
      </w:r>
      <w:r w:rsidR="00827674" w:rsidRPr="00827674">
        <w:rPr>
          <w:rFonts w:ascii="Arial" w:hAnsi="Arial" w:cs="Arial"/>
          <w:sz w:val="20"/>
        </w:rPr>
        <w:t xml:space="preserve">The response to a </w:t>
      </w:r>
      <w:r w:rsidR="00827674">
        <w:rPr>
          <w:rFonts w:ascii="Arial" w:hAnsi="Arial" w:cs="Arial"/>
          <w:sz w:val="20"/>
        </w:rPr>
        <w:t>q</w:t>
      </w:r>
      <w:r w:rsidR="00827674" w:rsidRPr="00827674">
        <w:rPr>
          <w:rFonts w:ascii="Arial" w:hAnsi="Arial" w:cs="Arial"/>
          <w:sz w:val="20"/>
        </w:rPr>
        <w:t>uery always contains the timestamp specifying the system time when the data selection was actually performed. The response messages to value queries will deliver information on all securities and cash balances that meet the specifications defined in the query. In addition, the information on securities balances are complemented with their balance types and the system time at which the balance snapshot was taken.</w:t>
      </w:r>
    </w:p>
    <w:p w14:paraId="5B0B6230" w14:textId="77777777" w:rsidR="00827674" w:rsidRDefault="00827674" w:rsidP="00730EAD">
      <w:pPr>
        <w:jc w:val="both"/>
        <w:rPr>
          <w:rFonts w:ascii="Arial" w:hAnsi="Arial" w:cs="Arial"/>
          <w:sz w:val="20"/>
        </w:rPr>
      </w:pPr>
    </w:p>
    <w:p w14:paraId="5EC2ACB1" w14:textId="77777777" w:rsidR="000555B8" w:rsidRDefault="000555B8">
      <w:pPr>
        <w:spacing w:before="0"/>
        <w:rPr>
          <w:rFonts w:ascii="Arial" w:hAnsi="Arial" w:cs="Arial"/>
          <w:sz w:val="20"/>
        </w:rPr>
      </w:pPr>
      <w:r>
        <w:rPr>
          <w:rFonts w:ascii="Arial" w:hAnsi="Arial" w:cs="Arial"/>
          <w:sz w:val="20"/>
        </w:rPr>
        <w:br w:type="page"/>
      </w:r>
    </w:p>
    <w:p w14:paraId="6D67F9A9" w14:textId="271D054D" w:rsidR="008E3B65" w:rsidRPr="006B1B55" w:rsidRDefault="008E3B65" w:rsidP="008E3B65">
      <w:pPr>
        <w:pStyle w:val="Heading2"/>
      </w:pPr>
      <w:bookmarkStart w:id="22" w:name="_Toc15292997"/>
      <w:r w:rsidRPr="006B1B55">
        <w:lastRenderedPageBreak/>
        <w:t>Groups of Message</w:t>
      </w:r>
      <w:r w:rsidR="006F035C">
        <w:t xml:space="preserve"> </w:t>
      </w:r>
      <w:r w:rsidR="007835B1" w:rsidRPr="006B1B55">
        <w:t>Definition</w:t>
      </w:r>
      <w:r w:rsidRPr="006B1B55">
        <w:t>s and Functionality</w:t>
      </w:r>
      <w:bookmarkEnd w:id="22"/>
    </w:p>
    <w:p w14:paraId="48E1AFCC" w14:textId="77777777" w:rsidR="000E5B94" w:rsidRDefault="000E5B94" w:rsidP="000579F3">
      <w:pPr>
        <w:autoSpaceDE w:val="0"/>
        <w:autoSpaceDN w:val="0"/>
        <w:adjustRightInd w:val="0"/>
        <w:spacing w:before="120"/>
        <w:jc w:val="both"/>
        <w:rPr>
          <w:rFonts w:ascii="Arial" w:hAnsi="Arial" w:cs="Arial"/>
          <w:color w:val="0070C0"/>
          <w:sz w:val="20"/>
        </w:rPr>
      </w:pPr>
    </w:p>
    <w:p w14:paraId="1521F210" w14:textId="77777777" w:rsidR="000E5B94" w:rsidRPr="00FF48CB" w:rsidRDefault="002E4490" w:rsidP="000579F3">
      <w:pPr>
        <w:autoSpaceDE w:val="0"/>
        <w:autoSpaceDN w:val="0"/>
        <w:adjustRightInd w:val="0"/>
        <w:spacing w:before="120"/>
        <w:jc w:val="both"/>
        <w:rPr>
          <w:rFonts w:ascii="Arial" w:hAnsi="Arial" w:cs="Arial"/>
          <w:bCs/>
          <w:sz w:val="20"/>
          <w:lang w:val="en-US"/>
        </w:rPr>
      </w:pPr>
      <w:r w:rsidRPr="00FF48CB">
        <w:rPr>
          <w:rFonts w:ascii="Arial" w:hAnsi="Arial" w:cs="Arial"/>
          <w:sz w:val="20"/>
        </w:rPr>
        <w:t xml:space="preserve">This </w:t>
      </w:r>
      <w:r w:rsidR="001511B3">
        <w:rPr>
          <w:rFonts w:ascii="Arial" w:hAnsi="Arial" w:cs="Arial"/>
          <w:sz w:val="20"/>
        </w:rPr>
        <w:t>Collateral</w:t>
      </w:r>
      <w:r w:rsidR="002F0374" w:rsidRPr="00FF48CB">
        <w:rPr>
          <w:rFonts w:ascii="Arial" w:hAnsi="Arial" w:cs="Arial"/>
          <w:sz w:val="20"/>
        </w:rPr>
        <w:t xml:space="preserve"> message set</w:t>
      </w:r>
      <w:r w:rsidRPr="00FF48CB">
        <w:rPr>
          <w:rFonts w:ascii="Arial" w:hAnsi="Arial" w:cs="Arial"/>
          <w:sz w:val="20"/>
        </w:rPr>
        <w:t xml:space="preserve"> consists of</w:t>
      </w:r>
      <w:r w:rsidR="002F0374" w:rsidRPr="00FF48CB">
        <w:rPr>
          <w:rFonts w:ascii="Arial" w:hAnsi="Arial" w:cs="Arial"/>
          <w:sz w:val="20"/>
        </w:rPr>
        <w:t xml:space="preserve"> t</w:t>
      </w:r>
      <w:r w:rsidR="00962352" w:rsidRPr="00FF48CB">
        <w:rPr>
          <w:rFonts w:ascii="Arial" w:hAnsi="Arial" w:cs="Arial"/>
          <w:sz w:val="20"/>
        </w:rPr>
        <w:t xml:space="preserve">he </w:t>
      </w:r>
      <w:proofErr w:type="spellStart"/>
      <w:r w:rsidR="001511B3" w:rsidRPr="001511B3">
        <w:rPr>
          <w:rFonts w:ascii="Arial" w:hAnsi="Arial" w:cs="Arial"/>
          <w:sz w:val="20"/>
        </w:rPr>
        <w:t>CollateralValueQuery</w:t>
      </w:r>
      <w:proofErr w:type="spellEnd"/>
      <w:r w:rsidR="001511B3" w:rsidRPr="001511B3">
        <w:rPr>
          <w:rFonts w:ascii="Arial" w:hAnsi="Arial" w:cs="Arial"/>
          <w:sz w:val="20"/>
        </w:rPr>
        <w:t xml:space="preserve"> (colr.001</w:t>
      </w:r>
      <w:r w:rsidR="001511B3">
        <w:rPr>
          <w:rFonts w:ascii="Arial" w:hAnsi="Arial" w:cs="Arial"/>
          <w:sz w:val="20"/>
        </w:rPr>
        <w:t>)</w:t>
      </w:r>
      <w:r w:rsidR="00962352" w:rsidRPr="00FF48CB">
        <w:rPr>
          <w:rFonts w:ascii="Arial" w:hAnsi="Arial" w:cs="Arial"/>
          <w:sz w:val="20"/>
        </w:rPr>
        <w:t xml:space="preserve"> and</w:t>
      </w:r>
      <w:r w:rsidR="000E5B94" w:rsidRPr="00FF48CB">
        <w:rPr>
          <w:rFonts w:ascii="Arial" w:hAnsi="Arial" w:cs="Arial"/>
          <w:sz w:val="20"/>
        </w:rPr>
        <w:t xml:space="preserve"> </w:t>
      </w:r>
      <w:r w:rsidR="002721E8" w:rsidRPr="00FF48CB">
        <w:rPr>
          <w:rFonts w:ascii="Arial" w:hAnsi="Arial" w:cs="Arial"/>
          <w:sz w:val="20"/>
        </w:rPr>
        <w:t xml:space="preserve">the </w:t>
      </w:r>
      <w:proofErr w:type="spellStart"/>
      <w:r w:rsidR="001511B3">
        <w:rPr>
          <w:rFonts w:ascii="Arial" w:hAnsi="Arial" w:cs="Arial"/>
          <w:sz w:val="20"/>
        </w:rPr>
        <w:t>CollateralValueReport</w:t>
      </w:r>
      <w:proofErr w:type="spellEnd"/>
      <w:r w:rsidR="001511B3">
        <w:rPr>
          <w:rFonts w:ascii="Arial" w:hAnsi="Arial" w:cs="Arial"/>
          <w:sz w:val="20"/>
        </w:rPr>
        <w:t xml:space="preserve"> (colr.002)</w:t>
      </w:r>
      <w:r w:rsidR="000A30F0" w:rsidRPr="00FF48CB">
        <w:rPr>
          <w:rFonts w:ascii="Arial" w:hAnsi="Arial" w:cs="Arial"/>
          <w:sz w:val="20"/>
        </w:rPr>
        <w:t xml:space="preserve">. </w:t>
      </w:r>
      <w:r w:rsidR="002721E8" w:rsidRPr="00FF48CB">
        <w:rPr>
          <w:rFonts w:ascii="Arial" w:hAnsi="Arial" w:cs="Arial"/>
          <w:sz w:val="20"/>
        </w:rPr>
        <w:t>Both messages</w:t>
      </w:r>
      <w:r w:rsidRPr="00FF48CB">
        <w:rPr>
          <w:rFonts w:ascii="Arial" w:hAnsi="Arial" w:cs="Arial"/>
          <w:sz w:val="20"/>
        </w:rPr>
        <w:t xml:space="preserve"> </w:t>
      </w:r>
      <w:r w:rsidR="000A30F0" w:rsidRPr="00FF48CB">
        <w:rPr>
          <w:rFonts w:ascii="Arial" w:hAnsi="Arial" w:cs="Arial"/>
          <w:sz w:val="20"/>
        </w:rPr>
        <w:t>will</w:t>
      </w:r>
      <w:r w:rsidR="00FA2767" w:rsidRPr="00FF48CB">
        <w:rPr>
          <w:rFonts w:ascii="Arial" w:hAnsi="Arial" w:cs="Arial"/>
          <w:bCs/>
          <w:sz w:val="20"/>
          <w:lang w:val="en-US"/>
        </w:rPr>
        <w:t xml:space="preserve"> </w:t>
      </w:r>
      <w:r w:rsidRPr="00FF48CB">
        <w:rPr>
          <w:rFonts w:ascii="Arial" w:hAnsi="Arial" w:cs="Arial"/>
          <w:bCs/>
          <w:sz w:val="20"/>
          <w:lang w:val="en-US"/>
        </w:rPr>
        <w:t xml:space="preserve">be </w:t>
      </w:r>
      <w:r w:rsidR="000E5B94" w:rsidRPr="00FF48CB">
        <w:rPr>
          <w:rFonts w:ascii="Arial" w:hAnsi="Arial" w:cs="Arial"/>
          <w:bCs/>
          <w:sz w:val="20"/>
          <w:lang w:val="en-US"/>
        </w:rPr>
        <w:t>use</w:t>
      </w:r>
      <w:r w:rsidRPr="00FF48CB">
        <w:rPr>
          <w:rFonts w:ascii="Arial" w:hAnsi="Arial" w:cs="Arial"/>
          <w:bCs/>
          <w:sz w:val="20"/>
          <w:lang w:val="en-US"/>
        </w:rPr>
        <w:t>d with</w:t>
      </w:r>
      <w:r w:rsidR="000E5B94" w:rsidRPr="00FF48CB">
        <w:rPr>
          <w:rFonts w:ascii="Arial" w:hAnsi="Arial" w:cs="Arial"/>
          <w:bCs/>
          <w:sz w:val="20"/>
          <w:lang w:val="en-US"/>
        </w:rPr>
        <w:t xml:space="preserve"> </w:t>
      </w:r>
      <w:r w:rsidR="000579F3" w:rsidRPr="00FF48CB">
        <w:rPr>
          <w:rFonts w:ascii="Arial" w:hAnsi="Arial" w:cs="Arial"/>
          <w:bCs/>
          <w:sz w:val="20"/>
          <w:lang w:val="en-US"/>
        </w:rPr>
        <w:t xml:space="preserve">the ISO 20022 Business Application Header (head.001). </w:t>
      </w:r>
    </w:p>
    <w:p w14:paraId="52501831" w14:textId="77777777" w:rsidR="00B6180B" w:rsidRDefault="00B6180B" w:rsidP="000579F3">
      <w:pPr>
        <w:autoSpaceDE w:val="0"/>
        <w:autoSpaceDN w:val="0"/>
        <w:adjustRightInd w:val="0"/>
        <w:spacing w:before="120"/>
        <w:jc w:val="both"/>
        <w:rPr>
          <w:rFonts w:ascii="Arial" w:hAnsi="Arial" w:cs="Arial"/>
          <w:bCs/>
          <w:sz w:val="20"/>
          <w:lang w:val="en-US"/>
        </w:rPr>
      </w:pPr>
    </w:p>
    <w:p w14:paraId="65BCFB79" w14:textId="1F61199D" w:rsidR="00F70ABC" w:rsidRPr="00FF48CB" w:rsidRDefault="00F70ABC" w:rsidP="00F70ABC">
      <w:pPr>
        <w:jc w:val="both"/>
        <w:rPr>
          <w:rFonts w:ascii="Arial" w:hAnsi="Arial" w:cs="Arial"/>
          <w:sz w:val="20"/>
        </w:rPr>
      </w:pPr>
      <w:r w:rsidRPr="00FF48CB">
        <w:rPr>
          <w:rFonts w:ascii="Arial" w:hAnsi="Arial" w:cs="Arial"/>
          <w:sz w:val="20"/>
        </w:rPr>
        <w:t xml:space="preserve">Please find below high level information about the functionality of the messages: </w:t>
      </w:r>
    </w:p>
    <w:p w14:paraId="1E082B79" w14:textId="77777777" w:rsidR="00F70ABC" w:rsidRPr="00FF48CB" w:rsidRDefault="00F70ABC" w:rsidP="00F70ABC">
      <w:pPr>
        <w:autoSpaceDE w:val="0"/>
        <w:autoSpaceDN w:val="0"/>
        <w:adjustRightInd w:val="0"/>
        <w:spacing w:before="120"/>
        <w:jc w:val="both"/>
        <w:rPr>
          <w:rFonts w:ascii="Arial" w:hAnsi="Arial" w:cs="Arial"/>
          <w:color w:val="0070C0"/>
          <w:sz w:val="20"/>
        </w:rPr>
      </w:pPr>
    </w:p>
    <w:p w14:paraId="3A78849E" w14:textId="77777777" w:rsidR="00FF48CB" w:rsidRPr="00FF48CB" w:rsidRDefault="00FF48CB" w:rsidP="00FF48CB">
      <w:pPr>
        <w:autoSpaceDE w:val="0"/>
        <w:autoSpaceDN w:val="0"/>
        <w:adjustRightInd w:val="0"/>
        <w:spacing w:before="0"/>
        <w:rPr>
          <w:rFonts w:ascii="Arial" w:hAnsi="Arial" w:cs="Arial"/>
          <w:b/>
          <w:bCs/>
          <w:color w:val="5A78BD"/>
          <w:sz w:val="20"/>
          <w:lang w:eastAsia="en-GB"/>
        </w:rPr>
      </w:pPr>
      <w:r w:rsidRPr="00FF48CB">
        <w:rPr>
          <w:rFonts w:ascii="Arial" w:hAnsi="Arial" w:cs="Arial"/>
          <w:color w:val="000000"/>
          <w:sz w:val="20"/>
          <w:lang w:eastAsia="en-GB"/>
        </w:rPr>
        <w:t xml:space="preserve">The </w:t>
      </w:r>
      <w:proofErr w:type="spellStart"/>
      <w:r w:rsidR="00827674" w:rsidRPr="00827674">
        <w:rPr>
          <w:rFonts w:ascii="Arial" w:hAnsi="Arial" w:cs="Arial"/>
          <w:color w:val="000000"/>
          <w:sz w:val="20"/>
          <w:lang w:eastAsia="en-GB"/>
        </w:rPr>
        <w:t>CollateralValueQuery</w:t>
      </w:r>
      <w:proofErr w:type="spellEnd"/>
      <w:r w:rsidR="00827674" w:rsidRPr="00827674">
        <w:rPr>
          <w:rFonts w:ascii="Arial" w:hAnsi="Arial" w:cs="Arial"/>
          <w:color w:val="000000"/>
          <w:sz w:val="20"/>
          <w:lang w:eastAsia="en-GB"/>
        </w:rPr>
        <w:t xml:space="preserve"> (colr.001)</w:t>
      </w:r>
      <w:r w:rsidRPr="00FF48CB">
        <w:rPr>
          <w:rFonts w:ascii="Arial" w:hAnsi="Arial" w:cs="Arial"/>
          <w:color w:val="000000"/>
          <w:sz w:val="20"/>
          <w:lang w:eastAsia="en-GB"/>
        </w:rPr>
        <w:t xml:space="preserve"> message is sent by</w:t>
      </w:r>
      <w:r w:rsidR="006755AB">
        <w:rPr>
          <w:rFonts w:ascii="Arial" w:hAnsi="Arial" w:cs="Arial"/>
          <w:color w:val="000000"/>
          <w:sz w:val="20"/>
          <w:lang w:eastAsia="en-GB"/>
        </w:rPr>
        <w:t xml:space="preserve"> a</w:t>
      </w:r>
      <w:r w:rsidRPr="00FF48CB">
        <w:rPr>
          <w:rFonts w:ascii="Arial" w:hAnsi="Arial" w:cs="Arial"/>
          <w:color w:val="000000"/>
          <w:sz w:val="20"/>
          <w:lang w:eastAsia="en-GB"/>
        </w:rPr>
        <w:t xml:space="preserve"> System Member to the Central System (e.g. T2S). </w:t>
      </w:r>
      <w:r w:rsidR="00827674" w:rsidRPr="00827674">
        <w:rPr>
          <w:rFonts w:ascii="Arial" w:hAnsi="Arial" w:cs="Arial"/>
          <w:color w:val="000000"/>
          <w:sz w:val="20"/>
          <w:lang w:eastAsia="en-GB"/>
        </w:rPr>
        <w:t>It aims at querying the current available value of securities for auto collateralisation</w:t>
      </w:r>
      <w:r w:rsidR="00827674">
        <w:rPr>
          <w:rFonts w:ascii="Arial" w:hAnsi="Arial" w:cs="Arial"/>
          <w:color w:val="000000"/>
          <w:sz w:val="20"/>
          <w:lang w:eastAsia="en-GB"/>
        </w:rPr>
        <w:t xml:space="preserve">. </w:t>
      </w:r>
      <w:r w:rsidR="00827674" w:rsidRPr="00827674">
        <w:rPr>
          <w:rFonts w:ascii="Arial" w:hAnsi="Arial" w:cs="Arial"/>
          <w:color w:val="000000"/>
          <w:sz w:val="20"/>
          <w:lang w:eastAsia="en-GB"/>
        </w:rPr>
        <w:t xml:space="preserve">In response to the </w:t>
      </w:r>
      <w:proofErr w:type="spellStart"/>
      <w:r w:rsidR="00827674" w:rsidRPr="00827674">
        <w:rPr>
          <w:rFonts w:ascii="Arial" w:hAnsi="Arial" w:cs="Arial"/>
          <w:color w:val="000000"/>
          <w:sz w:val="20"/>
          <w:lang w:eastAsia="en-GB"/>
        </w:rPr>
        <w:t>CollateralValueQuery</w:t>
      </w:r>
      <w:proofErr w:type="spellEnd"/>
      <w:r w:rsidR="00827674" w:rsidRPr="00827674">
        <w:rPr>
          <w:rFonts w:ascii="Arial" w:hAnsi="Arial" w:cs="Arial"/>
          <w:color w:val="000000"/>
          <w:sz w:val="20"/>
          <w:lang w:eastAsia="en-GB"/>
        </w:rPr>
        <w:t xml:space="preserve">, </w:t>
      </w:r>
      <w:r w:rsidR="00827674">
        <w:rPr>
          <w:rFonts w:ascii="Arial" w:hAnsi="Arial" w:cs="Arial"/>
          <w:color w:val="000000"/>
          <w:sz w:val="20"/>
          <w:lang w:eastAsia="en-GB"/>
        </w:rPr>
        <w:t>the Central System</w:t>
      </w:r>
      <w:r w:rsidR="00827674" w:rsidRPr="00827674">
        <w:rPr>
          <w:rFonts w:ascii="Arial" w:hAnsi="Arial" w:cs="Arial"/>
          <w:color w:val="000000"/>
          <w:sz w:val="20"/>
          <w:lang w:eastAsia="en-GB"/>
        </w:rPr>
        <w:t xml:space="preserve"> sends </w:t>
      </w:r>
      <w:proofErr w:type="gramStart"/>
      <w:r w:rsidR="00827674" w:rsidRPr="00827674">
        <w:rPr>
          <w:rFonts w:ascii="Arial" w:hAnsi="Arial" w:cs="Arial"/>
          <w:color w:val="000000"/>
          <w:sz w:val="20"/>
          <w:lang w:eastAsia="en-GB"/>
        </w:rPr>
        <w:t xml:space="preserve">a </w:t>
      </w:r>
      <w:proofErr w:type="spellStart"/>
      <w:r w:rsidR="00827674" w:rsidRPr="00827674">
        <w:rPr>
          <w:rFonts w:ascii="Arial" w:hAnsi="Arial" w:cs="Arial"/>
          <w:color w:val="000000"/>
          <w:sz w:val="20"/>
          <w:lang w:eastAsia="en-GB"/>
        </w:rPr>
        <w:t>CollateralValueReport</w:t>
      </w:r>
      <w:proofErr w:type="spellEnd"/>
      <w:proofErr w:type="gramEnd"/>
      <w:r w:rsidR="00827674" w:rsidRPr="00827674">
        <w:rPr>
          <w:rFonts w:ascii="Arial" w:hAnsi="Arial" w:cs="Arial"/>
          <w:color w:val="000000"/>
          <w:sz w:val="20"/>
          <w:lang w:eastAsia="en-GB"/>
        </w:rPr>
        <w:t xml:space="preserve"> (colr.002) containing information on requested items or business error report.</w:t>
      </w:r>
      <w:r w:rsidRPr="00FF48CB">
        <w:rPr>
          <w:rFonts w:ascii="Arial" w:hAnsi="Arial" w:cs="Arial"/>
          <w:color w:val="000000"/>
          <w:sz w:val="20"/>
          <w:lang w:eastAsia="en-GB"/>
        </w:rPr>
        <w:t xml:space="preserve"> </w:t>
      </w:r>
      <w:r w:rsidRPr="00FF48CB">
        <w:rPr>
          <w:rFonts w:ascii="Arial" w:hAnsi="Arial" w:cs="Arial"/>
          <w:b/>
          <w:bCs/>
          <w:color w:val="5A78BD"/>
          <w:sz w:val="20"/>
          <w:lang w:eastAsia="en-GB"/>
        </w:rPr>
        <w:t xml:space="preserve"> </w:t>
      </w:r>
    </w:p>
    <w:p w14:paraId="3C847C10" w14:textId="77777777" w:rsidR="00FF48CB" w:rsidRPr="00FF48CB" w:rsidRDefault="00FF48CB" w:rsidP="00FF48CB">
      <w:pPr>
        <w:pStyle w:val="ListParagraph"/>
        <w:autoSpaceDE w:val="0"/>
        <w:autoSpaceDN w:val="0"/>
        <w:adjustRightInd w:val="0"/>
        <w:spacing w:before="0"/>
        <w:ind w:left="1211"/>
        <w:rPr>
          <w:rFonts w:ascii="Arial" w:hAnsi="Arial" w:cs="Arial"/>
          <w:color w:val="000000"/>
          <w:sz w:val="20"/>
          <w:lang w:eastAsia="en-GB"/>
        </w:rPr>
      </w:pPr>
    </w:p>
    <w:p w14:paraId="41984369" w14:textId="77777777" w:rsidR="00482F2E" w:rsidRPr="00482F2E" w:rsidRDefault="00482F2E" w:rsidP="00482F2E">
      <w:pPr>
        <w:jc w:val="both"/>
        <w:rPr>
          <w:rFonts w:ascii="Arial" w:hAnsi="Arial" w:cs="Arial"/>
          <w:sz w:val="20"/>
        </w:rPr>
      </w:pPr>
      <w:r w:rsidRPr="00482F2E">
        <w:rPr>
          <w:rFonts w:ascii="Arial" w:hAnsi="Arial" w:cs="Arial"/>
          <w:sz w:val="20"/>
        </w:rPr>
        <w:t>These Collateral query messages are foreseen to support the following message usages:</w:t>
      </w:r>
    </w:p>
    <w:p w14:paraId="095EE592" w14:textId="77777777" w:rsidR="00482F2E" w:rsidRPr="00482F2E" w:rsidRDefault="00482F2E" w:rsidP="00482F2E">
      <w:pPr>
        <w:autoSpaceDE w:val="0"/>
        <w:autoSpaceDN w:val="0"/>
        <w:adjustRightInd w:val="0"/>
        <w:rPr>
          <w:rFonts w:ascii="Arial" w:hAnsi="Arial" w:cs="Arial"/>
          <w:b/>
          <w:bCs/>
          <w:sz w:val="20"/>
        </w:rPr>
      </w:pPr>
    </w:p>
    <w:p w14:paraId="1899BE06" w14:textId="77777777" w:rsidR="00482F2E" w:rsidRPr="00482F2E" w:rsidRDefault="00482F2E" w:rsidP="00482F2E">
      <w:pPr>
        <w:numPr>
          <w:ilvl w:val="0"/>
          <w:numId w:val="27"/>
        </w:numPr>
        <w:contextualSpacing/>
        <w:rPr>
          <w:rFonts w:ascii="Arial" w:hAnsi="Arial" w:cs="Arial"/>
          <w:sz w:val="20"/>
        </w:rPr>
      </w:pPr>
      <w:r w:rsidRPr="00482F2E">
        <w:rPr>
          <w:rFonts w:ascii="Arial" w:hAnsi="Arial" w:cs="Arial"/>
          <w:sz w:val="20"/>
        </w:rPr>
        <w:t>The Total collateral value per Cash Account Query/Response allows the system user to query the total current collateral value of securities that is earmarked and available (on stock) for auto-collateralisation for a cash account.</w:t>
      </w:r>
    </w:p>
    <w:p w14:paraId="5D1BB78E" w14:textId="77777777" w:rsidR="00482F2E" w:rsidRPr="00482F2E" w:rsidRDefault="00482F2E" w:rsidP="00482F2E">
      <w:pPr>
        <w:jc w:val="both"/>
        <w:rPr>
          <w:rFonts w:ascii="Arial" w:hAnsi="Arial" w:cs="Arial"/>
          <w:sz w:val="20"/>
        </w:rPr>
      </w:pPr>
    </w:p>
    <w:p w14:paraId="0B5DB874" w14:textId="77777777" w:rsidR="00482F2E" w:rsidRPr="00482F2E" w:rsidRDefault="00482F2E" w:rsidP="00482F2E">
      <w:pPr>
        <w:numPr>
          <w:ilvl w:val="0"/>
          <w:numId w:val="27"/>
        </w:numPr>
        <w:autoSpaceDE w:val="0"/>
        <w:autoSpaceDN w:val="0"/>
        <w:adjustRightInd w:val="0"/>
        <w:contextualSpacing/>
        <w:jc w:val="both"/>
        <w:rPr>
          <w:rFonts w:ascii="Arial" w:hAnsi="Arial" w:cs="Arial"/>
          <w:sz w:val="20"/>
        </w:rPr>
      </w:pPr>
      <w:r w:rsidRPr="00482F2E">
        <w:rPr>
          <w:rFonts w:ascii="Arial" w:hAnsi="Arial" w:cs="Arial"/>
          <w:sz w:val="20"/>
        </w:rPr>
        <w:t>The Collateral value per Cash Account Query/Response allows the system user to receive information on the collateral value of securities on stock per Cash Account and per security.</w:t>
      </w:r>
    </w:p>
    <w:p w14:paraId="2579E2E7" w14:textId="77777777" w:rsidR="00482F2E" w:rsidRPr="00482F2E" w:rsidRDefault="00482F2E" w:rsidP="00482F2E">
      <w:pPr>
        <w:autoSpaceDE w:val="0"/>
        <w:autoSpaceDN w:val="0"/>
        <w:adjustRightInd w:val="0"/>
        <w:jc w:val="both"/>
        <w:rPr>
          <w:rFonts w:ascii="Arial" w:hAnsi="Arial" w:cs="Arial"/>
          <w:sz w:val="20"/>
        </w:rPr>
      </w:pPr>
    </w:p>
    <w:p w14:paraId="50028A90" w14:textId="77777777" w:rsidR="00482F2E" w:rsidRPr="00482F2E" w:rsidRDefault="00482F2E" w:rsidP="00482F2E">
      <w:pPr>
        <w:numPr>
          <w:ilvl w:val="0"/>
          <w:numId w:val="27"/>
        </w:numPr>
        <w:autoSpaceDE w:val="0"/>
        <w:autoSpaceDN w:val="0"/>
        <w:adjustRightInd w:val="0"/>
        <w:contextualSpacing/>
        <w:jc w:val="both"/>
        <w:rPr>
          <w:rFonts w:ascii="Arial" w:hAnsi="Arial" w:cs="Arial"/>
          <w:sz w:val="20"/>
        </w:rPr>
      </w:pPr>
      <w:r w:rsidRPr="00482F2E">
        <w:rPr>
          <w:rFonts w:ascii="Arial" w:hAnsi="Arial" w:cs="Arial"/>
          <w:sz w:val="20"/>
        </w:rPr>
        <w:t>The Collateral value of a security Query/Response allows the system user to query for a specific security the current collateral value of the security, earmarked and available (on stock) for auto-collateralisation, in every securities account linked to a specific cash account.</w:t>
      </w:r>
    </w:p>
    <w:p w14:paraId="0C8A9D91" w14:textId="77777777" w:rsidR="00F70ABC" w:rsidRDefault="00F70ABC" w:rsidP="00F70ABC">
      <w:pPr>
        <w:autoSpaceDE w:val="0"/>
        <w:autoSpaceDN w:val="0"/>
        <w:adjustRightInd w:val="0"/>
        <w:spacing w:before="0"/>
        <w:jc w:val="both"/>
        <w:rPr>
          <w:rFonts w:ascii="Arial" w:eastAsia="Times New Roman" w:hAnsi="Arial" w:cs="Arial"/>
          <w:sz w:val="20"/>
          <w:lang w:eastAsia="de-DE"/>
        </w:rPr>
      </w:pPr>
    </w:p>
    <w:p w14:paraId="3CCB82B1" w14:textId="77777777" w:rsidR="00F70ABC" w:rsidRPr="00A27165" w:rsidRDefault="00F70ABC" w:rsidP="00F70ABC">
      <w:pPr>
        <w:autoSpaceDE w:val="0"/>
        <w:autoSpaceDN w:val="0"/>
        <w:adjustRightInd w:val="0"/>
        <w:spacing w:before="0"/>
        <w:jc w:val="both"/>
        <w:rPr>
          <w:rFonts w:ascii="Arial" w:eastAsia="Times New Roman" w:hAnsi="Arial" w:cs="Arial"/>
          <w:sz w:val="20"/>
          <w:lang w:eastAsia="de-DE"/>
        </w:rPr>
      </w:pPr>
    </w:p>
    <w:p w14:paraId="666190EC" w14:textId="77777777" w:rsidR="00EC5D1C" w:rsidRDefault="00EC5D1C" w:rsidP="000B23F7">
      <w:pPr>
        <w:pStyle w:val="ListParagraph"/>
        <w:ind w:left="360"/>
        <w:jc w:val="both"/>
        <w:rPr>
          <w:sz w:val="32"/>
        </w:rPr>
      </w:pPr>
    </w:p>
    <w:p w14:paraId="480198A8" w14:textId="77777777" w:rsidR="00CA11ED" w:rsidRDefault="00CA11ED">
      <w:pPr>
        <w:spacing w:before="0"/>
        <w:rPr>
          <w:rFonts w:ascii="Arial" w:eastAsia="Times New Roman" w:hAnsi="Arial"/>
          <w:sz w:val="28"/>
        </w:rPr>
      </w:pPr>
      <w:r>
        <w:br w:type="page"/>
      </w:r>
    </w:p>
    <w:p w14:paraId="004A4698" w14:textId="77777777" w:rsidR="008614BC" w:rsidRPr="006B1B55" w:rsidRDefault="007A40BB" w:rsidP="00746347">
      <w:pPr>
        <w:pStyle w:val="Heading1"/>
      </w:pPr>
      <w:bookmarkStart w:id="23" w:name="_Toc15292998"/>
      <w:proofErr w:type="spellStart"/>
      <w:r w:rsidRPr="006B1B55">
        <w:lastRenderedPageBreak/>
        <w:t>Business</w:t>
      </w:r>
      <w:r w:rsidR="00CD105E" w:rsidRPr="006B1B55">
        <w:t>R</w:t>
      </w:r>
      <w:r w:rsidR="00A434B4" w:rsidRPr="006B1B55">
        <w:t>oles</w:t>
      </w:r>
      <w:proofErr w:type="spellEnd"/>
      <w:r w:rsidRPr="006B1B55">
        <w:t xml:space="preserve"> and Participants</w:t>
      </w:r>
      <w:bookmarkEnd w:id="23"/>
    </w:p>
    <w:p w14:paraId="3C82D55D" w14:textId="77777777" w:rsidR="00B91C42" w:rsidRPr="00DA5262" w:rsidRDefault="00B91C42" w:rsidP="00B91C42">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 xml:space="preserve">A </w:t>
      </w:r>
      <w:proofErr w:type="spellStart"/>
      <w:r w:rsidRPr="00DA5262">
        <w:rPr>
          <w:rFonts w:ascii="Arial" w:hAnsi="Arial" w:cs="Arial"/>
          <w:color w:val="000000"/>
          <w:sz w:val="20"/>
        </w:rPr>
        <w:t>BusinessRole</w:t>
      </w:r>
      <w:proofErr w:type="spellEnd"/>
      <w:r w:rsidRPr="00DA5262">
        <w:rPr>
          <w:rFonts w:ascii="Arial" w:hAnsi="Arial" w:cs="Arial"/>
          <w:color w:val="000000"/>
          <w:sz w:val="20"/>
        </w:rPr>
        <w:t xml:space="preserve"> represents an entity (or a class of entities) of the real world, physical or legal, a person, a group of persons, a corporation. Examples of </w:t>
      </w:r>
      <w:proofErr w:type="spellStart"/>
      <w:r w:rsidRPr="00DA5262">
        <w:rPr>
          <w:rFonts w:ascii="Arial" w:hAnsi="Arial" w:cs="Arial"/>
          <w:color w:val="000000"/>
          <w:sz w:val="20"/>
        </w:rPr>
        <w:t>BusinessRoles</w:t>
      </w:r>
      <w:proofErr w:type="spellEnd"/>
      <w:r w:rsidRPr="00DA5262">
        <w:rPr>
          <w:rFonts w:ascii="Arial" w:hAnsi="Arial" w:cs="Arial"/>
          <w:color w:val="000000"/>
          <w:sz w:val="20"/>
        </w:rPr>
        <w:t>: “Financial Institution”, “ACH”, “CSD”.</w:t>
      </w:r>
    </w:p>
    <w:p w14:paraId="024027B5" w14:textId="77777777" w:rsidR="00B91C42" w:rsidRPr="00DA5262" w:rsidRDefault="00B91C42" w:rsidP="00B91C42">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 xml:space="preserve">A Participant is a functional role performed by a </w:t>
      </w:r>
      <w:proofErr w:type="spellStart"/>
      <w:r w:rsidRPr="00DA5262">
        <w:rPr>
          <w:rFonts w:ascii="Arial" w:hAnsi="Arial" w:cs="Arial"/>
          <w:color w:val="000000"/>
          <w:sz w:val="20"/>
        </w:rPr>
        <w:t>BusinessRole</w:t>
      </w:r>
      <w:proofErr w:type="spellEnd"/>
      <w:r w:rsidRPr="00DA5262">
        <w:rPr>
          <w:rFonts w:ascii="Arial" w:hAnsi="Arial" w:cs="Arial"/>
          <w:color w:val="000000"/>
          <w:sz w:val="20"/>
        </w:rPr>
        <w:t xml:space="preserve"> in a particular </w:t>
      </w:r>
      <w:proofErr w:type="spellStart"/>
      <w:r w:rsidRPr="00DA5262">
        <w:rPr>
          <w:rFonts w:ascii="Arial" w:hAnsi="Arial" w:cs="Arial"/>
          <w:color w:val="000000"/>
          <w:sz w:val="20"/>
        </w:rPr>
        <w:t>BusinessProcess</w:t>
      </w:r>
      <w:proofErr w:type="spellEnd"/>
      <w:r w:rsidRPr="00DA5262">
        <w:rPr>
          <w:rFonts w:ascii="Arial" w:hAnsi="Arial" w:cs="Arial"/>
          <w:color w:val="000000"/>
          <w:sz w:val="20"/>
        </w:rPr>
        <w:t xml:space="preserve"> or </w:t>
      </w:r>
      <w:proofErr w:type="spellStart"/>
      <w:r w:rsidRPr="00DA5262">
        <w:rPr>
          <w:rFonts w:ascii="Arial" w:hAnsi="Arial" w:cs="Arial"/>
          <w:color w:val="000000"/>
          <w:sz w:val="20"/>
        </w:rPr>
        <w:t>BusinessTransaction</w:t>
      </w:r>
      <w:proofErr w:type="spellEnd"/>
      <w:r w:rsidRPr="00DA5262">
        <w:rPr>
          <w:rFonts w:ascii="Arial" w:hAnsi="Arial" w:cs="Arial"/>
          <w:color w:val="000000"/>
          <w:sz w:val="20"/>
        </w:rPr>
        <w:t xml:space="preserve">: for example the “user” of a system, “debtor”, “creditor”, “investor” etc. </w:t>
      </w:r>
    </w:p>
    <w:p w14:paraId="72400139" w14:textId="77777777" w:rsidR="00B91C42" w:rsidRDefault="00B91C42" w:rsidP="00B91C42">
      <w:pPr>
        <w:autoSpaceDE w:val="0"/>
        <w:autoSpaceDN w:val="0"/>
        <w:adjustRightInd w:val="0"/>
        <w:spacing w:before="120"/>
        <w:jc w:val="both"/>
        <w:rPr>
          <w:rFonts w:ascii="Arial" w:hAnsi="Arial" w:cs="Arial"/>
          <w:color w:val="000000"/>
          <w:sz w:val="20"/>
        </w:rPr>
      </w:pPr>
      <w:r w:rsidRPr="00DA5262">
        <w:rPr>
          <w:rFonts w:ascii="Arial" w:hAnsi="Arial" w:cs="Arial"/>
          <w:color w:val="000000"/>
          <w:sz w:val="20"/>
        </w:rPr>
        <w:t xml:space="preserve">The relationship between </w:t>
      </w:r>
      <w:proofErr w:type="spellStart"/>
      <w:r w:rsidRPr="00DA5262">
        <w:rPr>
          <w:rFonts w:ascii="Arial" w:hAnsi="Arial" w:cs="Arial"/>
          <w:color w:val="000000"/>
          <w:sz w:val="20"/>
        </w:rPr>
        <w:t>BusinessRoles</w:t>
      </w:r>
      <w:proofErr w:type="spellEnd"/>
      <w:r w:rsidRPr="00DA5262">
        <w:rPr>
          <w:rFonts w:ascii="Arial" w:hAnsi="Arial" w:cs="Arial"/>
          <w:color w:val="000000"/>
          <w:sz w:val="20"/>
        </w:rPr>
        <w:t xml:space="preserve"> and Participants is many-to-many. One </w:t>
      </w:r>
      <w:proofErr w:type="spellStart"/>
      <w:r w:rsidRPr="00DA5262">
        <w:rPr>
          <w:rFonts w:ascii="Arial" w:hAnsi="Arial" w:cs="Arial"/>
          <w:color w:val="000000"/>
          <w:sz w:val="20"/>
        </w:rPr>
        <w:t>BusinessRole</w:t>
      </w:r>
      <w:proofErr w:type="spellEnd"/>
      <w:r w:rsidRPr="00DA5262">
        <w:rPr>
          <w:rFonts w:ascii="Arial" w:hAnsi="Arial" w:cs="Arial"/>
          <w:color w:val="000000"/>
          <w:sz w:val="20"/>
        </w:rPr>
        <w:t xml:space="preserve"> (that is, a person) can be involved as different Participants at different moments in time or at the same time: "user", "debtor”, "creditor", "investor", etc. Different </w:t>
      </w:r>
      <w:proofErr w:type="spellStart"/>
      <w:r w:rsidRPr="00DA5262">
        <w:rPr>
          <w:rFonts w:ascii="Arial" w:hAnsi="Arial" w:cs="Arial"/>
          <w:color w:val="000000"/>
          <w:sz w:val="20"/>
        </w:rPr>
        <w:t>BusinessRoles</w:t>
      </w:r>
      <w:proofErr w:type="spellEnd"/>
      <w:r w:rsidRPr="00DA5262">
        <w:rPr>
          <w:rFonts w:ascii="Arial" w:hAnsi="Arial" w:cs="Arial"/>
          <w:color w:val="000000"/>
          <w:sz w:val="20"/>
        </w:rPr>
        <w:t xml:space="preserve"> can be involved as the same Participant.</w:t>
      </w:r>
    </w:p>
    <w:p w14:paraId="1C7BE9F0" w14:textId="77777777" w:rsidR="00B91C42" w:rsidRDefault="00B91C42" w:rsidP="00B91C42">
      <w:pPr>
        <w:spacing w:before="0"/>
        <w:jc w:val="both"/>
      </w:pPr>
    </w:p>
    <w:p w14:paraId="58CA5AE7" w14:textId="77777777" w:rsidR="00B91C42" w:rsidRPr="00DC2E66" w:rsidRDefault="00B91C42" w:rsidP="00B91C42">
      <w:pPr>
        <w:spacing w:before="0"/>
        <w:jc w:val="both"/>
        <w:rPr>
          <w:rFonts w:ascii="Arial" w:hAnsi="Arial" w:cs="Arial"/>
          <w:sz w:val="20"/>
        </w:rPr>
      </w:pPr>
      <w:r w:rsidRPr="00DC2E66">
        <w:rPr>
          <w:rFonts w:ascii="Arial" w:hAnsi="Arial" w:cs="Arial"/>
          <w:sz w:val="20"/>
        </w:rPr>
        <w:t xml:space="preserve">A business actor represents an entity (or a class of entities) of the real world, physical or legal, a person, a group of persons, a corporation. E.g. of business actors: “Financial Institution”, “ACH”, “CSD”, </w:t>
      </w:r>
      <w:proofErr w:type="gramStart"/>
      <w:r w:rsidRPr="00DC2E66">
        <w:rPr>
          <w:rFonts w:ascii="Arial" w:hAnsi="Arial" w:cs="Arial"/>
          <w:sz w:val="20"/>
        </w:rPr>
        <w:t>NCB</w:t>
      </w:r>
      <w:proofErr w:type="gramEnd"/>
      <w:r w:rsidRPr="00DC2E66">
        <w:rPr>
          <w:rFonts w:ascii="Arial" w:hAnsi="Arial" w:cs="Arial"/>
          <w:sz w:val="20"/>
        </w:rPr>
        <w:t xml:space="preserve">. </w:t>
      </w:r>
    </w:p>
    <w:p w14:paraId="660E2B07" w14:textId="77777777" w:rsidR="00B91C42" w:rsidRPr="00DC2E66" w:rsidRDefault="00B91C42" w:rsidP="00B91C42">
      <w:pPr>
        <w:jc w:val="both"/>
        <w:rPr>
          <w:rFonts w:ascii="Arial" w:hAnsi="Arial" w:cs="Arial"/>
          <w:sz w:val="20"/>
        </w:rPr>
      </w:pPr>
      <w:r w:rsidRPr="00DC2E66">
        <w:rPr>
          <w:rFonts w:ascii="Arial" w:hAnsi="Arial" w:cs="Arial"/>
          <w:sz w:val="20"/>
        </w:rPr>
        <w:t xml:space="preserve">A business role is a role performed by a business actor in a specific business context and process: e.g. the “user” of a system, “debtor”, “creditor”, “investor” etc. </w:t>
      </w:r>
    </w:p>
    <w:p w14:paraId="4895A6F3" w14:textId="77777777" w:rsidR="00B91C42" w:rsidRPr="00DC2E66" w:rsidRDefault="00B91C42" w:rsidP="00B91C42">
      <w:pPr>
        <w:jc w:val="both"/>
        <w:rPr>
          <w:rFonts w:ascii="Arial" w:hAnsi="Arial" w:cs="Arial"/>
          <w:sz w:val="20"/>
        </w:rPr>
      </w:pPr>
      <w:r w:rsidRPr="00DC2E66">
        <w:rPr>
          <w:rFonts w:ascii="Arial" w:hAnsi="Arial" w:cs="Arial"/>
          <w:sz w:val="20"/>
        </w:rPr>
        <w:t xml:space="preserve">Relationship between business roles and actors is many-to-many. One business actor (i.e. a person) can play different roles at different moments in time or at the same time: "user", "debtor, "creditor", "investor" etc. One role can also be played by different actors. </w:t>
      </w:r>
    </w:p>
    <w:p w14:paraId="30329856" w14:textId="77777777" w:rsidR="00B91C42" w:rsidRDefault="00B91C42" w:rsidP="00B91C42">
      <w:pPr>
        <w:autoSpaceDE w:val="0"/>
        <w:autoSpaceDN w:val="0"/>
        <w:adjustRightInd w:val="0"/>
        <w:spacing w:before="0"/>
        <w:rPr>
          <w:b/>
          <w:bCs/>
          <w:sz w:val="20"/>
          <w:lang w:eastAsia="de-DE"/>
        </w:rPr>
      </w:pPr>
    </w:p>
    <w:p w14:paraId="200AEFD7" w14:textId="77777777" w:rsidR="00C2608F" w:rsidRPr="00B95C2F" w:rsidRDefault="00B91C42" w:rsidP="00B91C42">
      <w:pPr>
        <w:jc w:val="both"/>
      </w:pPr>
      <w:r w:rsidRPr="00DC2E66">
        <w:rPr>
          <w:rFonts w:ascii="Arial" w:hAnsi="Arial" w:cs="Arial"/>
          <w:sz w:val="20"/>
          <w:u w:val="single"/>
        </w:rPr>
        <w:t xml:space="preserve">Hierarchy of Roles in T2S as a </w:t>
      </w:r>
      <w:r w:rsidRPr="00DC2E66">
        <w:rPr>
          <w:rFonts w:ascii="Arial" w:hAnsi="Arial" w:cs="Arial"/>
          <w:bCs/>
          <w:sz w:val="20"/>
          <w:u w:val="single"/>
        </w:rPr>
        <w:t>securities</w:t>
      </w:r>
      <w:r w:rsidRPr="00DC2E66">
        <w:rPr>
          <w:rFonts w:ascii="Arial" w:hAnsi="Arial" w:cs="Arial"/>
          <w:sz w:val="20"/>
          <w:u w:val="single"/>
        </w:rPr>
        <w:t xml:space="preserve"> settlement engine:</w:t>
      </w:r>
      <w:r w:rsidR="00C2608F" w:rsidRPr="00B95C2F">
        <w:t xml:space="preserve"> </w:t>
      </w:r>
    </w:p>
    <w:p w14:paraId="5E9FC15A" w14:textId="77777777" w:rsidR="00C2608F" w:rsidRPr="00B95C2F" w:rsidRDefault="00C2608F" w:rsidP="00C2608F">
      <w:pPr>
        <w:autoSpaceDE w:val="0"/>
        <w:autoSpaceDN w:val="0"/>
        <w:adjustRightInd w:val="0"/>
        <w:spacing w:before="0"/>
      </w:pPr>
      <w:r w:rsidRPr="00EC462E">
        <w:rPr>
          <w:b/>
          <w:bCs/>
          <w:lang w:eastAsia="de-DE"/>
        </w:rPr>
        <w:t xml:space="preserve"> </w:t>
      </w:r>
      <w:r>
        <w:rPr>
          <w:noProof/>
          <w:lang w:eastAsia="en-GB"/>
        </w:rPr>
        <w:drawing>
          <wp:inline distT="0" distB="0" distL="0" distR="0" wp14:anchorId="7D408930" wp14:editId="2FDBF42B">
            <wp:extent cx="5924550" cy="32956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3295650"/>
                    </a:xfrm>
                    <a:prstGeom prst="rect">
                      <a:avLst/>
                    </a:prstGeom>
                    <a:noFill/>
                    <a:ln>
                      <a:noFill/>
                    </a:ln>
                    <a:effectLst/>
                  </pic:spPr>
                </pic:pic>
              </a:graphicData>
            </a:graphic>
          </wp:inline>
        </w:drawing>
      </w:r>
    </w:p>
    <w:p w14:paraId="31C98704" w14:textId="77777777" w:rsidR="00C2608F" w:rsidRDefault="00C2608F" w:rsidP="00C2608F"/>
    <w:p w14:paraId="1B4D7ED2" w14:textId="77777777" w:rsidR="00C2608F" w:rsidRPr="00957CBB" w:rsidRDefault="00C2608F" w:rsidP="00C2608F">
      <w:pPr>
        <w:autoSpaceDE w:val="0"/>
        <w:autoSpaceDN w:val="0"/>
        <w:adjustRightInd w:val="0"/>
        <w:spacing w:before="0"/>
        <w:jc w:val="both"/>
        <w:rPr>
          <w:rFonts w:ascii="Arial" w:hAnsi="Arial" w:cs="Arial"/>
          <w:sz w:val="20"/>
          <w:lang w:eastAsia="de-DE"/>
        </w:rPr>
      </w:pPr>
      <w:r w:rsidRPr="00957CBB">
        <w:rPr>
          <w:rFonts w:ascii="Arial" w:hAnsi="Arial" w:cs="Arial"/>
          <w:sz w:val="20"/>
          <w:lang w:eastAsia="de-DE"/>
        </w:rPr>
        <w:t>T2S supports a hierarchical model of roles and access rights to ensure the segregation of both functions and data. The area of the slide shaded in grey represents the data set-up for T2S dedicated cash accounts required in the static data of T2S. An NCB, acting as a CSD in its home country and providing dedicated cash accounts in T2S, will have the role of NCB and CSD and will exist in T2S as both a CSD and an NCB.</w:t>
      </w:r>
    </w:p>
    <w:p w14:paraId="0706F404" w14:textId="77777777" w:rsidR="00C2608F" w:rsidRPr="00957CBB" w:rsidRDefault="00C2608F" w:rsidP="00C2608F">
      <w:pPr>
        <w:rPr>
          <w:rFonts w:ascii="Arial" w:hAnsi="Arial" w:cs="Arial"/>
          <w:sz w:val="20"/>
        </w:rPr>
        <w:sectPr w:rsidR="00C2608F" w:rsidRPr="00957CBB" w:rsidSect="00EA70DF">
          <w:pgSz w:w="12240" w:h="15840"/>
          <w:pgMar w:top="1418" w:right="1701" w:bottom="1259" w:left="1701" w:header="567" w:footer="533" w:gutter="0"/>
          <w:cols w:space="720"/>
          <w:formProt w:val="0"/>
        </w:sectPr>
      </w:pPr>
    </w:p>
    <w:p w14:paraId="30CBF9FF" w14:textId="77777777" w:rsidR="00C2608F" w:rsidRPr="00957CBB" w:rsidRDefault="00C2608F" w:rsidP="00C2608F">
      <w:pPr>
        <w:rPr>
          <w:rFonts w:ascii="Arial" w:hAnsi="Arial" w:cs="Arial"/>
          <w:sz w:val="20"/>
        </w:rPr>
      </w:pPr>
      <w:r w:rsidRPr="00957CBB">
        <w:rPr>
          <w:rFonts w:ascii="Arial" w:hAnsi="Arial" w:cs="Arial"/>
          <w:sz w:val="20"/>
        </w:rPr>
        <w:lastRenderedPageBreak/>
        <w:t>In the context of Liquidity Management, the high-level business roles and typical actors can be represented as follows.</w:t>
      </w:r>
    </w:p>
    <w:p w14:paraId="1C427C7D" w14:textId="77777777" w:rsidR="00C2608F" w:rsidRPr="00957CBB" w:rsidRDefault="00C2608F" w:rsidP="00C2608F">
      <w:pPr>
        <w:rPr>
          <w:rFonts w:ascii="Arial" w:hAnsi="Arial" w:cs="Arial"/>
          <w:sz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2228"/>
        <w:gridCol w:w="4334"/>
      </w:tblGrid>
      <w:tr w:rsidR="00C2608F" w:rsidRPr="00957CBB" w14:paraId="0B898EA8" w14:textId="77777777" w:rsidTr="00EA70DF">
        <w:trPr>
          <w:tblHeader/>
        </w:trPr>
        <w:tc>
          <w:tcPr>
            <w:tcW w:w="4594" w:type="dxa"/>
            <w:gridSpan w:val="2"/>
            <w:shd w:val="clear" w:color="auto" w:fill="0C0C0C"/>
          </w:tcPr>
          <w:p w14:paraId="3DAE7A83" w14:textId="77777777" w:rsidR="00C2608F" w:rsidRPr="00957CBB" w:rsidRDefault="00C2608F" w:rsidP="00EA70DF">
            <w:pPr>
              <w:spacing w:before="0"/>
              <w:jc w:val="center"/>
              <w:rPr>
                <w:rFonts w:ascii="Arial" w:hAnsi="Arial" w:cs="Arial"/>
                <w:color w:val="FFFFFF"/>
                <w:sz w:val="20"/>
              </w:rPr>
            </w:pPr>
            <w:r w:rsidRPr="00957CBB">
              <w:rPr>
                <w:rFonts w:ascii="Arial" w:hAnsi="Arial" w:cs="Arial"/>
                <w:color w:val="FFFFFF"/>
                <w:sz w:val="20"/>
              </w:rPr>
              <w:t>Actors an Roles definitions</w:t>
            </w:r>
          </w:p>
        </w:tc>
        <w:tc>
          <w:tcPr>
            <w:tcW w:w="4334" w:type="dxa"/>
            <w:shd w:val="clear" w:color="auto" w:fill="0C0C0C"/>
          </w:tcPr>
          <w:p w14:paraId="699EC8C8" w14:textId="77777777" w:rsidR="00C2608F" w:rsidRPr="00957CBB" w:rsidRDefault="00C2608F" w:rsidP="00EA70DF">
            <w:pPr>
              <w:spacing w:before="0"/>
              <w:jc w:val="center"/>
              <w:rPr>
                <w:rFonts w:ascii="Arial" w:hAnsi="Arial" w:cs="Arial"/>
                <w:color w:val="FFFFFF"/>
                <w:sz w:val="20"/>
              </w:rPr>
            </w:pPr>
          </w:p>
        </w:tc>
      </w:tr>
      <w:tr w:rsidR="00C2608F" w:rsidRPr="00957CBB" w14:paraId="4A3CB7A4" w14:textId="77777777" w:rsidTr="00EA70DF">
        <w:trPr>
          <w:tblHeader/>
        </w:trPr>
        <w:tc>
          <w:tcPr>
            <w:tcW w:w="2366" w:type="dxa"/>
            <w:shd w:val="clear" w:color="auto" w:fill="8C8C8C"/>
          </w:tcPr>
          <w:p w14:paraId="37326905" w14:textId="77777777" w:rsidR="00C2608F" w:rsidRPr="00957CBB" w:rsidRDefault="00C2608F" w:rsidP="00EA70DF">
            <w:pPr>
              <w:spacing w:before="0"/>
              <w:rPr>
                <w:rFonts w:ascii="Arial" w:hAnsi="Arial" w:cs="Arial"/>
                <w:color w:val="FFFFFF"/>
                <w:sz w:val="20"/>
              </w:rPr>
            </w:pPr>
            <w:r w:rsidRPr="00957CBB">
              <w:rPr>
                <w:rFonts w:ascii="Arial" w:hAnsi="Arial" w:cs="Arial"/>
                <w:color w:val="FFFFFF"/>
                <w:sz w:val="20"/>
              </w:rPr>
              <w:t>Description</w:t>
            </w:r>
          </w:p>
        </w:tc>
        <w:tc>
          <w:tcPr>
            <w:tcW w:w="2228" w:type="dxa"/>
            <w:shd w:val="clear" w:color="auto" w:fill="8C8C8C"/>
          </w:tcPr>
          <w:p w14:paraId="23F3C22E" w14:textId="77777777" w:rsidR="00C2608F" w:rsidRPr="00957CBB" w:rsidRDefault="00C2608F" w:rsidP="00EA70DF">
            <w:pPr>
              <w:spacing w:before="0"/>
              <w:rPr>
                <w:rFonts w:ascii="Arial" w:hAnsi="Arial" w:cs="Arial"/>
                <w:color w:val="FFFFFF"/>
                <w:sz w:val="20"/>
              </w:rPr>
            </w:pPr>
            <w:bookmarkStart w:id="24" w:name="OLE_LINK8"/>
            <w:r w:rsidRPr="00957CBB">
              <w:rPr>
                <w:rFonts w:ascii="Arial" w:hAnsi="Arial" w:cs="Arial"/>
                <w:color w:val="FFFFFF"/>
                <w:sz w:val="20"/>
              </w:rPr>
              <w:t>Mapping to actors/roles within Cash management</w:t>
            </w:r>
            <w:bookmarkEnd w:id="24"/>
          </w:p>
        </w:tc>
        <w:tc>
          <w:tcPr>
            <w:tcW w:w="4334" w:type="dxa"/>
            <w:shd w:val="clear" w:color="auto" w:fill="8C8C8C"/>
          </w:tcPr>
          <w:p w14:paraId="596D1EA0" w14:textId="77777777" w:rsidR="00C2608F" w:rsidRPr="00957CBB" w:rsidRDefault="00C2608F" w:rsidP="00EA70DF">
            <w:pPr>
              <w:spacing w:before="0"/>
              <w:rPr>
                <w:rFonts w:ascii="Arial" w:hAnsi="Arial" w:cs="Arial"/>
                <w:color w:val="FFFFFF"/>
                <w:sz w:val="20"/>
              </w:rPr>
            </w:pPr>
            <w:r w:rsidRPr="00957CBB">
              <w:rPr>
                <w:rFonts w:ascii="Arial" w:hAnsi="Arial" w:cs="Arial"/>
                <w:color w:val="FFFFFF"/>
                <w:sz w:val="20"/>
              </w:rPr>
              <w:t>Definition</w:t>
            </w:r>
          </w:p>
        </w:tc>
      </w:tr>
      <w:tr w:rsidR="00C2608F" w:rsidRPr="00957CBB" w14:paraId="3FA06DE9" w14:textId="77777777" w:rsidTr="00EA70DF">
        <w:tc>
          <w:tcPr>
            <w:tcW w:w="2366" w:type="dxa"/>
          </w:tcPr>
          <w:p w14:paraId="165DEE6A" w14:textId="77777777" w:rsidR="00C2608F" w:rsidRPr="00957CBB" w:rsidRDefault="00C2608F" w:rsidP="00EA70DF">
            <w:pPr>
              <w:spacing w:before="0"/>
              <w:rPr>
                <w:rFonts w:ascii="Arial" w:hAnsi="Arial" w:cs="Arial"/>
                <w:sz w:val="20"/>
              </w:rPr>
            </w:pPr>
            <w:r w:rsidRPr="00957CBB">
              <w:rPr>
                <w:rFonts w:ascii="Arial" w:hAnsi="Arial" w:cs="Arial"/>
                <w:sz w:val="20"/>
              </w:rPr>
              <w:t>Instructing Party</w:t>
            </w:r>
          </w:p>
        </w:tc>
        <w:tc>
          <w:tcPr>
            <w:tcW w:w="2228" w:type="dxa"/>
          </w:tcPr>
          <w:p w14:paraId="2C901833" w14:textId="77777777" w:rsidR="00C2608F" w:rsidRPr="00957CBB" w:rsidRDefault="00C2608F" w:rsidP="00EA70DF">
            <w:pPr>
              <w:spacing w:before="0"/>
              <w:rPr>
                <w:rFonts w:ascii="Arial" w:hAnsi="Arial" w:cs="Arial"/>
                <w:sz w:val="20"/>
              </w:rPr>
            </w:pPr>
            <w:r w:rsidRPr="00957CBB">
              <w:rPr>
                <w:rFonts w:ascii="Arial" w:hAnsi="Arial" w:cs="Arial"/>
                <w:sz w:val="20"/>
                <w:lang w:val="de-DE" w:eastAsia="de-DE"/>
              </w:rPr>
              <w:t>System Member</w:t>
            </w:r>
          </w:p>
        </w:tc>
        <w:tc>
          <w:tcPr>
            <w:tcW w:w="4334" w:type="dxa"/>
          </w:tcPr>
          <w:p w14:paraId="2EFD1F24" w14:textId="77777777" w:rsidR="00C2608F" w:rsidRPr="00957CBB" w:rsidRDefault="00C2608F" w:rsidP="00EA70DF">
            <w:pPr>
              <w:spacing w:before="0"/>
              <w:rPr>
                <w:rFonts w:ascii="Arial" w:hAnsi="Arial" w:cs="Arial"/>
                <w:sz w:val="20"/>
              </w:rPr>
            </w:pPr>
            <w:r w:rsidRPr="00957CBB">
              <w:rPr>
                <w:rFonts w:ascii="Arial" w:hAnsi="Arial" w:cs="Arial"/>
                <w:sz w:val="20"/>
              </w:rPr>
              <w:t>Party that instructs the executing/servicing party to process and monitor a transaction.</w:t>
            </w:r>
          </w:p>
        </w:tc>
      </w:tr>
      <w:tr w:rsidR="00C2608F" w:rsidRPr="00957CBB" w14:paraId="77C34D07" w14:textId="77777777" w:rsidTr="00EA70DF">
        <w:tc>
          <w:tcPr>
            <w:tcW w:w="2366" w:type="dxa"/>
          </w:tcPr>
          <w:p w14:paraId="08A56894" w14:textId="77777777" w:rsidR="00C2608F" w:rsidRPr="00957CBB" w:rsidRDefault="00C2608F" w:rsidP="00EA70DF">
            <w:pPr>
              <w:spacing w:before="0"/>
              <w:rPr>
                <w:rFonts w:ascii="Arial" w:hAnsi="Arial" w:cs="Arial"/>
                <w:sz w:val="20"/>
              </w:rPr>
            </w:pPr>
            <w:r w:rsidRPr="00957CBB">
              <w:rPr>
                <w:rFonts w:ascii="Arial" w:hAnsi="Arial" w:cs="Arial"/>
                <w:sz w:val="20"/>
              </w:rPr>
              <w:t>Executing/Servicing Party</w:t>
            </w:r>
          </w:p>
        </w:tc>
        <w:tc>
          <w:tcPr>
            <w:tcW w:w="2228" w:type="dxa"/>
          </w:tcPr>
          <w:p w14:paraId="4CA99C94" w14:textId="77777777" w:rsidR="00C2608F" w:rsidRPr="00957CBB" w:rsidRDefault="00C2608F" w:rsidP="00EA70DF">
            <w:pPr>
              <w:spacing w:before="0"/>
              <w:rPr>
                <w:rFonts w:ascii="Arial" w:hAnsi="Arial" w:cs="Arial"/>
                <w:sz w:val="20"/>
              </w:rPr>
            </w:pPr>
            <w:r w:rsidRPr="00957CBB">
              <w:rPr>
                <w:rFonts w:ascii="Arial" w:hAnsi="Arial" w:cs="Arial"/>
                <w:sz w:val="20"/>
                <w:lang w:val="de-DE" w:eastAsia="de-DE"/>
              </w:rPr>
              <w:t>System Member</w:t>
            </w:r>
          </w:p>
        </w:tc>
        <w:tc>
          <w:tcPr>
            <w:tcW w:w="4334" w:type="dxa"/>
          </w:tcPr>
          <w:p w14:paraId="21E8B70E" w14:textId="77777777" w:rsidR="00C2608F" w:rsidRPr="00957CBB" w:rsidRDefault="00C2608F" w:rsidP="00EA70DF">
            <w:pPr>
              <w:spacing w:before="0"/>
              <w:rPr>
                <w:rFonts w:ascii="Arial" w:hAnsi="Arial" w:cs="Arial"/>
                <w:sz w:val="20"/>
              </w:rPr>
            </w:pPr>
            <w:r w:rsidRPr="00957CBB">
              <w:rPr>
                <w:rFonts w:ascii="Arial" w:hAnsi="Arial" w:cs="Arial"/>
                <w:sz w:val="20"/>
              </w:rPr>
              <w:t>Party that process, monitor and report on transactions received from an instructing party.</w:t>
            </w:r>
          </w:p>
        </w:tc>
      </w:tr>
      <w:tr w:rsidR="00C2608F" w:rsidRPr="00957CBB" w14:paraId="04B07F17" w14:textId="77777777" w:rsidTr="00EA70DF">
        <w:tc>
          <w:tcPr>
            <w:tcW w:w="2366" w:type="dxa"/>
          </w:tcPr>
          <w:p w14:paraId="1A6F078C" w14:textId="77777777" w:rsidR="00C2608F" w:rsidRPr="00957CBB" w:rsidRDefault="00C2608F" w:rsidP="00EA70DF">
            <w:pPr>
              <w:spacing w:before="0"/>
              <w:rPr>
                <w:rFonts w:ascii="Arial" w:hAnsi="Arial" w:cs="Arial"/>
                <w:sz w:val="20"/>
              </w:rPr>
            </w:pPr>
            <w:r w:rsidRPr="00957CBB">
              <w:rPr>
                <w:rFonts w:ascii="Arial" w:hAnsi="Arial" w:cs="Arial"/>
                <w:sz w:val="20"/>
              </w:rPr>
              <w:t>Settlement Infrastructure Direct Participant</w:t>
            </w:r>
          </w:p>
        </w:tc>
        <w:tc>
          <w:tcPr>
            <w:tcW w:w="2228" w:type="dxa"/>
          </w:tcPr>
          <w:p w14:paraId="30813F08" w14:textId="77777777" w:rsidR="00C2608F" w:rsidRPr="00957CBB" w:rsidRDefault="00C2608F" w:rsidP="00EA70DF">
            <w:pPr>
              <w:spacing w:before="0"/>
              <w:rPr>
                <w:rFonts w:ascii="Arial" w:hAnsi="Arial" w:cs="Arial"/>
                <w:sz w:val="20"/>
              </w:rPr>
            </w:pPr>
            <w:r w:rsidRPr="00957CBB">
              <w:rPr>
                <w:rFonts w:ascii="Arial" w:hAnsi="Arial" w:cs="Arial"/>
                <w:sz w:val="20"/>
                <w:lang w:val="de-DE" w:eastAsia="de-DE"/>
              </w:rPr>
              <w:t>System Member</w:t>
            </w:r>
          </w:p>
        </w:tc>
        <w:tc>
          <w:tcPr>
            <w:tcW w:w="4334" w:type="dxa"/>
          </w:tcPr>
          <w:p w14:paraId="695BE015" w14:textId="77777777" w:rsidR="00C2608F" w:rsidRPr="00957CBB" w:rsidRDefault="00C2608F" w:rsidP="00EA70DF">
            <w:pPr>
              <w:spacing w:before="0"/>
              <w:rPr>
                <w:rFonts w:ascii="Arial" w:hAnsi="Arial" w:cs="Arial"/>
                <w:sz w:val="20"/>
              </w:rPr>
            </w:pPr>
            <w:r w:rsidRPr="00957CBB">
              <w:rPr>
                <w:rFonts w:ascii="Arial" w:hAnsi="Arial" w:cs="Arial"/>
                <w:sz w:val="20"/>
              </w:rPr>
              <w:t>The party which is not a CSD and that is directly connected to the Settlement Infrastructure Platform. It could be a local custodian, a glo</w:t>
            </w:r>
            <w:r w:rsidR="00C00E0C" w:rsidRPr="00957CBB">
              <w:rPr>
                <w:rFonts w:ascii="Arial" w:hAnsi="Arial" w:cs="Arial"/>
                <w:sz w:val="20"/>
              </w:rPr>
              <w:t>bal custodian, a stock exchange</w:t>
            </w:r>
            <w:r w:rsidRPr="00957CBB">
              <w:rPr>
                <w:rFonts w:ascii="Arial" w:hAnsi="Arial" w:cs="Arial"/>
                <w:sz w:val="20"/>
              </w:rPr>
              <w:t>, a central counterparty…</w:t>
            </w:r>
          </w:p>
        </w:tc>
      </w:tr>
      <w:tr w:rsidR="00C2608F" w:rsidRPr="00957CBB" w14:paraId="42DEA463" w14:textId="77777777" w:rsidTr="00EA70DF">
        <w:tc>
          <w:tcPr>
            <w:tcW w:w="2366" w:type="dxa"/>
          </w:tcPr>
          <w:p w14:paraId="020859B2" w14:textId="77777777" w:rsidR="00C2608F" w:rsidRPr="00957CBB" w:rsidRDefault="00C2608F" w:rsidP="00EA70DF">
            <w:pPr>
              <w:spacing w:before="0"/>
              <w:rPr>
                <w:rFonts w:ascii="Arial" w:hAnsi="Arial" w:cs="Arial"/>
                <w:sz w:val="20"/>
              </w:rPr>
            </w:pPr>
            <w:r w:rsidRPr="00957CBB">
              <w:rPr>
                <w:rFonts w:ascii="Arial" w:hAnsi="Arial" w:cs="Arial"/>
                <w:sz w:val="20"/>
              </w:rPr>
              <w:t>Settlement Infrastructure</w:t>
            </w:r>
          </w:p>
        </w:tc>
        <w:tc>
          <w:tcPr>
            <w:tcW w:w="2228" w:type="dxa"/>
          </w:tcPr>
          <w:p w14:paraId="1565A7F5" w14:textId="77777777" w:rsidR="00C2608F" w:rsidRPr="00957CBB" w:rsidRDefault="00C2608F" w:rsidP="00EA70DF">
            <w:pPr>
              <w:spacing w:before="0"/>
              <w:rPr>
                <w:rFonts w:ascii="Arial" w:hAnsi="Arial" w:cs="Arial"/>
                <w:sz w:val="20"/>
              </w:rPr>
            </w:pPr>
            <w:r w:rsidRPr="00957CBB">
              <w:rPr>
                <w:rFonts w:ascii="Arial" w:hAnsi="Arial" w:cs="Arial"/>
                <w:sz w:val="20"/>
              </w:rPr>
              <w:t>System Transaction Administrator </w:t>
            </w:r>
            <w:r w:rsidRPr="00957CBB">
              <w:rPr>
                <w:rFonts w:ascii="Arial" w:hAnsi="Arial" w:cs="Arial"/>
                <w:sz w:val="20"/>
                <w:lang w:eastAsia="de-DE"/>
              </w:rPr>
              <w:t xml:space="preserve"> </w:t>
            </w:r>
          </w:p>
        </w:tc>
        <w:tc>
          <w:tcPr>
            <w:tcW w:w="4334" w:type="dxa"/>
          </w:tcPr>
          <w:p w14:paraId="77E90E83" w14:textId="77777777" w:rsidR="00C2608F" w:rsidRPr="00957CBB" w:rsidRDefault="00C2608F" w:rsidP="00EA70DF">
            <w:pPr>
              <w:spacing w:before="0"/>
              <w:rPr>
                <w:rFonts w:ascii="Arial" w:hAnsi="Arial" w:cs="Arial"/>
                <w:sz w:val="20"/>
              </w:rPr>
            </w:pPr>
            <w:r w:rsidRPr="00957CBB">
              <w:rPr>
                <w:rFonts w:ascii="Arial" w:hAnsi="Arial" w:cs="Arial"/>
                <w:sz w:val="20"/>
              </w:rPr>
              <w:t>The party that provides services to its members for the settlement of transactions and holding of assets (e. g.  T2S, RTGS).</w:t>
            </w:r>
          </w:p>
        </w:tc>
      </w:tr>
      <w:tr w:rsidR="00C2608F" w:rsidRPr="00957CBB" w14:paraId="0646E39B" w14:textId="77777777" w:rsidTr="00EA70DF">
        <w:tc>
          <w:tcPr>
            <w:tcW w:w="2366" w:type="dxa"/>
          </w:tcPr>
          <w:p w14:paraId="725539E9" w14:textId="77777777" w:rsidR="00C2608F" w:rsidRPr="00957CBB" w:rsidRDefault="00C2608F" w:rsidP="00EA70DF">
            <w:pPr>
              <w:spacing w:before="0"/>
              <w:rPr>
                <w:rFonts w:ascii="Arial" w:hAnsi="Arial" w:cs="Arial"/>
                <w:sz w:val="20"/>
              </w:rPr>
            </w:pPr>
            <w:r w:rsidRPr="00957CBB">
              <w:rPr>
                <w:rFonts w:ascii="Arial" w:hAnsi="Arial" w:cs="Arial"/>
                <w:sz w:val="20"/>
              </w:rPr>
              <w:t>T2S operator</w:t>
            </w:r>
          </w:p>
        </w:tc>
        <w:tc>
          <w:tcPr>
            <w:tcW w:w="2228" w:type="dxa"/>
          </w:tcPr>
          <w:p w14:paraId="4A9B9894" w14:textId="77777777" w:rsidR="00C2608F" w:rsidRPr="00957CBB" w:rsidRDefault="00C2608F" w:rsidP="00EA70DF">
            <w:pPr>
              <w:spacing w:before="0"/>
              <w:rPr>
                <w:rFonts w:ascii="Arial" w:hAnsi="Arial" w:cs="Arial"/>
                <w:sz w:val="20"/>
                <w:lang w:eastAsia="de-DE"/>
              </w:rPr>
            </w:pPr>
            <w:r w:rsidRPr="00957CBB">
              <w:rPr>
                <w:rFonts w:ascii="Arial" w:hAnsi="Arial" w:cs="Arial"/>
                <w:sz w:val="20"/>
                <w:lang w:val="de-DE" w:eastAsia="de-DE"/>
              </w:rPr>
              <w:t>System Member</w:t>
            </w:r>
          </w:p>
        </w:tc>
        <w:tc>
          <w:tcPr>
            <w:tcW w:w="4334" w:type="dxa"/>
          </w:tcPr>
          <w:p w14:paraId="4E394633" w14:textId="77777777" w:rsidR="00C2608F" w:rsidRPr="00957CBB" w:rsidRDefault="00C2608F" w:rsidP="00EA70DF">
            <w:pPr>
              <w:spacing w:before="0"/>
              <w:rPr>
                <w:rFonts w:ascii="Arial" w:hAnsi="Arial" w:cs="Arial"/>
                <w:sz w:val="20"/>
              </w:rPr>
            </w:pPr>
            <w:r w:rsidRPr="00957CBB">
              <w:rPr>
                <w:rFonts w:ascii="Arial" w:hAnsi="Arial" w:cs="Arial"/>
                <w:sz w:val="20"/>
                <w:lang w:eastAsia="de-DE"/>
              </w:rPr>
              <w:t>The T2S operator is the top level of the hierarchical role and access rights model. The T2S operator role classification includes all T2S system users of the entity, which will be responsible for the day-to-day operation and management of T2S. The T2S actors managed by this entity shall be CSDs and NCBs participating in T2S. At the highest level, the T2S operator shall have access to all data and functionality in the subordinate level.</w:t>
            </w:r>
          </w:p>
        </w:tc>
      </w:tr>
      <w:tr w:rsidR="00C2608F" w:rsidRPr="00957CBB" w14:paraId="31C13BFA" w14:textId="77777777" w:rsidTr="00EA70DF">
        <w:tc>
          <w:tcPr>
            <w:tcW w:w="2366" w:type="dxa"/>
          </w:tcPr>
          <w:p w14:paraId="689652F3" w14:textId="77777777" w:rsidR="00C2608F" w:rsidRPr="00957CBB" w:rsidRDefault="00C2608F" w:rsidP="00EA70DF">
            <w:pPr>
              <w:autoSpaceDE w:val="0"/>
              <w:autoSpaceDN w:val="0"/>
              <w:adjustRightInd w:val="0"/>
              <w:spacing w:before="0"/>
              <w:rPr>
                <w:rFonts w:ascii="Arial" w:hAnsi="Arial" w:cs="Arial"/>
                <w:sz w:val="20"/>
                <w:lang w:val="de-DE" w:eastAsia="de-DE"/>
              </w:rPr>
            </w:pPr>
            <w:r w:rsidRPr="00957CBB">
              <w:rPr>
                <w:rFonts w:ascii="Arial" w:hAnsi="Arial" w:cs="Arial"/>
                <w:sz w:val="20"/>
                <w:lang w:val="de-DE" w:eastAsia="de-DE"/>
              </w:rPr>
              <w:t xml:space="preserve">Business </w:t>
            </w:r>
            <w:proofErr w:type="spellStart"/>
            <w:r w:rsidRPr="00957CBB">
              <w:rPr>
                <w:rFonts w:ascii="Arial" w:hAnsi="Arial" w:cs="Arial"/>
                <w:sz w:val="20"/>
                <w:lang w:val="de-DE" w:eastAsia="de-DE"/>
              </w:rPr>
              <w:t>role</w:t>
            </w:r>
            <w:proofErr w:type="spellEnd"/>
            <w:r w:rsidRPr="00957CBB">
              <w:rPr>
                <w:rFonts w:ascii="Arial" w:hAnsi="Arial" w:cs="Arial"/>
                <w:sz w:val="20"/>
                <w:lang w:val="de-DE" w:eastAsia="de-DE"/>
              </w:rPr>
              <w:t xml:space="preserve"> NCB</w:t>
            </w:r>
          </w:p>
          <w:p w14:paraId="69F92378" w14:textId="77777777" w:rsidR="00C2608F" w:rsidRPr="00957CBB" w:rsidRDefault="00C2608F" w:rsidP="00EA70DF">
            <w:pPr>
              <w:spacing w:before="0"/>
              <w:rPr>
                <w:rFonts w:ascii="Arial" w:hAnsi="Arial" w:cs="Arial"/>
                <w:sz w:val="20"/>
              </w:rPr>
            </w:pPr>
          </w:p>
        </w:tc>
        <w:tc>
          <w:tcPr>
            <w:tcW w:w="2228" w:type="dxa"/>
          </w:tcPr>
          <w:p w14:paraId="15D2A1B7" w14:textId="77777777" w:rsidR="00C2608F" w:rsidRPr="00957CBB" w:rsidRDefault="00C2608F" w:rsidP="00EA70DF">
            <w:pPr>
              <w:spacing w:before="0"/>
              <w:rPr>
                <w:rFonts w:ascii="Arial" w:hAnsi="Arial" w:cs="Arial"/>
                <w:sz w:val="20"/>
                <w:lang w:eastAsia="de-DE"/>
              </w:rPr>
            </w:pPr>
            <w:r w:rsidRPr="00957CBB">
              <w:rPr>
                <w:rFonts w:ascii="Arial" w:hAnsi="Arial" w:cs="Arial"/>
                <w:sz w:val="20"/>
                <w:lang w:val="de-DE" w:eastAsia="de-DE"/>
              </w:rPr>
              <w:t>System Member</w:t>
            </w:r>
          </w:p>
        </w:tc>
        <w:tc>
          <w:tcPr>
            <w:tcW w:w="4334" w:type="dxa"/>
          </w:tcPr>
          <w:p w14:paraId="4C92AB44" w14:textId="77777777" w:rsidR="00C2608F" w:rsidRPr="00957CBB" w:rsidRDefault="00C2608F" w:rsidP="00EA70DF">
            <w:pPr>
              <w:spacing w:before="0"/>
              <w:rPr>
                <w:rFonts w:ascii="Arial" w:hAnsi="Arial" w:cs="Arial"/>
                <w:sz w:val="20"/>
              </w:rPr>
            </w:pPr>
            <w:r w:rsidRPr="00957CBB">
              <w:rPr>
                <w:rFonts w:ascii="Arial" w:hAnsi="Arial" w:cs="Arial"/>
                <w:sz w:val="20"/>
                <w:lang w:eastAsia="de-DE"/>
              </w:rPr>
              <w:t>The NCB role classification shall include all T2S system users of a NCB as a liquidity provider through T2S dedicated cash accounts.</w:t>
            </w:r>
          </w:p>
        </w:tc>
      </w:tr>
      <w:tr w:rsidR="00C2608F" w:rsidRPr="00957CBB" w14:paraId="616FC9AC" w14:textId="77777777" w:rsidTr="00EA70DF">
        <w:tc>
          <w:tcPr>
            <w:tcW w:w="2366" w:type="dxa"/>
          </w:tcPr>
          <w:p w14:paraId="5D26AB5A" w14:textId="77777777" w:rsidR="00C2608F" w:rsidRPr="00957CBB" w:rsidRDefault="00C2608F" w:rsidP="00EA70DF">
            <w:pPr>
              <w:autoSpaceDE w:val="0"/>
              <w:autoSpaceDN w:val="0"/>
              <w:adjustRightInd w:val="0"/>
              <w:spacing w:before="0"/>
              <w:rPr>
                <w:rFonts w:ascii="Arial" w:hAnsi="Arial" w:cs="Arial"/>
                <w:sz w:val="20"/>
                <w:lang w:val="de-DE" w:eastAsia="de-DE"/>
              </w:rPr>
            </w:pPr>
            <w:r w:rsidRPr="00957CBB">
              <w:rPr>
                <w:rFonts w:ascii="Arial" w:hAnsi="Arial" w:cs="Arial"/>
                <w:sz w:val="20"/>
                <w:lang w:val="de-DE" w:eastAsia="de-DE"/>
              </w:rPr>
              <w:t xml:space="preserve">Business </w:t>
            </w:r>
            <w:proofErr w:type="spellStart"/>
            <w:r w:rsidRPr="00957CBB">
              <w:rPr>
                <w:rFonts w:ascii="Arial" w:hAnsi="Arial" w:cs="Arial"/>
                <w:sz w:val="20"/>
                <w:lang w:val="de-DE" w:eastAsia="de-DE"/>
              </w:rPr>
              <w:t>role</w:t>
            </w:r>
            <w:proofErr w:type="spellEnd"/>
            <w:r w:rsidRPr="00957CBB">
              <w:rPr>
                <w:rFonts w:ascii="Arial" w:hAnsi="Arial" w:cs="Arial"/>
                <w:sz w:val="20"/>
                <w:lang w:val="de-DE" w:eastAsia="de-DE"/>
              </w:rPr>
              <w:t xml:space="preserve"> </w:t>
            </w:r>
            <w:proofErr w:type="spellStart"/>
            <w:r w:rsidRPr="00957CBB">
              <w:rPr>
                <w:rFonts w:ascii="Arial" w:hAnsi="Arial" w:cs="Arial"/>
                <w:sz w:val="20"/>
                <w:lang w:val="de-DE" w:eastAsia="de-DE"/>
              </w:rPr>
              <w:t>payment</w:t>
            </w:r>
            <w:proofErr w:type="spellEnd"/>
            <w:r w:rsidRPr="00957CBB">
              <w:rPr>
                <w:rFonts w:ascii="Arial" w:hAnsi="Arial" w:cs="Arial"/>
                <w:sz w:val="20"/>
                <w:lang w:val="de-DE" w:eastAsia="de-DE"/>
              </w:rPr>
              <w:t xml:space="preserve"> </w:t>
            </w:r>
            <w:proofErr w:type="spellStart"/>
            <w:r w:rsidRPr="00957CBB">
              <w:rPr>
                <w:rFonts w:ascii="Arial" w:hAnsi="Arial" w:cs="Arial"/>
                <w:sz w:val="20"/>
                <w:lang w:val="de-DE" w:eastAsia="de-DE"/>
              </w:rPr>
              <w:t>bank</w:t>
            </w:r>
            <w:proofErr w:type="spellEnd"/>
          </w:p>
          <w:p w14:paraId="2F888B1D" w14:textId="77777777" w:rsidR="00C2608F" w:rsidRPr="00957CBB" w:rsidRDefault="00C2608F" w:rsidP="00EA70DF">
            <w:pPr>
              <w:spacing w:before="0"/>
              <w:rPr>
                <w:rFonts w:ascii="Arial" w:hAnsi="Arial" w:cs="Arial"/>
                <w:sz w:val="20"/>
              </w:rPr>
            </w:pPr>
          </w:p>
        </w:tc>
        <w:tc>
          <w:tcPr>
            <w:tcW w:w="2228" w:type="dxa"/>
          </w:tcPr>
          <w:p w14:paraId="244DB533" w14:textId="77777777" w:rsidR="00C2608F" w:rsidRPr="00957CBB" w:rsidRDefault="00C2608F" w:rsidP="00EA70DF">
            <w:pPr>
              <w:spacing w:before="0"/>
              <w:rPr>
                <w:rFonts w:ascii="Arial" w:hAnsi="Arial" w:cs="Arial"/>
                <w:sz w:val="20"/>
                <w:lang w:eastAsia="de-DE"/>
              </w:rPr>
            </w:pPr>
            <w:r w:rsidRPr="00957CBB">
              <w:rPr>
                <w:rFonts w:ascii="Arial" w:hAnsi="Arial" w:cs="Arial"/>
                <w:sz w:val="20"/>
                <w:lang w:val="de-DE" w:eastAsia="de-DE"/>
              </w:rPr>
              <w:t>System Member</w:t>
            </w:r>
          </w:p>
        </w:tc>
        <w:tc>
          <w:tcPr>
            <w:tcW w:w="4334" w:type="dxa"/>
          </w:tcPr>
          <w:p w14:paraId="542D1AF3" w14:textId="77777777" w:rsidR="00C2608F" w:rsidRPr="00957CBB" w:rsidRDefault="00C2608F" w:rsidP="00EA70DF">
            <w:pPr>
              <w:spacing w:before="0"/>
              <w:rPr>
                <w:rFonts w:ascii="Arial" w:hAnsi="Arial" w:cs="Arial"/>
                <w:sz w:val="20"/>
              </w:rPr>
            </w:pPr>
            <w:r w:rsidRPr="00957CBB">
              <w:rPr>
                <w:rFonts w:ascii="Arial" w:hAnsi="Arial" w:cs="Arial"/>
                <w:sz w:val="20"/>
                <w:lang w:eastAsia="de-DE"/>
              </w:rPr>
              <w:t>The payment bank role includes all T2S system users of payment banks that require access to the T2S dedicated cash account balances and postings of the T2S dedicated cash accounts they provide for the purpose of securities settlement.</w:t>
            </w:r>
          </w:p>
        </w:tc>
      </w:tr>
      <w:tr w:rsidR="00C2608F" w:rsidRPr="00957CBB" w14:paraId="522BCD5C" w14:textId="77777777" w:rsidTr="00EA70DF">
        <w:tc>
          <w:tcPr>
            <w:tcW w:w="2366" w:type="dxa"/>
          </w:tcPr>
          <w:p w14:paraId="1898ACD2" w14:textId="77777777" w:rsidR="00C2608F" w:rsidRPr="00957CBB" w:rsidRDefault="00C2608F" w:rsidP="00EA70DF">
            <w:pPr>
              <w:autoSpaceDE w:val="0"/>
              <w:autoSpaceDN w:val="0"/>
              <w:adjustRightInd w:val="0"/>
              <w:spacing w:before="0"/>
              <w:rPr>
                <w:rFonts w:ascii="Arial" w:hAnsi="Arial" w:cs="Arial"/>
                <w:sz w:val="20"/>
                <w:lang w:eastAsia="de-DE"/>
              </w:rPr>
            </w:pPr>
            <w:r w:rsidRPr="00957CBB">
              <w:rPr>
                <w:rFonts w:ascii="Arial" w:hAnsi="Arial" w:cs="Arial"/>
                <w:sz w:val="20"/>
              </w:rPr>
              <w:t>System Transaction Administrator </w:t>
            </w:r>
            <w:r w:rsidRPr="00957CBB">
              <w:rPr>
                <w:rFonts w:ascii="Arial" w:hAnsi="Arial" w:cs="Arial"/>
                <w:sz w:val="20"/>
                <w:lang w:eastAsia="de-DE"/>
              </w:rPr>
              <w:t xml:space="preserve"> </w:t>
            </w:r>
          </w:p>
        </w:tc>
        <w:tc>
          <w:tcPr>
            <w:tcW w:w="2228" w:type="dxa"/>
          </w:tcPr>
          <w:p w14:paraId="342AA5E5" w14:textId="77777777" w:rsidR="00C2608F" w:rsidRPr="00957CBB" w:rsidRDefault="00C2608F" w:rsidP="00EA70DF">
            <w:pPr>
              <w:spacing w:before="0"/>
              <w:rPr>
                <w:rFonts w:ascii="Arial" w:hAnsi="Arial" w:cs="Arial"/>
                <w:sz w:val="20"/>
                <w:lang w:eastAsia="de-DE"/>
              </w:rPr>
            </w:pPr>
            <w:r w:rsidRPr="00957CBB">
              <w:rPr>
                <w:rFonts w:ascii="Arial" w:hAnsi="Arial" w:cs="Arial"/>
                <w:color w:val="FFFFFF"/>
                <w:sz w:val="20"/>
              </w:rPr>
              <w:t>actors/roles within Cash management</w:t>
            </w:r>
          </w:p>
        </w:tc>
        <w:tc>
          <w:tcPr>
            <w:tcW w:w="4334" w:type="dxa"/>
          </w:tcPr>
          <w:p w14:paraId="632AFF1B" w14:textId="77777777" w:rsidR="00C2608F" w:rsidRPr="00957CBB" w:rsidRDefault="00C2608F" w:rsidP="00EA70DF">
            <w:pPr>
              <w:spacing w:before="0"/>
              <w:jc w:val="both"/>
              <w:rPr>
                <w:rFonts w:ascii="Arial" w:eastAsia="Times New Roman" w:hAnsi="Arial" w:cs="Arial"/>
                <w:sz w:val="20"/>
                <w:lang w:eastAsia="de-DE"/>
              </w:rPr>
            </w:pPr>
            <w:r w:rsidRPr="00957CBB">
              <w:rPr>
                <w:rFonts w:ascii="Arial" w:eastAsia="Times New Roman" w:hAnsi="Arial" w:cs="Arial"/>
                <w:sz w:val="20"/>
                <w:lang w:eastAsia="de-DE"/>
              </w:rPr>
              <w:t>In a central system, the entity or neutral body, in charge of providing services to the system's members. It is in charge of performing specified tasks on behalf and under the responsibility of the system's direct members. It can be a matching engine, a settlement engine, or a financial institution. It also maintains accounts or netting balances for the direct members of the system, registers transactions, performs checks and validations, and manages the settlement cycle or other value added processes, as specified in the functional specifications of the system.</w:t>
            </w:r>
          </w:p>
          <w:p w14:paraId="0389A280" w14:textId="77777777" w:rsidR="00C2608F" w:rsidRPr="00957CBB" w:rsidRDefault="00C2608F" w:rsidP="00EA70DF">
            <w:pPr>
              <w:spacing w:before="0"/>
              <w:rPr>
                <w:rFonts w:ascii="Arial" w:hAnsi="Arial" w:cs="Arial"/>
                <w:sz w:val="20"/>
                <w:lang w:eastAsia="de-DE"/>
              </w:rPr>
            </w:pPr>
          </w:p>
        </w:tc>
      </w:tr>
      <w:tr w:rsidR="00C2608F" w:rsidRPr="00957CBB" w14:paraId="56C39FA2" w14:textId="77777777" w:rsidTr="00EA70DF">
        <w:tc>
          <w:tcPr>
            <w:tcW w:w="2366" w:type="dxa"/>
          </w:tcPr>
          <w:p w14:paraId="7572197C" w14:textId="77777777" w:rsidR="00C2608F" w:rsidRPr="00957CBB" w:rsidRDefault="00C2608F" w:rsidP="00EA70DF">
            <w:pPr>
              <w:autoSpaceDE w:val="0"/>
              <w:autoSpaceDN w:val="0"/>
              <w:adjustRightInd w:val="0"/>
              <w:spacing w:before="0"/>
              <w:rPr>
                <w:rFonts w:ascii="Arial" w:hAnsi="Arial" w:cs="Arial"/>
                <w:sz w:val="20"/>
                <w:lang w:val="de-DE" w:eastAsia="de-DE"/>
              </w:rPr>
            </w:pPr>
            <w:r w:rsidRPr="00957CBB">
              <w:rPr>
                <w:rFonts w:ascii="Arial" w:hAnsi="Arial" w:cs="Arial"/>
                <w:sz w:val="20"/>
                <w:lang w:val="de-DE" w:eastAsia="de-DE"/>
              </w:rPr>
              <w:t>System Member</w:t>
            </w:r>
          </w:p>
        </w:tc>
        <w:tc>
          <w:tcPr>
            <w:tcW w:w="2228" w:type="dxa"/>
          </w:tcPr>
          <w:p w14:paraId="3548ACCC" w14:textId="77777777" w:rsidR="00C2608F" w:rsidRPr="00957CBB" w:rsidRDefault="00C2608F" w:rsidP="00EA70DF">
            <w:pPr>
              <w:spacing w:before="0"/>
              <w:rPr>
                <w:rFonts w:ascii="Arial" w:hAnsi="Arial" w:cs="Arial"/>
                <w:sz w:val="20"/>
                <w:lang w:eastAsia="de-DE"/>
              </w:rPr>
            </w:pPr>
            <w:r w:rsidRPr="00957CBB">
              <w:rPr>
                <w:rFonts w:ascii="Arial" w:hAnsi="Arial" w:cs="Arial"/>
                <w:color w:val="FFFFFF"/>
                <w:sz w:val="20"/>
              </w:rPr>
              <w:t>actors/roles within Cash management</w:t>
            </w:r>
          </w:p>
        </w:tc>
        <w:tc>
          <w:tcPr>
            <w:tcW w:w="4334" w:type="dxa"/>
          </w:tcPr>
          <w:p w14:paraId="4019E69A" w14:textId="77777777" w:rsidR="00C2608F" w:rsidRPr="00957CBB" w:rsidRDefault="00C2608F" w:rsidP="00EA70DF">
            <w:pPr>
              <w:spacing w:before="0"/>
              <w:rPr>
                <w:rFonts w:ascii="Arial" w:eastAsia="Times New Roman" w:hAnsi="Arial" w:cs="Arial"/>
                <w:sz w:val="20"/>
                <w:lang w:val="de-DE" w:eastAsia="de-DE"/>
              </w:rPr>
            </w:pPr>
            <w:r w:rsidRPr="00957CBB">
              <w:rPr>
                <w:rFonts w:ascii="Arial" w:eastAsia="Times New Roman" w:hAnsi="Arial" w:cs="Arial"/>
                <w:sz w:val="20"/>
                <w:lang w:eastAsia="de-DE"/>
              </w:rPr>
              <w:t xml:space="preserve">The party that is entitled to make full or partial use of the system transaction administrator, to make it perform business processes on its behalf. A member can submit transactions, and request and/or receive information. </w:t>
            </w:r>
            <w:r w:rsidRPr="00957CBB">
              <w:rPr>
                <w:rFonts w:ascii="Arial" w:eastAsia="Times New Roman" w:hAnsi="Arial" w:cs="Arial"/>
                <w:sz w:val="20"/>
                <w:lang w:val="de-DE" w:eastAsia="de-DE"/>
              </w:rPr>
              <w:t xml:space="preserve">A </w:t>
            </w:r>
            <w:proofErr w:type="spellStart"/>
            <w:r w:rsidRPr="00957CBB">
              <w:rPr>
                <w:rFonts w:ascii="Arial" w:eastAsia="Times New Roman" w:hAnsi="Arial" w:cs="Arial"/>
                <w:sz w:val="20"/>
                <w:lang w:val="de-DE" w:eastAsia="de-DE"/>
              </w:rPr>
              <w:t>member</w:t>
            </w:r>
            <w:proofErr w:type="spellEnd"/>
            <w:r w:rsidRPr="00957CBB">
              <w:rPr>
                <w:rFonts w:ascii="Arial" w:eastAsia="Times New Roman" w:hAnsi="Arial" w:cs="Arial"/>
                <w:sz w:val="20"/>
                <w:lang w:val="de-DE" w:eastAsia="de-DE"/>
              </w:rPr>
              <w:t xml:space="preserve"> </w:t>
            </w:r>
            <w:proofErr w:type="spellStart"/>
            <w:r w:rsidRPr="00957CBB">
              <w:rPr>
                <w:rFonts w:ascii="Arial" w:eastAsia="Times New Roman" w:hAnsi="Arial" w:cs="Arial"/>
                <w:sz w:val="20"/>
                <w:lang w:val="de-DE" w:eastAsia="de-DE"/>
              </w:rPr>
              <w:t>can</w:t>
            </w:r>
            <w:proofErr w:type="spellEnd"/>
            <w:r w:rsidRPr="00957CBB">
              <w:rPr>
                <w:rFonts w:ascii="Arial" w:eastAsia="Times New Roman" w:hAnsi="Arial" w:cs="Arial"/>
                <w:sz w:val="20"/>
                <w:lang w:val="de-DE" w:eastAsia="de-DE"/>
              </w:rPr>
              <w:t xml:space="preserve"> </w:t>
            </w:r>
            <w:proofErr w:type="spellStart"/>
            <w:r w:rsidRPr="00957CBB">
              <w:rPr>
                <w:rFonts w:ascii="Arial" w:eastAsia="Times New Roman" w:hAnsi="Arial" w:cs="Arial"/>
                <w:sz w:val="20"/>
                <w:lang w:val="de-DE" w:eastAsia="de-DE"/>
              </w:rPr>
              <w:t>be</w:t>
            </w:r>
            <w:proofErr w:type="spellEnd"/>
            <w:r w:rsidRPr="00957CBB">
              <w:rPr>
                <w:rFonts w:ascii="Arial" w:eastAsia="Times New Roman" w:hAnsi="Arial" w:cs="Arial"/>
                <w:sz w:val="20"/>
                <w:lang w:val="de-DE" w:eastAsia="de-DE"/>
              </w:rPr>
              <w:t xml:space="preserve"> a </w:t>
            </w:r>
            <w:proofErr w:type="spellStart"/>
            <w:r w:rsidRPr="00957CBB">
              <w:rPr>
                <w:rFonts w:ascii="Arial" w:eastAsia="Times New Roman" w:hAnsi="Arial" w:cs="Arial"/>
                <w:sz w:val="20"/>
                <w:lang w:val="de-DE" w:eastAsia="de-DE"/>
              </w:rPr>
              <w:t>direct</w:t>
            </w:r>
            <w:proofErr w:type="spellEnd"/>
            <w:r w:rsidRPr="00957CBB">
              <w:rPr>
                <w:rFonts w:ascii="Arial" w:eastAsia="Times New Roman" w:hAnsi="Arial" w:cs="Arial"/>
                <w:sz w:val="20"/>
                <w:lang w:val="de-DE" w:eastAsia="de-DE"/>
              </w:rPr>
              <w:t xml:space="preserve"> </w:t>
            </w:r>
            <w:proofErr w:type="spellStart"/>
            <w:r w:rsidRPr="00957CBB">
              <w:rPr>
                <w:rFonts w:ascii="Arial" w:eastAsia="Times New Roman" w:hAnsi="Arial" w:cs="Arial"/>
                <w:sz w:val="20"/>
                <w:lang w:val="de-DE" w:eastAsia="de-DE"/>
              </w:rPr>
              <w:t>or</w:t>
            </w:r>
            <w:proofErr w:type="spellEnd"/>
            <w:r w:rsidRPr="00957CBB">
              <w:rPr>
                <w:rFonts w:ascii="Arial" w:eastAsia="Times New Roman" w:hAnsi="Arial" w:cs="Arial"/>
                <w:sz w:val="20"/>
                <w:lang w:val="de-DE" w:eastAsia="de-DE"/>
              </w:rPr>
              <w:t xml:space="preserve"> </w:t>
            </w:r>
            <w:proofErr w:type="spellStart"/>
            <w:r w:rsidRPr="00957CBB">
              <w:rPr>
                <w:rFonts w:ascii="Arial" w:eastAsia="Times New Roman" w:hAnsi="Arial" w:cs="Arial"/>
                <w:sz w:val="20"/>
                <w:lang w:val="de-DE" w:eastAsia="de-DE"/>
              </w:rPr>
              <w:t>indirect</w:t>
            </w:r>
            <w:proofErr w:type="spellEnd"/>
            <w:r w:rsidRPr="00957CBB">
              <w:rPr>
                <w:rFonts w:ascii="Arial" w:eastAsia="Times New Roman" w:hAnsi="Arial" w:cs="Arial"/>
                <w:sz w:val="20"/>
                <w:lang w:val="de-DE" w:eastAsia="de-DE"/>
              </w:rPr>
              <w:t xml:space="preserve"> </w:t>
            </w:r>
            <w:proofErr w:type="spellStart"/>
            <w:r w:rsidRPr="00957CBB">
              <w:rPr>
                <w:rFonts w:ascii="Arial" w:eastAsia="Times New Roman" w:hAnsi="Arial" w:cs="Arial"/>
                <w:sz w:val="20"/>
                <w:lang w:val="de-DE" w:eastAsia="de-DE"/>
              </w:rPr>
              <w:t>member</w:t>
            </w:r>
            <w:proofErr w:type="spellEnd"/>
            <w:r w:rsidRPr="00957CBB">
              <w:rPr>
                <w:rFonts w:ascii="Arial" w:eastAsia="Times New Roman" w:hAnsi="Arial" w:cs="Arial"/>
                <w:sz w:val="20"/>
                <w:lang w:val="de-DE" w:eastAsia="de-DE"/>
              </w:rPr>
              <w:t>.</w:t>
            </w:r>
          </w:p>
          <w:p w14:paraId="3CB06947" w14:textId="77777777" w:rsidR="00C2608F" w:rsidRPr="00957CBB" w:rsidRDefault="00C2608F" w:rsidP="00EA70DF">
            <w:pPr>
              <w:spacing w:before="0"/>
              <w:rPr>
                <w:rFonts w:ascii="Arial" w:hAnsi="Arial" w:cs="Arial"/>
                <w:sz w:val="20"/>
                <w:lang w:eastAsia="de-DE"/>
              </w:rPr>
            </w:pPr>
          </w:p>
        </w:tc>
      </w:tr>
    </w:tbl>
    <w:p w14:paraId="29CFF7B3" w14:textId="77777777" w:rsidR="00C2608F" w:rsidRPr="00384AF2" w:rsidRDefault="00C2608F" w:rsidP="00C260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3000"/>
        <w:gridCol w:w="2946"/>
      </w:tblGrid>
      <w:tr w:rsidR="00C2608F" w:rsidRPr="00BC102C" w14:paraId="7EA770A6" w14:textId="77777777" w:rsidTr="00EA70DF">
        <w:tc>
          <w:tcPr>
            <w:tcW w:w="9054" w:type="dxa"/>
            <w:gridSpan w:val="3"/>
            <w:shd w:val="clear" w:color="auto" w:fill="0C0C0C"/>
            <w:vAlign w:val="center"/>
          </w:tcPr>
          <w:p w14:paraId="2A5E4C72" w14:textId="77777777" w:rsidR="00C2608F" w:rsidRPr="00BC102C" w:rsidRDefault="00C2608F" w:rsidP="00EA70DF">
            <w:pPr>
              <w:spacing w:before="0"/>
              <w:jc w:val="center"/>
              <w:rPr>
                <w:rFonts w:ascii="Arial" w:hAnsi="Arial" w:cs="Arial"/>
                <w:b/>
                <w:bCs/>
                <w:color w:val="FFFFFF"/>
                <w:sz w:val="20"/>
              </w:rPr>
            </w:pPr>
            <w:r w:rsidRPr="00BC102C">
              <w:rPr>
                <w:rFonts w:ascii="Arial" w:hAnsi="Arial" w:cs="Arial"/>
                <w:b/>
                <w:bCs/>
                <w:color w:val="FFFFFF"/>
                <w:sz w:val="20"/>
              </w:rPr>
              <w:t>Business Actors/Roles Matrix Table</w:t>
            </w:r>
          </w:p>
        </w:tc>
      </w:tr>
      <w:tr w:rsidR="00C2608F" w:rsidRPr="00BC102C" w14:paraId="5BAD8EA3" w14:textId="77777777" w:rsidTr="00EA70DF">
        <w:tc>
          <w:tcPr>
            <w:tcW w:w="3108" w:type="dxa"/>
            <w:tcBorders>
              <w:tl2br w:val="single" w:sz="4" w:space="0" w:color="auto"/>
            </w:tcBorders>
          </w:tcPr>
          <w:p w14:paraId="78999C31" w14:textId="77777777" w:rsidR="00C2608F" w:rsidRPr="00BC102C" w:rsidRDefault="00C2608F" w:rsidP="00EA70DF">
            <w:pPr>
              <w:spacing w:before="120" w:after="120"/>
              <w:jc w:val="right"/>
              <w:rPr>
                <w:rFonts w:ascii="Arial" w:hAnsi="Arial" w:cs="Arial"/>
                <w:sz w:val="20"/>
              </w:rPr>
            </w:pPr>
            <w:r w:rsidRPr="00BC102C">
              <w:rPr>
                <w:rFonts w:ascii="Arial" w:hAnsi="Arial" w:cs="Arial"/>
                <w:sz w:val="20"/>
              </w:rPr>
              <w:t>Roles</w:t>
            </w:r>
          </w:p>
          <w:p w14:paraId="380A08CD" w14:textId="77777777" w:rsidR="00C2608F" w:rsidRPr="00BC102C" w:rsidRDefault="00C2608F" w:rsidP="00EA70DF">
            <w:pPr>
              <w:spacing w:before="120" w:after="120"/>
              <w:rPr>
                <w:rFonts w:ascii="Arial" w:hAnsi="Arial" w:cs="Arial"/>
                <w:sz w:val="20"/>
              </w:rPr>
            </w:pPr>
            <w:r w:rsidRPr="00BC102C">
              <w:rPr>
                <w:rFonts w:ascii="Arial" w:hAnsi="Arial" w:cs="Arial"/>
                <w:sz w:val="20"/>
              </w:rPr>
              <w:t>Actors</w:t>
            </w:r>
          </w:p>
        </w:tc>
        <w:tc>
          <w:tcPr>
            <w:tcW w:w="3000" w:type="dxa"/>
            <w:shd w:val="clear" w:color="auto" w:fill="606060"/>
            <w:vAlign w:val="center"/>
          </w:tcPr>
          <w:p w14:paraId="740063D5" w14:textId="77777777" w:rsidR="00C2608F" w:rsidRPr="00BC102C" w:rsidRDefault="00C2608F" w:rsidP="00EA70DF">
            <w:pPr>
              <w:spacing w:before="0"/>
              <w:jc w:val="center"/>
              <w:rPr>
                <w:rFonts w:ascii="Arial" w:hAnsi="Arial" w:cs="Arial"/>
                <w:color w:val="FFFFFF"/>
                <w:sz w:val="20"/>
              </w:rPr>
            </w:pPr>
            <w:r>
              <w:rPr>
                <w:rFonts w:ascii="Arial" w:hAnsi="Arial" w:cs="Arial"/>
                <w:color w:val="FFFFFF"/>
                <w:sz w:val="20"/>
              </w:rPr>
              <w:t>System Member</w:t>
            </w:r>
          </w:p>
        </w:tc>
        <w:tc>
          <w:tcPr>
            <w:tcW w:w="2946" w:type="dxa"/>
            <w:shd w:val="clear" w:color="auto" w:fill="606060"/>
            <w:vAlign w:val="center"/>
          </w:tcPr>
          <w:p w14:paraId="4E02C788" w14:textId="77777777" w:rsidR="00C2608F" w:rsidRPr="00BC102C" w:rsidRDefault="00C2608F" w:rsidP="00EA70DF">
            <w:pPr>
              <w:spacing w:before="0"/>
              <w:jc w:val="center"/>
              <w:rPr>
                <w:rFonts w:ascii="Arial" w:hAnsi="Arial" w:cs="Arial"/>
                <w:color w:val="FFFFFF"/>
                <w:sz w:val="20"/>
              </w:rPr>
            </w:pPr>
            <w:r>
              <w:rPr>
                <w:rFonts w:ascii="Arial" w:hAnsi="Arial" w:cs="Arial"/>
                <w:color w:val="FFFFFF"/>
                <w:sz w:val="20"/>
              </w:rPr>
              <w:t>System Transaction Administrator</w:t>
            </w:r>
          </w:p>
        </w:tc>
      </w:tr>
      <w:tr w:rsidR="00C2608F" w:rsidRPr="00BC102C" w14:paraId="7FC07A75" w14:textId="77777777" w:rsidTr="00EA70DF">
        <w:tc>
          <w:tcPr>
            <w:tcW w:w="3108" w:type="dxa"/>
            <w:shd w:val="clear" w:color="auto" w:fill="606060"/>
          </w:tcPr>
          <w:p w14:paraId="2C45E213" w14:textId="77777777" w:rsidR="00C2608F" w:rsidRPr="00BC102C" w:rsidRDefault="00C2608F" w:rsidP="00EA70DF">
            <w:pPr>
              <w:spacing w:before="0"/>
              <w:rPr>
                <w:rFonts w:ascii="Arial" w:hAnsi="Arial" w:cs="Arial"/>
                <w:color w:val="FFFFFF"/>
                <w:sz w:val="20"/>
              </w:rPr>
            </w:pPr>
            <w:r w:rsidRPr="00617C1F">
              <w:rPr>
                <w:rFonts w:ascii="Arial" w:hAnsi="Arial" w:cs="Arial"/>
                <w:color w:val="FFFFFF"/>
                <w:sz w:val="20"/>
              </w:rPr>
              <w:t>T2S operator</w:t>
            </w:r>
          </w:p>
        </w:tc>
        <w:tc>
          <w:tcPr>
            <w:tcW w:w="3000" w:type="dxa"/>
            <w:vAlign w:val="center"/>
          </w:tcPr>
          <w:p w14:paraId="0FFECB19" w14:textId="77777777" w:rsidR="00C2608F" w:rsidRPr="00384AF2" w:rsidRDefault="00C2608F" w:rsidP="00EA70DF">
            <w:pPr>
              <w:spacing w:before="0"/>
              <w:jc w:val="center"/>
              <w:rPr>
                <w:rFonts w:ascii="Arial" w:hAnsi="Arial" w:cs="Arial"/>
                <w:sz w:val="20"/>
                <w:highlight w:val="yellow"/>
              </w:rPr>
            </w:pPr>
            <w:r w:rsidRPr="00384AF2">
              <w:rPr>
                <w:rFonts w:ascii="Arial" w:hAnsi="Arial" w:cs="Arial"/>
                <w:sz w:val="20"/>
              </w:rPr>
              <w:t>x</w:t>
            </w:r>
          </w:p>
        </w:tc>
        <w:tc>
          <w:tcPr>
            <w:tcW w:w="2946" w:type="dxa"/>
            <w:vAlign w:val="center"/>
          </w:tcPr>
          <w:p w14:paraId="3CC2298A" w14:textId="77777777" w:rsidR="00C2608F" w:rsidRPr="00384AF2" w:rsidRDefault="00C2608F" w:rsidP="00EA70DF">
            <w:pPr>
              <w:spacing w:before="0"/>
              <w:jc w:val="center"/>
              <w:rPr>
                <w:rFonts w:ascii="Arial" w:hAnsi="Arial" w:cs="Arial"/>
                <w:sz w:val="20"/>
                <w:highlight w:val="yellow"/>
              </w:rPr>
            </w:pPr>
          </w:p>
        </w:tc>
      </w:tr>
      <w:tr w:rsidR="00C2608F" w:rsidRPr="00BC102C" w14:paraId="5189B72F" w14:textId="77777777" w:rsidTr="00EA70DF">
        <w:tc>
          <w:tcPr>
            <w:tcW w:w="3108" w:type="dxa"/>
            <w:shd w:val="clear" w:color="auto" w:fill="606060"/>
          </w:tcPr>
          <w:p w14:paraId="1626C6DA" w14:textId="77777777" w:rsidR="00C2608F" w:rsidRPr="00BC102C" w:rsidRDefault="00C2608F" w:rsidP="00EA70DF">
            <w:pPr>
              <w:spacing w:before="0"/>
              <w:rPr>
                <w:rFonts w:ascii="Arial" w:hAnsi="Arial" w:cs="Arial"/>
                <w:color w:val="FFFFFF"/>
                <w:sz w:val="20"/>
              </w:rPr>
            </w:pPr>
            <w:r w:rsidRPr="00617C1F">
              <w:rPr>
                <w:rFonts w:ascii="Arial" w:hAnsi="Arial" w:cs="Arial"/>
                <w:color w:val="FFFFFF"/>
                <w:sz w:val="20"/>
              </w:rPr>
              <w:t>NCB</w:t>
            </w:r>
          </w:p>
        </w:tc>
        <w:tc>
          <w:tcPr>
            <w:tcW w:w="3000" w:type="dxa"/>
            <w:vAlign w:val="center"/>
          </w:tcPr>
          <w:p w14:paraId="68A765D8" w14:textId="77777777" w:rsidR="00C2608F" w:rsidRPr="00384AF2" w:rsidRDefault="00C2608F" w:rsidP="00EA70DF">
            <w:pPr>
              <w:spacing w:before="0"/>
              <w:jc w:val="center"/>
              <w:rPr>
                <w:rFonts w:ascii="Arial" w:hAnsi="Arial" w:cs="Arial"/>
                <w:sz w:val="20"/>
                <w:highlight w:val="yellow"/>
              </w:rPr>
            </w:pPr>
            <w:r w:rsidRPr="00384AF2">
              <w:rPr>
                <w:rFonts w:ascii="Arial" w:hAnsi="Arial" w:cs="Arial"/>
                <w:sz w:val="20"/>
              </w:rPr>
              <w:t>x</w:t>
            </w:r>
          </w:p>
        </w:tc>
        <w:tc>
          <w:tcPr>
            <w:tcW w:w="2946" w:type="dxa"/>
            <w:vAlign w:val="center"/>
          </w:tcPr>
          <w:p w14:paraId="78FB08B3" w14:textId="77777777" w:rsidR="00C2608F" w:rsidRPr="00384AF2" w:rsidRDefault="00C2608F" w:rsidP="00EA70DF">
            <w:pPr>
              <w:spacing w:before="0"/>
              <w:jc w:val="center"/>
              <w:rPr>
                <w:rFonts w:ascii="Arial" w:hAnsi="Arial" w:cs="Arial"/>
                <w:sz w:val="20"/>
                <w:highlight w:val="yellow"/>
              </w:rPr>
            </w:pPr>
          </w:p>
        </w:tc>
      </w:tr>
      <w:tr w:rsidR="00C2608F" w:rsidRPr="00BC102C" w14:paraId="4659C925" w14:textId="77777777" w:rsidTr="00EA70DF">
        <w:tc>
          <w:tcPr>
            <w:tcW w:w="3108" w:type="dxa"/>
            <w:shd w:val="clear" w:color="auto" w:fill="606060"/>
          </w:tcPr>
          <w:p w14:paraId="2B455F2A" w14:textId="77777777" w:rsidR="00C2608F" w:rsidRPr="00BC102C" w:rsidRDefault="00C2608F" w:rsidP="00EA70DF">
            <w:pPr>
              <w:spacing w:before="0"/>
              <w:rPr>
                <w:rFonts w:ascii="Arial" w:hAnsi="Arial" w:cs="Arial"/>
                <w:color w:val="FFFFFF"/>
                <w:sz w:val="20"/>
              </w:rPr>
            </w:pPr>
            <w:r>
              <w:rPr>
                <w:rFonts w:ascii="Arial" w:hAnsi="Arial" w:cs="Arial"/>
                <w:color w:val="FFFFFF"/>
                <w:sz w:val="20"/>
              </w:rPr>
              <w:t>Payment Bank</w:t>
            </w:r>
          </w:p>
        </w:tc>
        <w:tc>
          <w:tcPr>
            <w:tcW w:w="3000" w:type="dxa"/>
            <w:vAlign w:val="center"/>
          </w:tcPr>
          <w:p w14:paraId="1F60A6FA" w14:textId="77777777" w:rsidR="00C2608F" w:rsidRPr="00384AF2" w:rsidRDefault="00C2608F" w:rsidP="00EA70DF">
            <w:pPr>
              <w:spacing w:before="0"/>
              <w:jc w:val="center"/>
              <w:rPr>
                <w:rFonts w:ascii="Arial" w:hAnsi="Arial" w:cs="Arial"/>
                <w:sz w:val="20"/>
                <w:highlight w:val="yellow"/>
              </w:rPr>
            </w:pPr>
            <w:r w:rsidRPr="00384AF2">
              <w:rPr>
                <w:rFonts w:ascii="Arial" w:hAnsi="Arial" w:cs="Arial"/>
                <w:sz w:val="20"/>
              </w:rPr>
              <w:t>x</w:t>
            </w:r>
          </w:p>
        </w:tc>
        <w:tc>
          <w:tcPr>
            <w:tcW w:w="2946" w:type="dxa"/>
            <w:vAlign w:val="center"/>
          </w:tcPr>
          <w:p w14:paraId="59F27AB1" w14:textId="77777777" w:rsidR="00C2608F" w:rsidRPr="00384AF2" w:rsidRDefault="00C2608F" w:rsidP="00EA70DF">
            <w:pPr>
              <w:spacing w:before="0"/>
              <w:jc w:val="center"/>
              <w:rPr>
                <w:rFonts w:ascii="Arial" w:hAnsi="Arial" w:cs="Arial"/>
                <w:sz w:val="20"/>
                <w:highlight w:val="yellow"/>
              </w:rPr>
            </w:pPr>
          </w:p>
        </w:tc>
      </w:tr>
      <w:tr w:rsidR="00C2608F" w:rsidRPr="00BC102C" w14:paraId="4F9D805F" w14:textId="77777777" w:rsidTr="00EA70DF">
        <w:tc>
          <w:tcPr>
            <w:tcW w:w="3108" w:type="dxa"/>
            <w:shd w:val="clear" w:color="auto" w:fill="606060"/>
          </w:tcPr>
          <w:p w14:paraId="7D86590B" w14:textId="77777777" w:rsidR="00C2608F" w:rsidRPr="00BC102C" w:rsidRDefault="00C2608F" w:rsidP="00EA70DF">
            <w:pPr>
              <w:spacing w:before="0"/>
              <w:rPr>
                <w:rFonts w:ascii="Arial" w:hAnsi="Arial" w:cs="Arial"/>
                <w:color w:val="FFFFFF"/>
                <w:sz w:val="20"/>
              </w:rPr>
            </w:pPr>
            <w:r w:rsidRPr="00BC102C">
              <w:rPr>
                <w:rFonts w:ascii="Arial" w:hAnsi="Arial" w:cs="Arial"/>
                <w:color w:val="FFFFFF"/>
                <w:sz w:val="20"/>
              </w:rPr>
              <w:t>Settlement Infrastructure</w:t>
            </w:r>
          </w:p>
        </w:tc>
        <w:tc>
          <w:tcPr>
            <w:tcW w:w="3000" w:type="dxa"/>
            <w:vAlign w:val="center"/>
          </w:tcPr>
          <w:p w14:paraId="2612FB93" w14:textId="77777777" w:rsidR="00C2608F" w:rsidRPr="00BC102C" w:rsidRDefault="00C2608F" w:rsidP="00EA70DF">
            <w:pPr>
              <w:spacing w:before="0"/>
              <w:jc w:val="center"/>
              <w:rPr>
                <w:rFonts w:ascii="Arial" w:hAnsi="Arial" w:cs="Arial"/>
                <w:sz w:val="20"/>
              </w:rPr>
            </w:pPr>
          </w:p>
        </w:tc>
        <w:tc>
          <w:tcPr>
            <w:tcW w:w="2946" w:type="dxa"/>
            <w:vAlign w:val="center"/>
          </w:tcPr>
          <w:p w14:paraId="414A048E" w14:textId="77777777" w:rsidR="00C2608F" w:rsidRPr="00BC102C" w:rsidRDefault="00663F6B" w:rsidP="00EA70DF">
            <w:pPr>
              <w:spacing w:before="0"/>
              <w:jc w:val="center"/>
              <w:rPr>
                <w:rFonts w:ascii="Arial" w:hAnsi="Arial" w:cs="Arial"/>
                <w:sz w:val="20"/>
              </w:rPr>
            </w:pPr>
            <w:r w:rsidRPr="00BC102C">
              <w:rPr>
                <w:rFonts w:ascii="Arial" w:hAnsi="Arial" w:cs="Arial"/>
                <w:sz w:val="20"/>
              </w:rPr>
              <w:t>X</w:t>
            </w:r>
          </w:p>
        </w:tc>
      </w:tr>
      <w:tr w:rsidR="00C2608F" w:rsidRPr="00BC102C" w14:paraId="5CADC0FF" w14:textId="77777777" w:rsidTr="00EA70DF">
        <w:tc>
          <w:tcPr>
            <w:tcW w:w="3108" w:type="dxa"/>
            <w:shd w:val="clear" w:color="auto" w:fill="606060"/>
          </w:tcPr>
          <w:p w14:paraId="68528C9C" w14:textId="77777777" w:rsidR="00C2608F" w:rsidRPr="00BC102C" w:rsidRDefault="00C2608F" w:rsidP="00EA70DF">
            <w:pPr>
              <w:spacing w:before="0"/>
              <w:rPr>
                <w:rFonts w:ascii="Arial" w:hAnsi="Arial" w:cs="Arial"/>
                <w:color w:val="FFFFFF"/>
                <w:sz w:val="20"/>
              </w:rPr>
            </w:pPr>
            <w:r w:rsidRPr="00617C1F">
              <w:rPr>
                <w:rFonts w:ascii="Arial" w:hAnsi="Arial" w:cs="Arial"/>
                <w:color w:val="FFFFFF"/>
                <w:sz w:val="20"/>
              </w:rPr>
              <w:t>Settlement Infrastructure Direct Participant</w:t>
            </w:r>
          </w:p>
        </w:tc>
        <w:tc>
          <w:tcPr>
            <w:tcW w:w="3000" w:type="dxa"/>
            <w:vAlign w:val="center"/>
          </w:tcPr>
          <w:p w14:paraId="41E91D2E" w14:textId="77777777" w:rsidR="00C2608F" w:rsidRPr="00BC102C" w:rsidRDefault="00C2608F" w:rsidP="00EA70DF">
            <w:pPr>
              <w:spacing w:before="0"/>
              <w:jc w:val="center"/>
              <w:rPr>
                <w:rFonts w:ascii="Arial" w:hAnsi="Arial" w:cs="Arial"/>
                <w:sz w:val="20"/>
              </w:rPr>
            </w:pPr>
            <w:r>
              <w:rPr>
                <w:rFonts w:ascii="Arial" w:hAnsi="Arial" w:cs="Arial"/>
                <w:sz w:val="20"/>
              </w:rPr>
              <w:t>x</w:t>
            </w:r>
          </w:p>
        </w:tc>
        <w:tc>
          <w:tcPr>
            <w:tcW w:w="2946" w:type="dxa"/>
            <w:vAlign w:val="center"/>
          </w:tcPr>
          <w:p w14:paraId="271145C1" w14:textId="77777777" w:rsidR="00C2608F" w:rsidRPr="00BC102C" w:rsidRDefault="00C2608F" w:rsidP="00EA70DF">
            <w:pPr>
              <w:spacing w:before="0"/>
              <w:jc w:val="center"/>
              <w:rPr>
                <w:rFonts w:ascii="Arial" w:hAnsi="Arial" w:cs="Arial"/>
                <w:sz w:val="20"/>
              </w:rPr>
            </w:pPr>
          </w:p>
        </w:tc>
      </w:tr>
    </w:tbl>
    <w:p w14:paraId="10D1E635" w14:textId="77777777" w:rsidR="00C2608F" w:rsidRPr="00B95C2F" w:rsidRDefault="00C2608F" w:rsidP="00C2608F"/>
    <w:p w14:paraId="5F79447C" w14:textId="77777777" w:rsidR="001021F3" w:rsidRDefault="00C2608F" w:rsidP="00C2608F">
      <w:pPr>
        <w:autoSpaceDE w:val="0"/>
        <w:autoSpaceDN w:val="0"/>
        <w:adjustRightInd w:val="0"/>
        <w:spacing w:before="120"/>
        <w:jc w:val="both"/>
        <w:rPr>
          <w:color w:val="0070C0"/>
        </w:rPr>
      </w:pPr>
      <w:r w:rsidRPr="00B95C2F">
        <w:br w:type="page"/>
      </w:r>
    </w:p>
    <w:p w14:paraId="4A4542F4" w14:textId="77777777" w:rsidR="00746347" w:rsidRPr="006B1B55" w:rsidRDefault="0075384C" w:rsidP="007F385C">
      <w:pPr>
        <w:pStyle w:val="Heading1"/>
      </w:pPr>
      <w:bookmarkStart w:id="25" w:name="_Ref373494120"/>
      <w:bookmarkStart w:id="26" w:name="_Toc15292999"/>
      <w:proofErr w:type="spellStart"/>
      <w:r w:rsidRPr="006B1B55">
        <w:lastRenderedPageBreak/>
        <w:t>B</w:t>
      </w:r>
      <w:r w:rsidR="00DD0A65" w:rsidRPr="006B1B55">
        <w:t>usiness</w:t>
      </w:r>
      <w:r w:rsidR="00CD105E" w:rsidRPr="006B1B55">
        <w:t>P</w:t>
      </w:r>
      <w:r w:rsidR="000B5CDA" w:rsidRPr="006B1B55">
        <w:t>rocess</w:t>
      </w:r>
      <w:proofErr w:type="spellEnd"/>
      <w:r w:rsidRPr="006B1B55">
        <w:t xml:space="preserve"> </w:t>
      </w:r>
      <w:r w:rsidR="00CD105E" w:rsidRPr="006B1B55">
        <w:t>D</w:t>
      </w:r>
      <w:r w:rsidR="00B000D4" w:rsidRPr="006B1B55">
        <w:t>escription</w:t>
      </w:r>
      <w:bookmarkEnd w:id="25"/>
      <w:bookmarkEnd w:id="26"/>
    </w:p>
    <w:p w14:paraId="5E2678C9" w14:textId="77777777" w:rsidR="00FF65B3" w:rsidRDefault="00CD105E" w:rsidP="00BB5003">
      <w:pPr>
        <w:pStyle w:val="Heading2"/>
      </w:pPr>
      <w:bookmarkStart w:id="27" w:name="_Toc183937453"/>
      <w:bookmarkStart w:id="28" w:name="_Toc15293000"/>
      <w:proofErr w:type="spellStart"/>
      <w:r w:rsidRPr="006B1B55">
        <w:t>Business</w:t>
      </w:r>
      <w:r w:rsidR="0092566F" w:rsidRPr="006B1B55">
        <w:t>Process</w:t>
      </w:r>
      <w:proofErr w:type="spellEnd"/>
      <w:r w:rsidRPr="006B1B55">
        <w:t xml:space="preserve"> D</w:t>
      </w:r>
      <w:r w:rsidR="00FF65B3" w:rsidRPr="006B1B55">
        <w:t>iagram</w:t>
      </w:r>
      <w:bookmarkEnd w:id="27"/>
      <w:bookmarkEnd w:id="28"/>
    </w:p>
    <w:p w14:paraId="04F49150" w14:textId="77777777" w:rsidR="00D42305" w:rsidRPr="00D42305" w:rsidRDefault="00D42305" w:rsidP="00D42305">
      <w:pPr>
        <w:ind w:left="720"/>
      </w:pPr>
    </w:p>
    <w:p w14:paraId="357758D2" w14:textId="77777777" w:rsidR="00A0465E" w:rsidRPr="00A0465E" w:rsidRDefault="00A0465E" w:rsidP="00A0465E">
      <w:pPr>
        <w:autoSpaceDE w:val="0"/>
        <w:autoSpaceDN w:val="0"/>
        <w:adjustRightInd w:val="0"/>
        <w:spacing w:before="0"/>
        <w:jc w:val="both"/>
        <w:rPr>
          <w:rFonts w:ascii="Arial" w:hAnsi="Arial" w:cs="Arial"/>
          <w:sz w:val="20"/>
        </w:rPr>
      </w:pPr>
      <w:r w:rsidRPr="00A0465E">
        <w:rPr>
          <w:rFonts w:ascii="Arial" w:hAnsi="Arial" w:cs="Arial"/>
          <w:sz w:val="20"/>
        </w:rPr>
        <w:t>The following diagram gives an overview of different types of queries used within Central System:</w:t>
      </w:r>
    </w:p>
    <w:p w14:paraId="3E9730F4" w14:textId="77777777" w:rsidR="00A0465E" w:rsidRPr="00A0465E" w:rsidRDefault="00A0465E" w:rsidP="00A0465E">
      <w:pPr>
        <w:autoSpaceDE w:val="0"/>
        <w:autoSpaceDN w:val="0"/>
        <w:adjustRightInd w:val="0"/>
        <w:spacing w:before="0"/>
        <w:jc w:val="both"/>
        <w:rPr>
          <w:rFonts w:ascii="Arial" w:hAnsi="Arial" w:cs="Arial"/>
          <w:b/>
          <w:bCs/>
          <w:sz w:val="20"/>
        </w:rPr>
      </w:pPr>
    </w:p>
    <w:p w14:paraId="493DD11D" w14:textId="77777777" w:rsidR="00A0465E" w:rsidRPr="00A0465E" w:rsidRDefault="00A0465E" w:rsidP="00A0465E">
      <w:pPr>
        <w:autoSpaceDE w:val="0"/>
        <w:autoSpaceDN w:val="0"/>
        <w:adjustRightInd w:val="0"/>
        <w:spacing w:before="0"/>
        <w:jc w:val="both"/>
        <w:rPr>
          <w:rFonts w:ascii="Arial" w:hAnsi="Arial" w:cs="Arial"/>
          <w:bCs/>
          <w:sz w:val="20"/>
        </w:rPr>
      </w:pPr>
      <w:r w:rsidRPr="00A0465E">
        <w:rPr>
          <w:rFonts w:ascii="Arial" w:hAnsi="Arial" w:cs="Arial"/>
          <w:bCs/>
          <w:sz w:val="20"/>
          <w:u w:val="single"/>
        </w:rPr>
        <w:t>Settlement Instruction Queries:</w:t>
      </w:r>
      <w:r w:rsidRPr="00A0465E">
        <w:rPr>
          <w:rFonts w:ascii="Arial" w:hAnsi="Arial" w:cs="Arial"/>
          <w:bCs/>
          <w:sz w:val="20"/>
        </w:rPr>
        <w:t xml:space="preserve"> </w:t>
      </w:r>
    </w:p>
    <w:p w14:paraId="638C2285" w14:textId="77777777" w:rsidR="00A0465E" w:rsidRPr="00A0465E" w:rsidRDefault="00A0465E" w:rsidP="00A0465E">
      <w:pPr>
        <w:autoSpaceDE w:val="0"/>
        <w:autoSpaceDN w:val="0"/>
        <w:adjustRightInd w:val="0"/>
        <w:spacing w:before="0"/>
        <w:jc w:val="both"/>
        <w:rPr>
          <w:rFonts w:ascii="Arial" w:hAnsi="Arial" w:cs="Arial"/>
          <w:bCs/>
          <w:sz w:val="20"/>
        </w:rPr>
      </w:pPr>
    </w:p>
    <w:p w14:paraId="1215321E" w14:textId="77777777" w:rsidR="00A0465E" w:rsidRPr="00A0465E" w:rsidRDefault="00A0465E" w:rsidP="00A0465E">
      <w:pPr>
        <w:autoSpaceDE w:val="0"/>
        <w:autoSpaceDN w:val="0"/>
        <w:adjustRightInd w:val="0"/>
        <w:spacing w:before="0"/>
        <w:jc w:val="both"/>
        <w:rPr>
          <w:rFonts w:ascii="Arial" w:hAnsi="Arial" w:cs="Arial"/>
          <w:sz w:val="20"/>
        </w:rPr>
      </w:pPr>
      <w:r w:rsidRPr="00A0465E">
        <w:rPr>
          <w:rFonts w:ascii="Arial" w:hAnsi="Arial" w:cs="Arial"/>
          <w:sz w:val="20"/>
        </w:rPr>
        <w:t>Central System shall allow Central System Actors to perform queries on settlement instruction</w:t>
      </w:r>
      <w:r w:rsidR="0037021D">
        <w:rPr>
          <w:rFonts w:ascii="Arial" w:hAnsi="Arial" w:cs="Arial"/>
          <w:sz w:val="20"/>
        </w:rPr>
        <w:t>s</w:t>
      </w:r>
      <w:r w:rsidRPr="00A0465E">
        <w:rPr>
          <w:rFonts w:ascii="Arial" w:hAnsi="Arial" w:cs="Arial"/>
          <w:sz w:val="20"/>
        </w:rPr>
        <w:t xml:space="preserve"> based on the actor’s roles and privileges. For example, for System Actors all instructions that have been sent by either the  System Actor or by other Central System Actors that have been authorised by the System Actor to do so;</w:t>
      </w:r>
    </w:p>
    <w:p w14:paraId="52306EA8" w14:textId="77777777" w:rsidR="00A0465E" w:rsidRPr="00A0465E" w:rsidRDefault="00A0465E" w:rsidP="00A0465E">
      <w:pPr>
        <w:autoSpaceDE w:val="0"/>
        <w:autoSpaceDN w:val="0"/>
        <w:adjustRightInd w:val="0"/>
        <w:spacing w:before="0"/>
        <w:jc w:val="both"/>
        <w:rPr>
          <w:rFonts w:ascii="Arial" w:hAnsi="Arial" w:cs="Arial"/>
          <w:b/>
          <w:bCs/>
          <w:sz w:val="20"/>
        </w:rPr>
      </w:pPr>
    </w:p>
    <w:p w14:paraId="271200FE" w14:textId="77777777" w:rsidR="00A0465E" w:rsidRPr="00A0465E" w:rsidRDefault="00A0465E" w:rsidP="00A0465E">
      <w:pPr>
        <w:autoSpaceDE w:val="0"/>
        <w:autoSpaceDN w:val="0"/>
        <w:adjustRightInd w:val="0"/>
        <w:spacing w:before="0"/>
        <w:jc w:val="both"/>
        <w:rPr>
          <w:rFonts w:ascii="Arial" w:hAnsi="Arial" w:cs="Arial"/>
          <w:bCs/>
          <w:sz w:val="20"/>
          <w:u w:val="single"/>
        </w:rPr>
      </w:pPr>
      <w:r w:rsidRPr="00A0465E">
        <w:rPr>
          <w:rFonts w:ascii="Arial" w:hAnsi="Arial" w:cs="Arial"/>
          <w:bCs/>
          <w:sz w:val="20"/>
          <w:u w:val="single"/>
        </w:rPr>
        <w:t>Securities Account Position Queries:</w:t>
      </w:r>
    </w:p>
    <w:p w14:paraId="78BCE191" w14:textId="77777777" w:rsidR="00A0465E" w:rsidRPr="00A0465E" w:rsidRDefault="00A0465E" w:rsidP="00A0465E">
      <w:pPr>
        <w:autoSpaceDE w:val="0"/>
        <w:autoSpaceDN w:val="0"/>
        <w:adjustRightInd w:val="0"/>
        <w:spacing w:before="0"/>
        <w:jc w:val="both"/>
        <w:rPr>
          <w:rFonts w:ascii="Arial" w:hAnsi="Arial" w:cs="Arial"/>
          <w:bCs/>
          <w:sz w:val="20"/>
        </w:rPr>
      </w:pPr>
    </w:p>
    <w:p w14:paraId="01267AF4" w14:textId="77777777" w:rsidR="00A0465E" w:rsidRPr="00A0465E" w:rsidRDefault="00A0465E" w:rsidP="00A0465E">
      <w:pPr>
        <w:autoSpaceDE w:val="0"/>
        <w:autoSpaceDN w:val="0"/>
        <w:adjustRightInd w:val="0"/>
        <w:spacing w:before="0"/>
        <w:jc w:val="both"/>
        <w:rPr>
          <w:rFonts w:ascii="Arial" w:hAnsi="Arial" w:cs="Arial"/>
          <w:bCs/>
          <w:sz w:val="20"/>
          <w:u w:val="single"/>
        </w:rPr>
      </w:pPr>
      <w:r w:rsidRPr="00A0465E">
        <w:rPr>
          <w:rFonts w:ascii="Arial" w:hAnsi="Arial" w:cs="Arial"/>
          <w:sz w:val="20"/>
        </w:rPr>
        <w:t>System users of CSD Participants, CSDs as well as payment banks and NCBs are allowed to send Securities Account Position and Securities Account Position History Queries.</w:t>
      </w:r>
    </w:p>
    <w:p w14:paraId="3C479F1C" w14:textId="77777777" w:rsidR="00A0465E" w:rsidRPr="00A0465E" w:rsidRDefault="00A0465E" w:rsidP="00A0465E">
      <w:pPr>
        <w:autoSpaceDE w:val="0"/>
        <w:autoSpaceDN w:val="0"/>
        <w:adjustRightInd w:val="0"/>
        <w:spacing w:before="0"/>
        <w:jc w:val="both"/>
        <w:rPr>
          <w:rFonts w:ascii="Arial" w:hAnsi="Arial" w:cs="Arial"/>
          <w:bCs/>
          <w:sz w:val="20"/>
          <w:u w:val="single"/>
        </w:rPr>
      </w:pPr>
    </w:p>
    <w:p w14:paraId="22AFBF0E" w14:textId="77777777" w:rsidR="00A0465E" w:rsidRPr="00A0465E" w:rsidRDefault="00A0465E" w:rsidP="00A0465E">
      <w:pPr>
        <w:autoSpaceDE w:val="0"/>
        <w:autoSpaceDN w:val="0"/>
        <w:adjustRightInd w:val="0"/>
        <w:spacing w:before="0"/>
        <w:jc w:val="both"/>
        <w:rPr>
          <w:rFonts w:ascii="Arial" w:hAnsi="Arial" w:cs="Arial"/>
          <w:sz w:val="20"/>
        </w:rPr>
      </w:pPr>
      <w:r w:rsidRPr="00A0465E">
        <w:rPr>
          <w:rFonts w:ascii="Arial" w:hAnsi="Arial" w:cs="Arial"/>
          <w:bCs/>
          <w:sz w:val="20"/>
          <w:u w:val="single"/>
        </w:rPr>
        <w:t>Cash Related Queries:</w:t>
      </w:r>
      <w:r w:rsidRPr="00A0465E">
        <w:rPr>
          <w:rFonts w:ascii="Arial" w:hAnsi="Arial" w:cs="Arial"/>
          <w:sz w:val="20"/>
        </w:rPr>
        <w:t xml:space="preserve"> </w:t>
      </w:r>
    </w:p>
    <w:p w14:paraId="4B413EC6" w14:textId="77777777" w:rsidR="00A0465E" w:rsidRPr="00A0465E" w:rsidRDefault="00A0465E" w:rsidP="00A0465E">
      <w:pPr>
        <w:autoSpaceDE w:val="0"/>
        <w:autoSpaceDN w:val="0"/>
        <w:adjustRightInd w:val="0"/>
        <w:spacing w:before="0"/>
        <w:jc w:val="both"/>
        <w:rPr>
          <w:rFonts w:ascii="Arial" w:hAnsi="Arial" w:cs="Arial"/>
          <w:sz w:val="20"/>
        </w:rPr>
      </w:pPr>
    </w:p>
    <w:p w14:paraId="2111FEBC" w14:textId="77777777" w:rsidR="00A0465E" w:rsidRPr="00A0465E" w:rsidRDefault="00A0465E" w:rsidP="00A0465E">
      <w:pPr>
        <w:autoSpaceDE w:val="0"/>
        <w:autoSpaceDN w:val="0"/>
        <w:adjustRightInd w:val="0"/>
        <w:spacing w:before="0"/>
        <w:jc w:val="both"/>
        <w:rPr>
          <w:rFonts w:ascii="Arial" w:hAnsi="Arial" w:cs="Arial"/>
          <w:sz w:val="20"/>
        </w:rPr>
      </w:pPr>
      <w:r w:rsidRPr="00A0465E">
        <w:rPr>
          <w:rFonts w:ascii="Arial" w:hAnsi="Arial" w:cs="Arial"/>
          <w:sz w:val="20"/>
        </w:rPr>
        <w:t>Central System shall provide NCBs, settlement banks and payment banks, in accordance with their access rights, with the possibility to query e. g. the current balance of one or more Central System dedicated cash accounts.</w:t>
      </w:r>
    </w:p>
    <w:p w14:paraId="4A662CBE" w14:textId="77777777" w:rsidR="00A0465E" w:rsidRPr="00A0465E" w:rsidRDefault="00A0465E" w:rsidP="00A0465E">
      <w:pPr>
        <w:autoSpaceDE w:val="0"/>
        <w:autoSpaceDN w:val="0"/>
        <w:adjustRightInd w:val="0"/>
        <w:spacing w:before="0"/>
        <w:jc w:val="both"/>
        <w:rPr>
          <w:rFonts w:ascii="Arial" w:hAnsi="Arial" w:cs="Arial"/>
          <w:sz w:val="20"/>
        </w:rPr>
      </w:pPr>
    </w:p>
    <w:p w14:paraId="4CCF4293" w14:textId="77777777" w:rsidR="00A0465E" w:rsidRPr="00A0465E" w:rsidRDefault="00A0465E" w:rsidP="00A0465E">
      <w:pPr>
        <w:autoSpaceDE w:val="0"/>
        <w:autoSpaceDN w:val="0"/>
        <w:adjustRightInd w:val="0"/>
        <w:spacing w:before="0"/>
        <w:jc w:val="both"/>
        <w:rPr>
          <w:rFonts w:ascii="Arial" w:hAnsi="Arial" w:cs="Arial"/>
          <w:bCs/>
          <w:sz w:val="20"/>
          <w:u w:val="single"/>
        </w:rPr>
      </w:pPr>
      <w:r w:rsidRPr="00A0465E">
        <w:rPr>
          <w:rFonts w:ascii="Arial" w:hAnsi="Arial" w:cs="Arial"/>
          <w:bCs/>
          <w:sz w:val="20"/>
          <w:u w:val="single"/>
        </w:rPr>
        <w:t xml:space="preserve">Dynamic Data Queries: </w:t>
      </w:r>
    </w:p>
    <w:p w14:paraId="4639DB2B" w14:textId="77777777" w:rsidR="00A0465E" w:rsidRPr="00A0465E" w:rsidRDefault="00A0465E" w:rsidP="00A0465E">
      <w:pPr>
        <w:autoSpaceDE w:val="0"/>
        <w:autoSpaceDN w:val="0"/>
        <w:adjustRightInd w:val="0"/>
        <w:spacing w:before="0"/>
        <w:jc w:val="both"/>
        <w:rPr>
          <w:rFonts w:ascii="Arial" w:hAnsi="Arial" w:cs="Arial"/>
          <w:sz w:val="20"/>
          <w:u w:val="single"/>
        </w:rPr>
      </w:pPr>
    </w:p>
    <w:p w14:paraId="3499CB53" w14:textId="77777777" w:rsidR="00A0465E" w:rsidRPr="00A0465E" w:rsidRDefault="00A0465E" w:rsidP="00A0465E">
      <w:pPr>
        <w:autoSpaceDE w:val="0"/>
        <w:autoSpaceDN w:val="0"/>
        <w:adjustRightInd w:val="0"/>
        <w:spacing w:before="0"/>
        <w:jc w:val="both"/>
        <w:rPr>
          <w:rFonts w:ascii="Arial" w:hAnsi="Arial" w:cs="Arial"/>
          <w:sz w:val="20"/>
        </w:rPr>
      </w:pPr>
      <w:r w:rsidRPr="00A0465E">
        <w:rPr>
          <w:rFonts w:ascii="Arial" w:hAnsi="Arial" w:cs="Arial"/>
          <w:sz w:val="20"/>
        </w:rPr>
        <w:t xml:space="preserve">The only query in this section is the “Report Query”, which provides </w:t>
      </w:r>
      <w:proofErr w:type="gramStart"/>
      <w:r w:rsidRPr="00A0465E">
        <w:rPr>
          <w:rFonts w:ascii="Arial" w:hAnsi="Arial" w:cs="Arial"/>
          <w:sz w:val="20"/>
        </w:rPr>
        <w:t>a  System</w:t>
      </w:r>
      <w:proofErr w:type="gramEnd"/>
      <w:r w:rsidRPr="00A0465E">
        <w:rPr>
          <w:rFonts w:ascii="Arial" w:hAnsi="Arial" w:cs="Arial"/>
          <w:sz w:val="20"/>
        </w:rPr>
        <w:t xml:space="preserve"> user with the possibility to query the latest available report.</w:t>
      </w:r>
    </w:p>
    <w:p w14:paraId="0B1A0CAB" w14:textId="77777777" w:rsidR="00A0465E" w:rsidRPr="00A0465E" w:rsidRDefault="00A0465E" w:rsidP="00A0465E">
      <w:pPr>
        <w:autoSpaceDE w:val="0"/>
        <w:autoSpaceDN w:val="0"/>
        <w:adjustRightInd w:val="0"/>
        <w:spacing w:before="0"/>
        <w:jc w:val="both"/>
        <w:rPr>
          <w:rFonts w:ascii="Arial" w:hAnsi="Arial" w:cs="Arial"/>
          <w:bCs/>
          <w:sz w:val="20"/>
          <w:u w:val="single"/>
        </w:rPr>
      </w:pPr>
    </w:p>
    <w:p w14:paraId="0164A39D" w14:textId="77777777" w:rsidR="00A0465E" w:rsidRPr="00A0465E" w:rsidRDefault="00A0465E" w:rsidP="00A0465E">
      <w:pPr>
        <w:autoSpaceDE w:val="0"/>
        <w:autoSpaceDN w:val="0"/>
        <w:adjustRightInd w:val="0"/>
        <w:spacing w:before="0"/>
        <w:jc w:val="both"/>
        <w:rPr>
          <w:rFonts w:ascii="Arial" w:hAnsi="Arial" w:cs="Arial"/>
          <w:bCs/>
          <w:sz w:val="20"/>
          <w:u w:val="single"/>
        </w:rPr>
      </w:pPr>
    </w:p>
    <w:p w14:paraId="0CE566F3" w14:textId="77777777" w:rsidR="00A0465E" w:rsidRPr="00A0465E" w:rsidRDefault="00A0465E" w:rsidP="00A0465E">
      <w:pPr>
        <w:autoSpaceDE w:val="0"/>
        <w:autoSpaceDN w:val="0"/>
        <w:adjustRightInd w:val="0"/>
        <w:spacing w:before="0"/>
        <w:jc w:val="both"/>
        <w:rPr>
          <w:rFonts w:ascii="Arial" w:hAnsi="Arial" w:cs="Arial"/>
          <w:bCs/>
          <w:sz w:val="20"/>
          <w:u w:val="single"/>
        </w:rPr>
      </w:pPr>
      <w:r w:rsidRPr="00A0465E">
        <w:rPr>
          <w:rFonts w:ascii="Arial" w:hAnsi="Arial" w:cs="Arial"/>
          <w:bCs/>
          <w:sz w:val="20"/>
          <w:u w:val="single"/>
        </w:rPr>
        <w:t>Static Data Queries:</w:t>
      </w:r>
    </w:p>
    <w:p w14:paraId="57AB327F" w14:textId="77777777" w:rsidR="00A0465E" w:rsidRPr="00A0465E" w:rsidRDefault="00A0465E" w:rsidP="00A0465E">
      <w:pPr>
        <w:autoSpaceDE w:val="0"/>
        <w:autoSpaceDN w:val="0"/>
        <w:adjustRightInd w:val="0"/>
        <w:spacing w:before="0"/>
        <w:jc w:val="both"/>
        <w:rPr>
          <w:rFonts w:ascii="Arial" w:hAnsi="Arial" w:cs="Arial"/>
          <w:bCs/>
          <w:sz w:val="20"/>
          <w:u w:val="single"/>
        </w:rPr>
      </w:pPr>
    </w:p>
    <w:p w14:paraId="5DBD1CA5" w14:textId="77777777" w:rsidR="001215A5" w:rsidRPr="001215A5" w:rsidRDefault="00A0465E" w:rsidP="00A0465E">
      <w:pPr>
        <w:autoSpaceDE w:val="0"/>
        <w:autoSpaceDN w:val="0"/>
        <w:adjustRightInd w:val="0"/>
        <w:spacing w:before="0"/>
        <w:jc w:val="both"/>
        <w:rPr>
          <w:rFonts w:ascii="Arial" w:hAnsi="Arial" w:cs="Arial"/>
          <w:sz w:val="20"/>
        </w:rPr>
      </w:pPr>
      <w:r w:rsidRPr="00A0465E">
        <w:rPr>
          <w:rFonts w:ascii="Arial" w:hAnsi="Arial" w:cs="Arial"/>
          <w:sz w:val="20"/>
        </w:rPr>
        <w:t>Central System shall provide static data queries to all directly connected System actors. A  System Actor shall be able to perform only those queries for which the actor has the necessary privileges. The queries shall return only those data for which the System actor has the necessary access right.</w:t>
      </w:r>
    </w:p>
    <w:p w14:paraId="3B00DAAE" w14:textId="77777777" w:rsidR="001215A5" w:rsidRDefault="00EA70DF" w:rsidP="001215A5">
      <w:r>
        <w:rPr>
          <w:noProof/>
          <w:lang w:eastAsia="en-GB"/>
        </w:rPr>
        <w:lastRenderedPageBreak/>
        <mc:AlternateContent>
          <mc:Choice Requires="wps">
            <w:drawing>
              <wp:anchor distT="0" distB="0" distL="114300" distR="114300" simplePos="0" relativeHeight="251692032" behindDoc="0" locked="0" layoutInCell="1" allowOverlap="1" wp14:anchorId="2432E7AB" wp14:editId="4FEE60FD">
                <wp:simplePos x="0" y="0"/>
                <wp:positionH relativeFrom="column">
                  <wp:posOffset>2566035</wp:posOffset>
                </wp:positionH>
                <wp:positionV relativeFrom="line">
                  <wp:posOffset>3361690</wp:posOffset>
                </wp:positionV>
                <wp:extent cx="800100" cy="1371600"/>
                <wp:effectExtent l="19050" t="19050" r="19050" b="1905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371600"/>
                        </a:xfrm>
                        <a:prstGeom prst="rect">
                          <a:avLst/>
                        </a:prstGeom>
                        <a:noFill/>
                        <a:ln w="34925">
                          <a:solidFill>
                            <a:srgbClr val="33996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F051988" id="Rechteck 4" o:spid="_x0000_s1026" style="position:absolute;margin-left:202.05pt;margin-top:264.7pt;width:63pt;height:1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" filled="f" strokecolor="#396" strokeweight="2.75pt">
                <v:textbox inset=".5mm,.3mm,.5mm,.3mm"/>
                <w10:wrap anchory="line"/>
              </v:rect>
            </w:pict>
          </mc:Fallback>
        </mc:AlternateContent>
      </w:r>
      <w:r w:rsidR="00A0465E">
        <w:rPr>
          <w:noProof/>
          <w:lang w:eastAsia="en-GB"/>
        </w:rPr>
        <w:drawing>
          <wp:inline distT="0" distB="0" distL="0" distR="0" wp14:anchorId="070BA9E6" wp14:editId="658183D1">
            <wp:extent cx="5742940" cy="571246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22">
                      <a:extLst>
                        <a:ext uri="{28A0092B-C50C-407E-A947-70E740481C1C}">
                          <a14:useLocalDpi xmlns:a14="http://schemas.microsoft.com/office/drawing/2010/main" val="0"/>
                        </a:ext>
                      </a:extLst>
                    </a:blip>
                    <a:stretch>
                      <a:fillRect/>
                    </a:stretch>
                  </pic:blipFill>
                  <pic:spPr>
                    <a:xfrm>
                      <a:off x="0" y="0"/>
                      <a:ext cx="5742940" cy="5712460"/>
                    </a:xfrm>
                    <a:prstGeom prst="rect">
                      <a:avLst/>
                    </a:prstGeom>
                  </pic:spPr>
                </pic:pic>
              </a:graphicData>
            </a:graphic>
          </wp:inline>
        </w:drawing>
      </w:r>
    </w:p>
    <w:p w14:paraId="2AD21EE7" w14:textId="77777777" w:rsidR="001215A5" w:rsidRDefault="001215A5" w:rsidP="001215A5"/>
    <w:p w14:paraId="59F847A7" w14:textId="77777777" w:rsidR="009873E1" w:rsidRDefault="009873E1" w:rsidP="001215A5"/>
    <w:p w14:paraId="24E1B34D" w14:textId="77777777" w:rsidR="009873E1" w:rsidRDefault="009873E1" w:rsidP="001215A5"/>
    <w:p w14:paraId="01A85E74" w14:textId="77777777" w:rsidR="009873E1" w:rsidRDefault="009873E1" w:rsidP="001215A5"/>
    <w:p w14:paraId="333C3493" w14:textId="77777777" w:rsidR="009873E1" w:rsidRDefault="009873E1" w:rsidP="001215A5"/>
    <w:p w14:paraId="27B9BA3B" w14:textId="77777777" w:rsidR="009873E1" w:rsidRDefault="009873E1" w:rsidP="001215A5"/>
    <w:p w14:paraId="1B2A2BB6" w14:textId="77777777" w:rsidR="009873E1" w:rsidRDefault="009873E1" w:rsidP="001215A5"/>
    <w:p w14:paraId="3BDB9EC6" w14:textId="77777777" w:rsidR="009873E1" w:rsidRDefault="009873E1" w:rsidP="001215A5"/>
    <w:p w14:paraId="7366F638" w14:textId="77777777" w:rsidR="009873E1" w:rsidRDefault="009873E1" w:rsidP="001215A5"/>
    <w:p w14:paraId="5000B43C" w14:textId="77777777" w:rsidR="009873E1" w:rsidRDefault="009873E1" w:rsidP="001215A5"/>
    <w:p w14:paraId="460F3F3B" w14:textId="77777777" w:rsidR="009873E1" w:rsidRDefault="009873E1" w:rsidP="001215A5"/>
    <w:p w14:paraId="51F9A7AE" w14:textId="77777777" w:rsidR="001215A5" w:rsidRDefault="00A0465E" w:rsidP="00ED5B2F">
      <w:pPr>
        <w:pStyle w:val="Heading2"/>
      </w:pPr>
      <w:bookmarkStart w:id="29" w:name="_Toc15293001"/>
      <w:r>
        <w:lastRenderedPageBreak/>
        <w:t>Business process flow</w:t>
      </w:r>
      <w:bookmarkEnd w:id="29"/>
    </w:p>
    <w:p w14:paraId="71A2919A" w14:textId="77777777" w:rsidR="001215A5" w:rsidRPr="001215A5" w:rsidRDefault="001215A5" w:rsidP="001215A5">
      <w:pPr>
        <w:rPr>
          <w:rFonts w:ascii="Arial" w:hAnsi="Arial" w:cs="Arial"/>
          <w:sz w:val="20"/>
        </w:rPr>
      </w:pPr>
    </w:p>
    <w:p w14:paraId="04B8C785" w14:textId="77777777" w:rsidR="001215A5" w:rsidRDefault="00A0465E" w:rsidP="001215A5">
      <w:r w:rsidRPr="00A0465E">
        <w:rPr>
          <w:szCs w:val="24"/>
        </w:rPr>
        <w:object w:dxaOrig="8275" w:dyaOrig="10570" w14:anchorId="34AAC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28.75pt" o:ole="">
            <v:imagedata r:id="rId23" o:title=""/>
          </v:shape>
          <o:OLEObject Type="Embed" ProgID="Visio.Drawing.11" ShapeID="_x0000_i1025" DrawAspect="Content" ObjectID="_1625906104" r:id="rId24"/>
        </w:object>
      </w:r>
    </w:p>
    <w:p w14:paraId="3FCAF57C" w14:textId="77777777" w:rsidR="001F01F1" w:rsidRPr="00F1455C" w:rsidRDefault="0033542B" w:rsidP="001F01F1">
      <w:r w:rsidRPr="008B3BC4">
        <w:rPr>
          <w:sz w:val="20"/>
          <w:u w:val="single"/>
        </w:rPr>
        <w:br w:type="page"/>
      </w:r>
      <w:r w:rsidR="00D556A0">
        <w:rPr>
          <w:noProof/>
          <w:lang w:eastAsia="en-GB"/>
        </w:rPr>
        <mc:AlternateContent>
          <mc:Choice Requires="wps">
            <w:drawing>
              <wp:anchor distT="0" distB="0" distL="114300" distR="114300" simplePos="0" relativeHeight="251688960" behindDoc="0" locked="0" layoutInCell="1" allowOverlap="1" wp14:anchorId="17071EFB" wp14:editId="073C3AB6">
                <wp:simplePos x="0" y="0"/>
                <wp:positionH relativeFrom="column">
                  <wp:posOffset>2575118</wp:posOffset>
                </wp:positionH>
                <wp:positionV relativeFrom="line">
                  <wp:posOffset>6307096</wp:posOffset>
                </wp:positionV>
                <wp:extent cx="826936" cy="444500"/>
                <wp:effectExtent l="0" t="0" r="11430" b="12700"/>
                <wp:wrapNone/>
                <wp:docPr id="25" name="Rechteck 25"/>
                <wp:cNvGraphicFramePr/>
                <a:graphic xmlns:a="http://schemas.openxmlformats.org/drawingml/2006/main">
                  <a:graphicData uri="http://schemas.microsoft.com/office/word/2010/wordprocessingShape">
                    <wps:wsp>
                      <wps:cNvSpPr/>
                      <wps:spPr>
                        <a:xfrm>
                          <a:off x="0" y="0"/>
                          <a:ext cx="826936" cy="444500"/>
                        </a:xfrm>
                        <a:prstGeom prst="rect">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25F4B82" id="Rechteck 25" o:spid="_x0000_s1026" style="position:absolute;margin-left:202.75pt;margin-top:496.6pt;width:65.1pt;height:35pt;z-index:251688960;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" filled="f" strokecolor="#00b050" strokeweight="2pt">
                <w10:wrap anchory="line"/>
              </v:rect>
            </w:pict>
          </mc:Fallback>
        </mc:AlternateContent>
      </w:r>
      <w:r w:rsidR="00D556A0">
        <w:rPr>
          <w:noProof/>
          <w:lang w:eastAsia="en-GB"/>
        </w:rPr>
        <mc:AlternateContent>
          <mc:Choice Requires="wps">
            <w:drawing>
              <wp:anchor distT="0" distB="0" distL="114300" distR="114300" simplePos="0" relativeHeight="251691008" behindDoc="0" locked="0" layoutInCell="1" allowOverlap="1" wp14:anchorId="2CA4FC16" wp14:editId="506792A9">
                <wp:simplePos x="0" y="0"/>
                <wp:positionH relativeFrom="column">
                  <wp:posOffset>2702339</wp:posOffset>
                </wp:positionH>
                <wp:positionV relativeFrom="line">
                  <wp:posOffset>7714477</wp:posOffset>
                </wp:positionV>
                <wp:extent cx="850900" cy="620202"/>
                <wp:effectExtent l="0" t="0" r="25400" b="27940"/>
                <wp:wrapNone/>
                <wp:docPr id="26" name="Rechteck 26"/>
                <wp:cNvGraphicFramePr/>
                <a:graphic xmlns:a="http://schemas.openxmlformats.org/drawingml/2006/main">
                  <a:graphicData uri="http://schemas.microsoft.com/office/word/2010/wordprocessingShape">
                    <wps:wsp>
                      <wps:cNvSpPr/>
                      <wps:spPr>
                        <a:xfrm>
                          <a:off x="0" y="0"/>
                          <a:ext cx="850900" cy="620202"/>
                        </a:xfrm>
                        <a:prstGeom prst="rect">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BCA782A" id="Rechteck 26" o:spid="_x0000_s1026" style="position:absolute;margin-left:212.8pt;margin-top:607.45pt;width:67pt;height:48.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" filled="f" strokecolor="#00b050" strokeweight="2pt">
                <w10:wrap anchory="line"/>
              </v:rect>
            </w:pict>
          </mc:Fallback>
        </mc:AlternateContent>
      </w:r>
    </w:p>
    <w:p w14:paraId="68386A6A" w14:textId="77777777" w:rsidR="00792E75" w:rsidRPr="006B1B55" w:rsidRDefault="00CD105E" w:rsidP="0033542B">
      <w:pPr>
        <w:pStyle w:val="Heading1"/>
      </w:pPr>
      <w:bookmarkStart w:id="30" w:name="_Toc15293002"/>
      <w:r w:rsidRPr="006B1B55">
        <w:lastRenderedPageBreak/>
        <w:t xml:space="preserve">Description of </w:t>
      </w:r>
      <w:proofErr w:type="spellStart"/>
      <w:r w:rsidR="00DC12C7" w:rsidRPr="006B1B55">
        <w:t>Business</w:t>
      </w:r>
      <w:r w:rsidRPr="006B1B55">
        <w:t>A</w:t>
      </w:r>
      <w:r w:rsidR="00792E75" w:rsidRPr="006B1B55">
        <w:t>ctivities</w:t>
      </w:r>
      <w:bookmarkEnd w:id="30"/>
      <w:proofErr w:type="spellEnd"/>
    </w:p>
    <w:p w14:paraId="57575294" w14:textId="77777777" w:rsidR="005B2E5D" w:rsidRPr="006B1B55" w:rsidRDefault="005B2E5D" w:rsidP="005B2E5D">
      <w:pPr>
        <w:spacing w:before="0"/>
        <w:jc w:val="both"/>
        <w:rPr>
          <w:rFonts w:ascii="Arial" w:hAnsi="Arial" w:cs="Arial"/>
          <w:sz w:val="18"/>
        </w:rPr>
      </w:pPr>
      <w:r w:rsidRPr="006B1B55">
        <w:rPr>
          <w:rFonts w:ascii="Arial" w:hAnsi="Arial" w:cs="Arial"/>
          <w:sz w:val="18"/>
        </w:rPr>
        <w:t xml:space="preserve">This </w:t>
      </w:r>
      <w:r w:rsidR="00630324" w:rsidRPr="006B1B55">
        <w:rPr>
          <w:rFonts w:ascii="Arial" w:hAnsi="Arial" w:cs="Arial"/>
          <w:sz w:val="18"/>
        </w:rPr>
        <w:t xml:space="preserve">section presents the different </w:t>
      </w:r>
      <w:proofErr w:type="spellStart"/>
      <w:r w:rsidR="00630324" w:rsidRPr="006B1B55">
        <w:rPr>
          <w:rFonts w:ascii="Arial" w:hAnsi="Arial" w:cs="Arial"/>
          <w:sz w:val="18"/>
        </w:rPr>
        <w:t>BusinessA</w:t>
      </w:r>
      <w:r w:rsidRPr="006B1B55">
        <w:rPr>
          <w:rFonts w:ascii="Arial" w:hAnsi="Arial" w:cs="Arial"/>
          <w:sz w:val="18"/>
        </w:rPr>
        <w:t>ctivities</w:t>
      </w:r>
      <w:proofErr w:type="spellEnd"/>
      <w:r w:rsidR="004736BD" w:rsidRPr="006B1B55">
        <w:rPr>
          <w:rFonts w:ascii="Arial" w:hAnsi="Arial" w:cs="Arial"/>
          <w:sz w:val="18"/>
        </w:rPr>
        <w:t xml:space="preserve"> within each </w:t>
      </w:r>
      <w:proofErr w:type="spellStart"/>
      <w:r w:rsidR="004736BD" w:rsidRPr="006B1B55">
        <w:rPr>
          <w:rFonts w:ascii="Arial" w:hAnsi="Arial" w:cs="Arial"/>
          <w:sz w:val="18"/>
        </w:rPr>
        <w:t>Business</w:t>
      </w:r>
      <w:r w:rsidRPr="006B1B55">
        <w:rPr>
          <w:rFonts w:ascii="Arial" w:hAnsi="Arial" w:cs="Arial"/>
          <w:sz w:val="18"/>
        </w:rPr>
        <w:t>Process</w:t>
      </w:r>
      <w:proofErr w:type="spellEnd"/>
      <w:r w:rsidRPr="006B1B55">
        <w:rPr>
          <w:rFonts w:ascii="Arial" w:hAnsi="Arial" w:cs="Arial"/>
          <w:sz w:val="18"/>
        </w:rPr>
        <w:t xml:space="preserve">. </w:t>
      </w:r>
      <w:proofErr w:type="spellStart"/>
      <w:r w:rsidR="00630324" w:rsidRPr="006B1B55">
        <w:rPr>
          <w:rFonts w:ascii="Arial" w:hAnsi="Arial" w:cs="Arial"/>
          <w:sz w:val="18"/>
        </w:rPr>
        <w:t>Business</w:t>
      </w:r>
      <w:r w:rsidRPr="006B1B55">
        <w:rPr>
          <w:rFonts w:ascii="Arial" w:hAnsi="Arial" w:cs="Arial"/>
          <w:sz w:val="18"/>
        </w:rPr>
        <w:t>Activities</w:t>
      </w:r>
      <w:proofErr w:type="spellEnd"/>
      <w:r w:rsidRPr="006B1B55">
        <w:rPr>
          <w:rFonts w:ascii="Arial" w:hAnsi="Arial" w:cs="Arial"/>
          <w:sz w:val="18"/>
        </w:rPr>
        <w:t xml:space="preserve"> of a process are described in swim lane diagrams and are referred in this document as activity diagrams.</w:t>
      </w:r>
    </w:p>
    <w:p w14:paraId="4C07CB16" w14:textId="77777777" w:rsidR="005B2E5D" w:rsidRPr="006B1B55" w:rsidRDefault="005B2E5D" w:rsidP="005B2E5D">
      <w:pPr>
        <w:spacing w:before="0"/>
        <w:jc w:val="both"/>
        <w:rPr>
          <w:rFonts w:ascii="Arial" w:hAnsi="Arial" w:cs="Arial"/>
          <w:sz w:val="18"/>
        </w:rPr>
      </w:pPr>
      <w:r w:rsidRPr="006B1B55">
        <w:rPr>
          <w:rFonts w:ascii="Arial" w:hAnsi="Arial" w:cs="Arial"/>
          <w:sz w:val="18"/>
        </w:rPr>
        <w:t>The development of an activity diagram is part of the ISO 20022 modelling process and allows capturing the requirements.</w:t>
      </w:r>
    </w:p>
    <w:p w14:paraId="6206E43B" w14:textId="77777777" w:rsidR="005B2E5D" w:rsidRPr="006B1B55" w:rsidRDefault="005B2E5D" w:rsidP="005B2E5D">
      <w:pPr>
        <w:spacing w:before="0"/>
        <w:jc w:val="both"/>
        <w:rPr>
          <w:rFonts w:ascii="Arial" w:hAnsi="Arial" w:cs="Arial"/>
          <w:sz w:val="18"/>
        </w:rPr>
      </w:pPr>
      <w:r w:rsidRPr="006B1B55">
        <w:rPr>
          <w:rFonts w:ascii="Arial" w:hAnsi="Arial" w:cs="Arial"/>
          <w:sz w:val="18"/>
        </w:rPr>
        <w:t xml:space="preserve">The activity diagram provides a zoom-in on the </w:t>
      </w:r>
      <w:proofErr w:type="spellStart"/>
      <w:r w:rsidR="00630324" w:rsidRPr="006B1B55">
        <w:rPr>
          <w:rFonts w:ascii="Arial" w:hAnsi="Arial" w:cs="Arial"/>
          <w:sz w:val="18"/>
        </w:rPr>
        <w:t>BusinessA</w:t>
      </w:r>
      <w:r w:rsidRPr="006B1B55">
        <w:rPr>
          <w:rFonts w:ascii="Arial" w:hAnsi="Arial" w:cs="Arial"/>
          <w:sz w:val="18"/>
        </w:rPr>
        <w:t>ctivities</w:t>
      </w:r>
      <w:proofErr w:type="spellEnd"/>
      <w:r w:rsidRPr="006B1B55">
        <w:rPr>
          <w:rFonts w:ascii="Arial" w:hAnsi="Arial" w:cs="Arial"/>
          <w:sz w:val="18"/>
        </w:rPr>
        <w:t xml:space="preserve"> taking place during each of the </w:t>
      </w:r>
      <w:proofErr w:type="spellStart"/>
      <w:r w:rsidR="00630324" w:rsidRPr="006B1B55">
        <w:rPr>
          <w:rFonts w:ascii="Arial" w:hAnsi="Arial" w:cs="Arial"/>
          <w:sz w:val="18"/>
        </w:rPr>
        <w:t>BusinessProcesses</w:t>
      </w:r>
      <w:proofErr w:type="spellEnd"/>
      <w:r w:rsidR="00630324" w:rsidRPr="006B1B55">
        <w:rPr>
          <w:rFonts w:ascii="Arial" w:hAnsi="Arial" w:cs="Arial"/>
          <w:sz w:val="18"/>
        </w:rPr>
        <w:t xml:space="preserve"> described in</w:t>
      </w:r>
      <w:r w:rsidR="0042665B">
        <w:rPr>
          <w:rFonts w:ascii="Arial" w:hAnsi="Arial" w:cs="Arial"/>
          <w:sz w:val="18"/>
        </w:rPr>
        <w:t xml:space="preserve"> the following sections</w:t>
      </w:r>
      <w:r w:rsidRPr="006B1B55">
        <w:rPr>
          <w:rFonts w:ascii="Arial" w:hAnsi="Arial" w:cs="Arial"/>
          <w:sz w:val="18"/>
        </w:rPr>
        <w:t xml:space="preserve">. It also shows the </w:t>
      </w:r>
      <w:proofErr w:type="spellStart"/>
      <w:r w:rsidR="00630324" w:rsidRPr="006B1B55">
        <w:rPr>
          <w:rFonts w:ascii="Arial" w:hAnsi="Arial" w:cs="Arial"/>
          <w:sz w:val="18"/>
        </w:rPr>
        <w:t>BusinessA</w:t>
      </w:r>
      <w:r w:rsidRPr="006B1B55">
        <w:rPr>
          <w:rFonts w:ascii="Arial" w:hAnsi="Arial" w:cs="Arial"/>
          <w:sz w:val="18"/>
        </w:rPr>
        <w:t>ctivities</w:t>
      </w:r>
      <w:proofErr w:type="spellEnd"/>
      <w:r w:rsidRPr="006B1B55">
        <w:rPr>
          <w:rFonts w:ascii="Arial" w:hAnsi="Arial" w:cs="Arial"/>
          <w:sz w:val="18"/>
        </w:rPr>
        <w:t xml:space="preserve"> that are triggered when another </w:t>
      </w:r>
      <w:proofErr w:type="spellStart"/>
      <w:r w:rsidR="00630324" w:rsidRPr="006B1B55">
        <w:rPr>
          <w:rFonts w:ascii="Arial" w:hAnsi="Arial" w:cs="Arial"/>
          <w:sz w:val="18"/>
        </w:rPr>
        <w:t>BusinessA</w:t>
      </w:r>
      <w:r w:rsidR="00FF6984" w:rsidRPr="006B1B55">
        <w:rPr>
          <w:rFonts w:ascii="Arial" w:hAnsi="Arial" w:cs="Arial"/>
          <w:sz w:val="18"/>
        </w:rPr>
        <w:t>c</w:t>
      </w:r>
      <w:r w:rsidRPr="006B1B55">
        <w:rPr>
          <w:rFonts w:ascii="Arial" w:hAnsi="Arial" w:cs="Arial"/>
          <w:sz w:val="18"/>
        </w:rPr>
        <w:t>tivity</w:t>
      </w:r>
      <w:proofErr w:type="spellEnd"/>
      <w:r w:rsidRPr="006B1B55">
        <w:rPr>
          <w:rFonts w:ascii="Arial" w:hAnsi="Arial" w:cs="Arial"/>
          <w:sz w:val="18"/>
        </w:rPr>
        <w:t xml:space="preserve"> has a negative result.</w:t>
      </w:r>
    </w:p>
    <w:p w14:paraId="3D6E9216" w14:textId="77777777" w:rsidR="005B2E5D" w:rsidRPr="006B1B55" w:rsidRDefault="005B2E5D" w:rsidP="005B2E5D">
      <w:pPr>
        <w:spacing w:before="0"/>
        <w:jc w:val="both"/>
        <w:rPr>
          <w:rFonts w:ascii="Arial" w:hAnsi="Arial" w:cs="Arial"/>
          <w:sz w:val="18"/>
        </w:rPr>
      </w:pPr>
      <w:r w:rsidRPr="006B1B55">
        <w:rPr>
          <w:rFonts w:ascii="Arial" w:hAnsi="Arial" w:cs="Arial"/>
          <w:sz w:val="18"/>
        </w:rPr>
        <w:t>What is the activity diagram about?</w:t>
      </w:r>
    </w:p>
    <w:p w14:paraId="55E729FC"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It is a diagram representing the ‘common lifecycle’ of a </w:t>
      </w:r>
      <w:proofErr w:type="spellStart"/>
      <w:r w:rsidR="00630324" w:rsidRPr="006B1B55">
        <w:rPr>
          <w:rFonts w:ascii="Arial" w:hAnsi="Arial" w:cs="Arial"/>
          <w:sz w:val="18"/>
        </w:rPr>
        <w:t>B</w:t>
      </w:r>
      <w:r w:rsidRPr="006B1B55">
        <w:rPr>
          <w:rFonts w:ascii="Arial" w:hAnsi="Arial" w:cs="Arial"/>
          <w:sz w:val="18"/>
        </w:rPr>
        <w:t>usiness</w:t>
      </w:r>
      <w:r w:rsidR="00630324" w:rsidRPr="006B1B55">
        <w:rPr>
          <w:rFonts w:ascii="Arial" w:hAnsi="Arial" w:cs="Arial"/>
          <w:sz w:val="18"/>
        </w:rPr>
        <w:t>P</w:t>
      </w:r>
      <w:r w:rsidRPr="006B1B55">
        <w:rPr>
          <w:rFonts w:ascii="Arial" w:hAnsi="Arial" w:cs="Arial"/>
          <w:sz w:val="18"/>
        </w:rPr>
        <w:t>rocess</w:t>
      </w:r>
      <w:proofErr w:type="spellEnd"/>
    </w:p>
    <w:p w14:paraId="20429A24"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A start point </w:t>
      </w:r>
      <w:r w:rsidRPr="006B1B55">
        <w:rPr>
          <w:rFonts w:ascii="Arial" w:hAnsi="Arial" w:cs="Arial"/>
          <w:sz w:val="18"/>
        </w:rPr>
        <w:sym w:font="Wingdings" w:char="F06C"/>
      </w:r>
      <w:r w:rsidRPr="006B1B55">
        <w:rPr>
          <w:rFonts w:ascii="Arial" w:hAnsi="Arial" w:cs="Arial"/>
          <w:sz w:val="18"/>
        </w:rPr>
        <w:t xml:space="preserve"> shows where the lifecycle of the </w:t>
      </w:r>
      <w:proofErr w:type="spellStart"/>
      <w:r w:rsidR="00FF6984" w:rsidRPr="006B1B55">
        <w:rPr>
          <w:rFonts w:ascii="Arial" w:hAnsi="Arial" w:cs="Arial"/>
          <w:sz w:val="18"/>
        </w:rPr>
        <w:t>B</w:t>
      </w:r>
      <w:r w:rsidRPr="006B1B55">
        <w:rPr>
          <w:rFonts w:ascii="Arial" w:hAnsi="Arial" w:cs="Arial"/>
          <w:sz w:val="18"/>
        </w:rPr>
        <w:t>usiness</w:t>
      </w:r>
      <w:r w:rsidR="00FF6984" w:rsidRPr="006B1B55">
        <w:rPr>
          <w:rFonts w:ascii="Arial" w:hAnsi="Arial" w:cs="Arial"/>
          <w:sz w:val="18"/>
        </w:rPr>
        <w:t>P</w:t>
      </w:r>
      <w:r w:rsidRPr="006B1B55">
        <w:rPr>
          <w:rFonts w:ascii="Arial" w:hAnsi="Arial" w:cs="Arial"/>
          <w:sz w:val="18"/>
        </w:rPr>
        <w:t>rocess</w:t>
      </w:r>
      <w:proofErr w:type="spellEnd"/>
      <w:r w:rsidRPr="006B1B55">
        <w:rPr>
          <w:rFonts w:ascii="Arial" w:hAnsi="Arial" w:cs="Arial"/>
          <w:sz w:val="18"/>
        </w:rPr>
        <w:t xml:space="preserve"> commences and the end points show </w:t>
      </w:r>
      <w:r w:rsidRPr="006B1B55">
        <w:rPr>
          <w:rFonts w:ascii="Arial" w:hAnsi="Arial" w:cs="Arial"/>
          <w:noProof/>
          <w:sz w:val="18"/>
          <w:lang w:eastAsia="en-GB"/>
        </w:rPr>
        <w:drawing>
          <wp:inline distT="0" distB="0" distL="0" distR="0" wp14:anchorId="30723FDA" wp14:editId="2A085B99">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5"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6B1B55">
        <w:rPr>
          <w:rFonts w:ascii="Arial" w:hAnsi="Arial" w:cs="Arial"/>
          <w:sz w:val="18"/>
        </w:rPr>
        <w:t xml:space="preserve"> where the lifecycle may possibly end</w:t>
      </w:r>
    </w:p>
    <w:p w14:paraId="362018A4" w14:textId="77777777" w:rsidR="005B2E5D" w:rsidRPr="006B1B55" w:rsidRDefault="00113646" w:rsidP="005B2E5D">
      <w:pPr>
        <w:numPr>
          <w:ilvl w:val="0"/>
          <w:numId w:val="6"/>
        </w:numPr>
        <w:jc w:val="both"/>
        <w:rPr>
          <w:rFonts w:ascii="Arial" w:hAnsi="Arial" w:cs="Arial"/>
          <w:sz w:val="18"/>
        </w:rPr>
      </w:pPr>
      <w:r w:rsidRPr="006B1B55">
        <w:rPr>
          <w:rFonts w:ascii="Arial" w:hAnsi="Arial" w:cs="Arial"/>
          <w:noProof/>
          <w:sz w:val="18"/>
          <w:lang w:eastAsia="en-GB"/>
        </w:rPr>
        <mc:AlternateContent>
          <mc:Choice Requires="wps">
            <w:drawing>
              <wp:anchor distT="0" distB="0" distL="114300" distR="114300" simplePos="0" relativeHeight="251659264" behindDoc="0" locked="0" layoutInCell="1" allowOverlap="1" wp14:anchorId="1DAEC869" wp14:editId="554B3717">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AC77251"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6B1B55">
        <w:rPr>
          <w:rFonts w:ascii="Arial" w:hAnsi="Arial" w:cs="Arial"/>
          <w:sz w:val="18"/>
        </w:rPr>
        <w:t>A lozenge</w:t>
      </w:r>
      <w:r w:rsidR="005B2E5D" w:rsidRPr="006B1B55">
        <w:rPr>
          <w:rFonts w:ascii="Arial" w:hAnsi="Arial" w:cs="Arial"/>
          <w:noProof/>
          <w:sz w:val="22"/>
          <w:lang w:eastAsia="en-GB"/>
        </w:rPr>
        <w:t xml:space="preserve">      </w:t>
      </w:r>
      <w:r w:rsidR="005B2E5D" w:rsidRPr="006B1B55">
        <w:rPr>
          <w:rFonts w:ascii="Arial" w:hAnsi="Arial" w:cs="Arial"/>
          <w:sz w:val="18"/>
        </w:rPr>
        <w:t>means that a choice between several actions can be made</w:t>
      </w:r>
    </w:p>
    <w:p w14:paraId="085E22F3"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A bar </w:t>
      </w:r>
      <w:r w:rsidRPr="006B1B55">
        <w:rPr>
          <w:rFonts w:ascii="Arial" w:hAnsi="Arial" w:cs="Arial"/>
          <w:noProof/>
          <w:sz w:val="22"/>
          <w:lang w:eastAsia="en-GB"/>
        </w:rPr>
        <w:drawing>
          <wp:inline distT="0" distB="0" distL="0" distR="0" wp14:anchorId="418D4A1E" wp14:editId="646135CA">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6B1B55">
        <w:rPr>
          <w:rFonts w:ascii="Arial" w:hAnsi="Arial" w:cs="Arial"/>
          <w:sz w:val="18"/>
        </w:rPr>
        <w:t>means that several actions are initiated in parallel</w:t>
      </w:r>
    </w:p>
    <w:p w14:paraId="1E6F6FD0" w14:textId="77777777" w:rsidR="005B2E5D" w:rsidRPr="006B1B55" w:rsidRDefault="005B2E5D" w:rsidP="005B2E5D">
      <w:pPr>
        <w:numPr>
          <w:ilvl w:val="0"/>
          <w:numId w:val="6"/>
        </w:numPr>
        <w:jc w:val="both"/>
        <w:rPr>
          <w:rFonts w:ascii="Arial" w:hAnsi="Arial" w:cs="Arial"/>
          <w:sz w:val="18"/>
        </w:rPr>
      </w:pPr>
      <w:r w:rsidRPr="006B1B55">
        <w:rPr>
          <w:rFonts w:ascii="Arial" w:hAnsi="Arial" w:cs="Arial"/>
          <w:sz w:val="18"/>
        </w:rPr>
        <w:t xml:space="preserve">The flow of activities between the involved </w:t>
      </w:r>
      <w:r w:rsidR="00630324" w:rsidRPr="006B1B55">
        <w:rPr>
          <w:rFonts w:ascii="Arial" w:hAnsi="Arial" w:cs="Arial"/>
          <w:sz w:val="18"/>
        </w:rPr>
        <w:t>Participants</w:t>
      </w:r>
      <w:r w:rsidRPr="006B1B55">
        <w:rPr>
          <w:rFonts w:ascii="Arial" w:hAnsi="Arial" w:cs="Arial"/>
          <w:sz w:val="18"/>
        </w:rPr>
        <w:t xml:space="preserve"> (parties)</w:t>
      </w:r>
    </w:p>
    <w:p w14:paraId="3421467F" w14:textId="77777777" w:rsidR="005B2E5D" w:rsidRPr="006B1B55" w:rsidRDefault="00116790" w:rsidP="005B2E5D">
      <w:pPr>
        <w:numPr>
          <w:ilvl w:val="0"/>
          <w:numId w:val="6"/>
        </w:numPr>
        <w:jc w:val="both"/>
        <w:rPr>
          <w:rFonts w:ascii="Arial" w:hAnsi="Arial" w:cs="Arial"/>
          <w:sz w:val="18"/>
        </w:rPr>
      </w:pPr>
      <w:proofErr w:type="spellStart"/>
      <w:r w:rsidRPr="006B1B55">
        <w:rPr>
          <w:rFonts w:ascii="Arial" w:hAnsi="Arial" w:cs="Arial"/>
          <w:sz w:val="18"/>
        </w:rPr>
        <w:t>Business</w:t>
      </w:r>
      <w:r w:rsidR="005B2E5D" w:rsidRPr="006B1B55">
        <w:rPr>
          <w:rFonts w:ascii="Arial" w:hAnsi="Arial" w:cs="Arial"/>
          <w:sz w:val="18"/>
        </w:rPr>
        <w:t>Activities</w:t>
      </w:r>
      <w:proofErr w:type="spellEnd"/>
      <w:r w:rsidR="005B2E5D" w:rsidRPr="006B1B55">
        <w:rPr>
          <w:rFonts w:ascii="Arial" w:hAnsi="Arial" w:cs="Arial"/>
          <w:sz w:val="18"/>
        </w:rPr>
        <w:t xml:space="preserve"> may result in different actions, that is, information is conveyed from one party to another party.</w:t>
      </w:r>
    </w:p>
    <w:p w14:paraId="7B9A37FF" w14:textId="77777777" w:rsidR="005B2E5D" w:rsidRPr="006B1B55" w:rsidRDefault="005B2E5D" w:rsidP="005B2E5D">
      <w:pPr>
        <w:jc w:val="both"/>
        <w:rPr>
          <w:rFonts w:ascii="Arial" w:hAnsi="Arial" w:cs="Arial"/>
          <w:sz w:val="18"/>
        </w:rPr>
      </w:pPr>
      <w:r w:rsidRPr="006B1B55">
        <w:rPr>
          <w:rFonts w:ascii="Arial" w:hAnsi="Arial" w:cs="Arial"/>
          <w:sz w:val="18"/>
        </w:rPr>
        <w:t>Both in</w:t>
      </w:r>
      <w:r w:rsidR="00FF6984" w:rsidRPr="006B1B55">
        <w:rPr>
          <w:rFonts w:ascii="Arial" w:hAnsi="Arial" w:cs="Arial"/>
          <w:sz w:val="18"/>
        </w:rPr>
        <w:t>-</w:t>
      </w:r>
      <w:r w:rsidRPr="006B1B55">
        <w:rPr>
          <w:rFonts w:ascii="Arial" w:hAnsi="Arial" w:cs="Arial"/>
          <w:sz w:val="18"/>
        </w:rPr>
        <w:t>scope and out</w:t>
      </w:r>
      <w:r w:rsidR="00FF6984" w:rsidRPr="006B1B55">
        <w:rPr>
          <w:rFonts w:ascii="Arial" w:hAnsi="Arial" w:cs="Arial"/>
          <w:sz w:val="18"/>
        </w:rPr>
        <w:t>-</w:t>
      </w:r>
      <w:r w:rsidRPr="006B1B55">
        <w:rPr>
          <w:rFonts w:ascii="Arial" w:hAnsi="Arial" w:cs="Arial"/>
          <w:sz w:val="18"/>
        </w:rPr>
        <w:t>of</w:t>
      </w:r>
      <w:r w:rsidR="00FF6984" w:rsidRPr="006B1B55">
        <w:rPr>
          <w:rFonts w:ascii="Arial" w:hAnsi="Arial" w:cs="Arial"/>
          <w:sz w:val="18"/>
        </w:rPr>
        <w:t>-</w:t>
      </w:r>
      <w:r w:rsidRPr="006B1B55">
        <w:rPr>
          <w:rFonts w:ascii="Arial" w:hAnsi="Arial" w:cs="Arial"/>
          <w:sz w:val="18"/>
        </w:rPr>
        <w:t>scope activities are included, with a different level of details. There are no information requirements for out</w:t>
      </w:r>
      <w:r w:rsidR="00FF6984" w:rsidRPr="006B1B55">
        <w:rPr>
          <w:rFonts w:ascii="Arial" w:hAnsi="Arial" w:cs="Arial"/>
          <w:sz w:val="18"/>
        </w:rPr>
        <w:t>-</w:t>
      </w:r>
      <w:r w:rsidRPr="006B1B55">
        <w:rPr>
          <w:rFonts w:ascii="Arial" w:hAnsi="Arial" w:cs="Arial"/>
          <w:sz w:val="18"/>
        </w:rPr>
        <w:t>of</w:t>
      </w:r>
      <w:r w:rsidR="00FF6984" w:rsidRPr="006B1B55">
        <w:rPr>
          <w:rFonts w:ascii="Arial" w:hAnsi="Arial" w:cs="Arial"/>
          <w:sz w:val="18"/>
        </w:rPr>
        <w:t>-</w:t>
      </w:r>
      <w:r w:rsidRPr="006B1B55">
        <w:rPr>
          <w:rFonts w:ascii="Arial" w:hAnsi="Arial" w:cs="Arial"/>
          <w:sz w:val="18"/>
        </w:rPr>
        <w:t>scope activities, except that they should be clearly identified in the diagram.</w:t>
      </w:r>
    </w:p>
    <w:p w14:paraId="666324E0" w14:textId="77777777" w:rsidR="007949EC" w:rsidRDefault="005B2E5D" w:rsidP="007947D4">
      <w:pPr>
        <w:jc w:val="both"/>
        <w:rPr>
          <w:rFonts w:ascii="Arial" w:hAnsi="Arial" w:cs="Arial"/>
          <w:sz w:val="18"/>
        </w:rPr>
      </w:pPr>
      <w:r w:rsidRPr="006B1B55">
        <w:rPr>
          <w:rFonts w:ascii="Arial" w:hAnsi="Arial" w:cs="Arial"/>
          <w:sz w:val="18"/>
        </w:rPr>
        <w:t>Activity diagrams are always accompan</w:t>
      </w:r>
      <w:r w:rsidR="004736BD" w:rsidRPr="006B1B55">
        <w:rPr>
          <w:rFonts w:ascii="Arial" w:hAnsi="Arial" w:cs="Arial"/>
          <w:sz w:val="18"/>
        </w:rPr>
        <w:t xml:space="preserve">ied with a text describing the </w:t>
      </w:r>
      <w:proofErr w:type="spellStart"/>
      <w:r w:rsidR="004736BD" w:rsidRPr="006B1B55">
        <w:rPr>
          <w:rFonts w:ascii="Arial" w:hAnsi="Arial" w:cs="Arial"/>
          <w:sz w:val="18"/>
        </w:rPr>
        <w:t>BusinessA</w:t>
      </w:r>
      <w:r w:rsidRPr="006B1B55">
        <w:rPr>
          <w:rFonts w:ascii="Arial" w:hAnsi="Arial" w:cs="Arial"/>
          <w:sz w:val="18"/>
        </w:rPr>
        <w:t>ctivities</w:t>
      </w:r>
      <w:proofErr w:type="spellEnd"/>
      <w:r w:rsidRPr="006B1B55">
        <w:rPr>
          <w:rFonts w:ascii="Arial" w:hAnsi="Arial" w:cs="Arial"/>
          <w:sz w:val="18"/>
        </w:rPr>
        <w:t xml:space="preserve"> and their interactions.</w:t>
      </w:r>
    </w:p>
    <w:p w14:paraId="048A8D4E" w14:textId="77777777" w:rsidR="007949EC" w:rsidRDefault="007949EC" w:rsidP="007949EC">
      <w:pPr>
        <w:pStyle w:val="ProductName"/>
      </w:pPr>
      <w:r>
        <w:br w:type="page"/>
      </w:r>
    </w:p>
    <w:p w14:paraId="525B9A57" w14:textId="77777777" w:rsidR="007949EC" w:rsidRDefault="007949EC" w:rsidP="00EC70F9">
      <w:pPr>
        <w:pStyle w:val="Heading2"/>
      </w:pPr>
      <w:bookmarkStart w:id="31" w:name="_Toc286833141"/>
      <w:bookmarkStart w:id="32" w:name="_Toc15293003"/>
      <w:r>
        <w:lastRenderedPageBreak/>
        <w:t>Description of activities</w:t>
      </w:r>
      <w:bookmarkEnd w:id="31"/>
      <w:r>
        <w:t xml:space="preserve"> </w:t>
      </w:r>
      <w:r w:rsidR="00C00E0C">
        <w:t>– Query Management Process</w:t>
      </w:r>
      <w:bookmarkEnd w:id="32"/>
    </w:p>
    <w:p w14:paraId="1F3CCD81" w14:textId="77777777" w:rsidR="007949EC" w:rsidRDefault="00B91C42" w:rsidP="007949EC">
      <w:pPr>
        <w:tabs>
          <w:tab w:val="left" w:pos="0"/>
          <w:tab w:val="left" w:pos="1560"/>
        </w:tabs>
        <w:jc w:val="both"/>
        <w:rPr>
          <w:i/>
        </w:rPr>
      </w:pPr>
      <w:r w:rsidRPr="00B91C42">
        <w:rPr>
          <w:rFonts w:ascii="Arial" w:hAnsi="Arial" w:cs="Arial"/>
          <w:sz w:val="20"/>
        </w:rPr>
        <w:t>Notes: In the frame of Central System flow, instructing party corresponds to the direct participant, payment bank or CSD, the servicing/executing party or the receiving party is the settlement infrastructure who achieves the report query request.</w:t>
      </w:r>
    </w:p>
    <w:p w14:paraId="7AA495CB" w14:textId="77777777" w:rsidR="007949EC" w:rsidRDefault="007949EC" w:rsidP="007949EC"/>
    <w:p w14:paraId="171374F9" w14:textId="77777777" w:rsidR="007949EC" w:rsidRPr="007949EC" w:rsidRDefault="007949EC" w:rsidP="007949EC"/>
    <w:p w14:paraId="607B4168" w14:textId="77777777" w:rsidR="007949EC" w:rsidRDefault="00B91C42" w:rsidP="00B91C42">
      <w:pPr>
        <w:tabs>
          <w:tab w:val="left" w:pos="0"/>
          <w:tab w:val="left" w:pos="1560"/>
        </w:tabs>
        <w:jc w:val="both"/>
        <w:rPr>
          <w:szCs w:val="24"/>
        </w:rPr>
      </w:pPr>
      <w:r w:rsidRPr="00B91C42">
        <w:rPr>
          <w:szCs w:val="24"/>
        </w:rPr>
        <w:object w:dxaOrig="15062" w:dyaOrig="13493" w14:anchorId="00597EDF">
          <v:shape id="_x0000_i1026" type="#_x0000_t75" style="width:578.25pt;height:474.75pt" o:ole="">
            <v:imagedata r:id="rId27" o:title=""/>
          </v:shape>
          <o:OLEObject Type="Embed" ProgID="Visio.Drawing.11" ShapeID="_x0000_i1026" DrawAspect="Content" ObjectID="_1625906105" r:id="rId28"/>
        </w:object>
      </w:r>
    </w:p>
    <w:p w14:paraId="73892186" w14:textId="77777777" w:rsidR="009873E1" w:rsidRDefault="009873E1" w:rsidP="00B91C42">
      <w:pPr>
        <w:tabs>
          <w:tab w:val="left" w:pos="0"/>
          <w:tab w:val="left" w:pos="1560"/>
        </w:tabs>
        <w:jc w:val="both"/>
        <w:rPr>
          <w:szCs w:val="24"/>
        </w:rPr>
      </w:pPr>
    </w:p>
    <w:p w14:paraId="6ED7FD59" w14:textId="77777777" w:rsidR="009873E1" w:rsidRDefault="009873E1" w:rsidP="00B91C42">
      <w:pPr>
        <w:tabs>
          <w:tab w:val="left" w:pos="0"/>
          <w:tab w:val="left" w:pos="1560"/>
        </w:tabs>
        <w:jc w:val="both"/>
        <w:rPr>
          <w:szCs w:val="24"/>
        </w:rPr>
      </w:pPr>
    </w:p>
    <w:p w14:paraId="6F1F4048" w14:textId="77777777" w:rsidR="009873E1" w:rsidRDefault="009873E1" w:rsidP="00B91C42">
      <w:pPr>
        <w:tabs>
          <w:tab w:val="left" w:pos="0"/>
          <w:tab w:val="left" w:pos="1560"/>
        </w:tabs>
        <w:jc w:val="both"/>
        <w:rPr>
          <w:szCs w:val="24"/>
        </w:rPr>
      </w:pPr>
    </w:p>
    <w:p w14:paraId="1CF1FB3A" w14:textId="77777777" w:rsidR="00C00E0C" w:rsidRDefault="00C00E0C" w:rsidP="00B91C42">
      <w:pPr>
        <w:tabs>
          <w:tab w:val="left" w:pos="0"/>
          <w:tab w:val="left" w:pos="1560"/>
        </w:tabs>
        <w:jc w:val="both"/>
        <w:rPr>
          <w:szCs w:val="24"/>
        </w:rPr>
      </w:pPr>
    </w:p>
    <w:p w14:paraId="0A3F974C" w14:textId="77777777" w:rsidR="00C00E0C" w:rsidRDefault="00C00E0C" w:rsidP="00B91C42">
      <w:pPr>
        <w:tabs>
          <w:tab w:val="left" w:pos="0"/>
          <w:tab w:val="left" w:pos="1560"/>
        </w:tabs>
        <w:jc w:val="both"/>
        <w:rPr>
          <w:szCs w:val="24"/>
        </w:rPr>
      </w:pPr>
    </w:p>
    <w:p w14:paraId="449BED11" w14:textId="77777777" w:rsidR="009873E1" w:rsidRDefault="009873E1" w:rsidP="00B91C42">
      <w:pPr>
        <w:tabs>
          <w:tab w:val="left" w:pos="0"/>
          <w:tab w:val="left" w:pos="1560"/>
        </w:tabs>
        <w:jc w:val="both"/>
      </w:pPr>
    </w:p>
    <w:p w14:paraId="2CE27055" w14:textId="77777777" w:rsidR="007949EC" w:rsidRDefault="007949EC" w:rsidP="007949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961"/>
      </w:tblGrid>
      <w:tr w:rsidR="00EC70F9" w:rsidRPr="00BC102C" w14:paraId="35832872" w14:textId="77777777" w:rsidTr="00EC70F9">
        <w:tc>
          <w:tcPr>
            <w:tcW w:w="8613" w:type="dxa"/>
            <w:gridSpan w:val="2"/>
            <w:shd w:val="clear" w:color="auto" w:fill="E0E0E0"/>
          </w:tcPr>
          <w:p w14:paraId="05FC277A" w14:textId="77777777" w:rsidR="00EC70F9" w:rsidRPr="007949EC" w:rsidRDefault="00CC05DB" w:rsidP="00EC70F9">
            <w:pPr>
              <w:spacing w:before="60"/>
              <w:jc w:val="center"/>
              <w:rPr>
                <w:rFonts w:ascii="Arial" w:hAnsi="Arial" w:cs="Arial"/>
                <w:b/>
                <w:bCs/>
                <w:sz w:val="20"/>
              </w:rPr>
            </w:pPr>
            <w:r w:rsidRPr="00CC05DB">
              <w:rPr>
                <w:rFonts w:ascii="Arial" w:hAnsi="Arial" w:cs="Arial"/>
                <w:b/>
                <w:bCs/>
                <w:sz w:val="20"/>
              </w:rPr>
              <w:t>Description of the Business</w:t>
            </w:r>
            <w:r>
              <w:rPr>
                <w:rFonts w:ascii="Arial" w:hAnsi="Arial" w:cs="Arial"/>
                <w:b/>
                <w:bCs/>
                <w:sz w:val="20"/>
              </w:rPr>
              <w:t xml:space="preserve"> </w:t>
            </w:r>
            <w:r w:rsidRPr="00CC05DB">
              <w:rPr>
                <w:rFonts w:ascii="Arial" w:hAnsi="Arial" w:cs="Arial"/>
                <w:b/>
                <w:bCs/>
                <w:sz w:val="20"/>
              </w:rPr>
              <w:t>Activities</w:t>
            </w:r>
          </w:p>
        </w:tc>
      </w:tr>
      <w:tr w:rsidR="00EC70F9" w:rsidRPr="00BC102C" w14:paraId="2ABF420C" w14:textId="77777777" w:rsidTr="00EC70F9">
        <w:tc>
          <w:tcPr>
            <w:tcW w:w="3652" w:type="dxa"/>
            <w:shd w:val="clear" w:color="auto" w:fill="E0E0E0"/>
          </w:tcPr>
          <w:p w14:paraId="03B36EF1" w14:textId="77777777" w:rsidR="00EC70F9" w:rsidRPr="007949EC" w:rsidRDefault="00EC70F9" w:rsidP="00EC70F9">
            <w:pPr>
              <w:spacing w:before="60"/>
              <w:jc w:val="center"/>
              <w:rPr>
                <w:rFonts w:ascii="Arial" w:hAnsi="Arial" w:cs="Arial"/>
                <w:b/>
                <w:bCs/>
                <w:sz w:val="20"/>
              </w:rPr>
            </w:pPr>
            <w:r w:rsidRPr="007949EC">
              <w:rPr>
                <w:rFonts w:ascii="Arial" w:hAnsi="Arial" w:cs="Arial"/>
                <w:b/>
                <w:bCs/>
                <w:sz w:val="20"/>
              </w:rPr>
              <w:t>System Member</w:t>
            </w:r>
          </w:p>
        </w:tc>
        <w:tc>
          <w:tcPr>
            <w:tcW w:w="4961" w:type="dxa"/>
            <w:shd w:val="clear" w:color="auto" w:fill="E0E0E0"/>
          </w:tcPr>
          <w:p w14:paraId="15B3B8A5" w14:textId="77777777" w:rsidR="00EC70F9" w:rsidRPr="007949EC" w:rsidRDefault="00CC05DB" w:rsidP="00EC70F9">
            <w:pPr>
              <w:spacing w:before="60"/>
              <w:jc w:val="center"/>
              <w:rPr>
                <w:rFonts w:ascii="Arial" w:hAnsi="Arial" w:cs="Arial"/>
                <w:b/>
                <w:bCs/>
                <w:sz w:val="20"/>
              </w:rPr>
            </w:pPr>
            <w:r w:rsidRPr="00CC05DB">
              <w:rPr>
                <w:rFonts w:ascii="Arial" w:hAnsi="Arial" w:cs="Arial"/>
                <w:b/>
                <w:bCs/>
                <w:sz w:val="20"/>
              </w:rPr>
              <w:t>System Transaction Administrator</w:t>
            </w:r>
          </w:p>
        </w:tc>
      </w:tr>
      <w:tr w:rsidR="00EC70F9" w:rsidRPr="00BC102C" w14:paraId="01C64FE5" w14:textId="77777777" w:rsidTr="00EC70F9">
        <w:tc>
          <w:tcPr>
            <w:tcW w:w="3652" w:type="dxa"/>
          </w:tcPr>
          <w:p w14:paraId="0655915E" w14:textId="77777777" w:rsidR="00CC05DB" w:rsidRPr="00CC05DB" w:rsidRDefault="00CC05DB" w:rsidP="00CC05DB">
            <w:pPr>
              <w:spacing w:before="60"/>
              <w:jc w:val="both"/>
              <w:rPr>
                <w:rFonts w:ascii="Arial" w:hAnsi="Arial" w:cs="Arial"/>
                <w:b/>
                <w:sz w:val="20"/>
                <w:u w:val="single"/>
              </w:rPr>
            </w:pPr>
            <w:proofErr w:type="spellStart"/>
            <w:r w:rsidRPr="00CC05DB">
              <w:rPr>
                <w:rFonts w:ascii="Arial" w:hAnsi="Arial" w:cs="Arial"/>
                <w:b/>
                <w:sz w:val="20"/>
                <w:u w:val="single"/>
              </w:rPr>
              <w:t>CollateralValueQuery</w:t>
            </w:r>
            <w:proofErr w:type="spellEnd"/>
            <w:r w:rsidRPr="00CC05DB">
              <w:rPr>
                <w:rFonts w:ascii="Arial" w:hAnsi="Arial" w:cs="Arial"/>
                <w:b/>
                <w:sz w:val="20"/>
                <w:u w:val="single"/>
              </w:rPr>
              <w:t>:</w:t>
            </w:r>
          </w:p>
          <w:p w14:paraId="1BB66FCF" w14:textId="77777777" w:rsidR="00EC70F9" w:rsidRPr="007949EC" w:rsidRDefault="00CC05DB" w:rsidP="00CC05DB">
            <w:pPr>
              <w:spacing w:before="60"/>
              <w:jc w:val="both"/>
              <w:rPr>
                <w:rFonts w:ascii="Arial" w:hAnsi="Arial" w:cs="Arial"/>
                <w:sz w:val="20"/>
              </w:rPr>
            </w:pPr>
            <w:r w:rsidRPr="00CC05DB">
              <w:rPr>
                <w:rFonts w:ascii="Arial" w:hAnsi="Arial" w:cs="Arial"/>
                <w:sz w:val="20"/>
              </w:rPr>
              <w:t>Request for Information concerning collateral values on a specific account</w:t>
            </w:r>
          </w:p>
        </w:tc>
        <w:tc>
          <w:tcPr>
            <w:tcW w:w="4961" w:type="dxa"/>
          </w:tcPr>
          <w:p w14:paraId="40EC1591" w14:textId="77777777" w:rsidR="00CC05DB" w:rsidRPr="00CC05DB" w:rsidRDefault="00CC05DB" w:rsidP="00CC05DB">
            <w:pPr>
              <w:tabs>
                <w:tab w:val="center" w:pos="2391"/>
              </w:tabs>
              <w:spacing w:before="60"/>
              <w:jc w:val="both"/>
              <w:rPr>
                <w:rFonts w:ascii="Arial" w:hAnsi="Arial" w:cs="Arial"/>
                <w:sz w:val="20"/>
              </w:rPr>
            </w:pPr>
            <w:r w:rsidRPr="00CC05DB">
              <w:rPr>
                <w:rFonts w:ascii="Arial" w:hAnsi="Arial" w:cs="Arial"/>
                <w:b/>
                <w:sz w:val="20"/>
                <w:u w:val="single"/>
              </w:rPr>
              <w:t>Rejection message:</w:t>
            </w:r>
            <w:r w:rsidR="00BE57F4">
              <w:rPr>
                <w:rFonts w:ascii="Arial" w:hAnsi="Arial" w:cs="Arial"/>
                <w:sz w:val="20"/>
              </w:rPr>
              <w:t xml:space="preserve"> I</w:t>
            </w:r>
            <w:r w:rsidRPr="00CC05DB">
              <w:rPr>
                <w:rFonts w:ascii="Arial" w:hAnsi="Arial" w:cs="Arial"/>
                <w:sz w:val="20"/>
              </w:rPr>
              <w:t xml:space="preserve">nforms the instruction party (by error and description) in case if the instruction of </w:t>
            </w:r>
            <w:proofErr w:type="spellStart"/>
            <w:r w:rsidRPr="00CC05DB">
              <w:rPr>
                <w:rFonts w:ascii="Arial" w:hAnsi="Arial" w:cs="Arial"/>
                <w:sz w:val="20"/>
              </w:rPr>
              <w:t>CollateralValueQuery</w:t>
            </w:r>
            <w:proofErr w:type="spellEnd"/>
            <w:r w:rsidRPr="00CC05DB">
              <w:rPr>
                <w:rFonts w:ascii="Arial" w:hAnsi="Arial" w:cs="Arial"/>
                <w:sz w:val="20"/>
              </w:rPr>
              <w:t xml:space="preserve"> was not valid for processing.</w:t>
            </w:r>
          </w:p>
          <w:p w14:paraId="3C042C73" w14:textId="77777777" w:rsidR="00CC05DB" w:rsidRPr="00CC05DB" w:rsidRDefault="00CC05DB" w:rsidP="00CC05DB">
            <w:pPr>
              <w:tabs>
                <w:tab w:val="center" w:pos="2391"/>
              </w:tabs>
              <w:spacing w:before="60"/>
              <w:jc w:val="both"/>
              <w:rPr>
                <w:rFonts w:ascii="Arial" w:hAnsi="Arial" w:cs="Arial"/>
                <w:sz w:val="20"/>
              </w:rPr>
            </w:pPr>
            <w:r w:rsidRPr="00CC05DB">
              <w:rPr>
                <w:rFonts w:ascii="Arial" w:hAnsi="Arial" w:cs="Arial"/>
                <w:sz w:val="20"/>
              </w:rPr>
              <w:t>There could be three different reasons for a rejection message:</w:t>
            </w:r>
          </w:p>
          <w:p w14:paraId="072A0A47" w14:textId="77777777" w:rsidR="00CC05DB" w:rsidRPr="00CC05DB" w:rsidRDefault="00CC05DB" w:rsidP="00CC05DB">
            <w:pPr>
              <w:tabs>
                <w:tab w:val="center" w:pos="2391"/>
              </w:tabs>
              <w:spacing w:before="60"/>
              <w:jc w:val="both"/>
              <w:rPr>
                <w:rFonts w:ascii="Arial" w:hAnsi="Arial" w:cs="Arial"/>
                <w:sz w:val="20"/>
              </w:rPr>
            </w:pPr>
            <w:r w:rsidRPr="00CC05DB">
              <w:rPr>
                <w:rFonts w:ascii="Arial" w:hAnsi="Arial" w:cs="Arial"/>
                <w:sz w:val="20"/>
              </w:rPr>
              <w:t>- plausibility check not successful</w:t>
            </w:r>
          </w:p>
          <w:p w14:paraId="72D8F8BE" w14:textId="77777777" w:rsidR="00CC05DB" w:rsidRPr="00CC05DB" w:rsidRDefault="00CC05DB" w:rsidP="00CC05DB">
            <w:pPr>
              <w:tabs>
                <w:tab w:val="center" w:pos="2391"/>
              </w:tabs>
              <w:spacing w:before="60"/>
              <w:jc w:val="both"/>
              <w:rPr>
                <w:rFonts w:ascii="Arial" w:hAnsi="Arial" w:cs="Arial"/>
                <w:sz w:val="20"/>
              </w:rPr>
            </w:pPr>
            <w:r w:rsidRPr="00CC05DB">
              <w:rPr>
                <w:rFonts w:ascii="Arial" w:hAnsi="Arial" w:cs="Arial"/>
                <w:sz w:val="20"/>
              </w:rPr>
              <w:t>- permission check not successful</w:t>
            </w:r>
          </w:p>
          <w:p w14:paraId="08CB7EA6" w14:textId="77777777" w:rsidR="00EC70F9" w:rsidRPr="007949EC" w:rsidRDefault="00CC05DB" w:rsidP="00CC05DB">
            <w:pPr>
              <w:tabs>
                <w:tab w:val="center" w:pos="2391"/>
              </w:tabs>
              <w:spacing w:before="60"/>
              <w:jc w:val="both"/>
              <w:rPr>
                <w:rFonts w:ascii="Arial" w:hAnsi="Arial" w:cs="Arial"/>
                <w:sz w:val="20"/>
              </w:rPr>
            </w:pPr>
            <w:r w:rsidRPr="00CC05DB">
              <w:rPr>
                <w:rFonts w:ascii="Arial" w:hAnsi="Arial" w:cs="Arial"/>
                <w:sz w:val="20"/>
              </w:rPr>
              <w:t>- extracting process not successful</w:t>
            </w:r>
          </w:p>
        </w:tc>
      </w:tr>
      <w:tr w:rsidR="00EC70F9" w:rsidRPr="00BC102C" w14:paraId="01AFF8C0" w14:textId="77777777" w:rsidTr="00EC70F9">
        <w:tc>
          <w:tcPr>
            <w:tcW w:w="3652" w:type="dxa"/>
            <w:tcBorders>
              <w:bottom w:val="single" w:sz="4" w:space="0" w:color="auto"/>
            </w:tcBorders>
          </w:tcPr>
          <w:p w14:paraId="2FF3B067" w14:textId="77777777" w:rsidR="00EC70F9" w:rsidRPr="007949EC" w:rsidRDefault="00EC70F9" w:rsidP="00EC70F9">
            <w:pPr>
              <w:spacing w:before="60"/>
              <w:jc w:val="both"/>
              <w:rPr>
                <w:rFonts w:ascii="Arial" w:hAnsi="Arial" w:cs="Arial"/>
                <w:sz w:val="20"/>
              </w:rPr>
            </w:pPr>
          </w:p>
        </w:tc>
        <w:tc>
          <w:tcPr>
            <w:tcW w:w="4961" w:type="dxa"/>
            <w:tcBorders>
              <w:bottom w:val="single" w:sz="4" w:space="0" w:color="auto"/>
            </w:tcBorders>
          </w:tcPr>
          <w:p w14:paraId="32C31957" w14:textId="77777777" w:rsidR="00EC70F9" w:rsidRPr="007949EC" w:rsidRDefault="00CC05DB" w:rsidP="00CC05DB">
            <w:pPr>
              <w:tabs>
                <w:tab w:val="center" w:pos="2391"/>
              </w:tabs>
              <w:spacing w:before="60"/>
              <w:jc w:val="both"/>
              <w:rPr>
                <w:rFonts w:ascii="Arial" w:hAnsi="Arial" w:cs="Arial"/>
                <w:b/>
                <w:bCs/>
                <w:sz w:val="20"/>
                <w:u w:val="single"/>
              </w:rPr>
            </w:pPr>
            <w:proofErr w:type="spellStart"/>
            <w:r w:rsidRPr="00CC05DB">
              <w:rPr>
                <w:rFonts w:ascii="Arial" w:hAnsi="Arial" w:cs="Arial"/>
                <w:b/>
                <w:bCs/>
                <w:sz w:val="20"/>
                <w:u w:val="single"/>
              </w:rPr>
              <w:t>CollateralValueResponse</w:t>
            </w:r>
            <w:proofErr w:type="spellEnd"/>
            <w:r w:rsidRPr="00CC05DB">
              <w:rPr>
                <w:rFonts w:ascii="Arial" w:hAnsi="Arial" w:cs="Arial"/>
                <w:b/>
                <w:bCs/>
                <w:sz w:val="20"/>
                <w:u w:val="single"/>
              </w:rPr>
              <w:t>:</w:t>
            </w:r>
            <w:r w:rsidRPr="00CC05DB">
              <w:rPr>
                <w:rFonts w:ascii="Arial" w:hAnsi="Arial" w:cs="Arial"/>
                <w:bCs/>
                <w:sz w:val="20"/>
              </w:rPr>
              <w:t xml:space="preserve"> </w:t>
            </w:r>
            <w:r>
              <w:rPr>
                <w:rFonts w:ascii="Arial" w:hAnsi="Arial" w:cs="Arial"/>
                <w:bCs/>
                <w:sz w:val="20"/>
              </w:rPr>
              <w:t>D</w:t>
            </w:r>
            <w:r w:rsidRPr="00CC05DB">
              <w:rPr>
                <w:rFonts w:ascii="Arial" w:hAnsi="Arial" w:cs="Arial"/>
                <w:bCs/>
                <w:sz w:val="20"/>
              </w:rPr>
              <w:t>elivers the requested data, if available, to the infrastructure of the requesting system member</w:t>
            </w:r>
          </w:p>
        </w:tc>
      </w:tr>
    </w:tbl>
    <w:p w14:paraId="56E67E91" w14:textId="77777777" w:rsidR="007949EC" w:rsidRDefault="007949EC" w:rsidP="007949EC"/>
    <w:p w14:paraId="63926FF2" w14:textId="77777777" w:rsidR="007949EC" w:rsidRDefault="007949EC" w:rsidP="007949EC"/>
    <w:p w14:paraId="03DD7DA5" w14:textId="77777777" w:rsidR="007949EC" w:rsidRDefault="007949EC" w:rsidP="007949EC"/>
    <w:p w14:paraId="6329D78A" w14:textId="77777777" w:rsidR="007949EC" w:rsidRDefault="007949EC" w:rsidP="007949EC"/>
    <w:p w14:paraId="573EB69A" w14:textId="77777777" w:rsidR="007949EC" w:rsidRDefault="007949EC" w:rsidP="007949EC"/>
    <w:p w14:paraId="1BF01A3F" w14:textId="77777777" w:rsidR="007949EC" w:rsidRPr="008D325D" w:rsidRDefault="007949EC" w:rsidP="007949EC"/>
    <w:p w14:paraId="652BB6BB" w14:textId="77777777" w:rsidR="00C302FA" w:rsidRDefault="00C302FA" w:rsidP="00F77015">
      <w:pPr>
        <w:spacing w:before="240"/>
        <w:jc w:val="both"/>
      </w:pPr>
    </w:p>
    <w:p w14:paraId="590E0796" w14:textId="77777777" w:rsidR="00CC05DB" w:rsidRDefault="00CC05DB" w:rsidP="00F77015">
      <w:pPr>
        <w:spacing w:before="240"/>
        <w:jc w:val="both"/>
      </w:pPr>
    </w:p>
    <w:p w14:paraId="0A45F5AA" w14:textId="77777777" w:rsidR="00CC05DB" w:rsidRDefault="00CC05DB" w:rsidP="00F77015">
      <w:pPr>
        <w:spacing w:before="240"/>
        <w:jc w:val="both"/>
      </w:pPr>
    </w:p>
    <w:p w14:paraId="38EE2B03" w14:textId="77777777" w:rsidR="00CC05DB" w:rsidRDefault="00CC05DB" w:rsidP="00F77015">
      <w:pPr>
        <w:spacing w:before="240"/>
        <w:jc w:val="both"/>
      </w:pPr>
    </w:p>
    <w:p w14:paraId="23F4EB08" w14:textId="77777777" w:rsidR="00CC05DB" w:rsidRDefault="00CC05DB" w:rsidP="00F77015">
      <w:pPr>
        <w:spacing w:before="240"/>
        <w:jc w:val="both"/>
      </w:pPr>
    </w:p>
    <w:p w14:paraId="05E95CB0" w14:textId="77777777" w:rsidR="00CC05DB" w:rsidRDefault="00CC05DB" w:rsidP="00F77015">
      <w:pPr>
        <w:spacing w:before="240"/>
        <w:jc w:val="both"/>
      </w:pPr>
    </w:p>
    <w:p w14:paraId="64958A0D" w14:textId="77777777" w:rsidR="00CC05DB" w:rsidRDefault="00CC05DB" w:rsidP="00F77015">
      <w:pPr>
        <w:spacing w:before="240"/>
        <w:jc w:val="both"/>
      </w:pPr>
    </w:p>
    <w:p w14:paraId="57DE04D0" w14:textId="77777777" w:rsidR="00CC05DB" w:rsidRDefault="00CC05DB" w:rsidP="00F77015">
      <w:pPr>
        <w:spacing w:before="240"/>
        <w:jc w:val="both"/>
      </w:pPr>
    </w:p>
    <w:p w14:paraId="7B6B9592" w14:textId="77777777" w:rsidR="00CC05DB" w:rsidRDefault="00CC05DB" w:rsidP="00F77015">
      <w:pPr>
        <w:spacing w:before="240"/>
        <w:jc w:val="both"/>
      </w:pPr>
    </w:p>
    <w:p w14:paraId="69560576" w14:textId="77777777" w:rsidR="00CC05DB" w:rsidRDefault="00CC05DB" w:rsidP="00F77015">
      <w:pPr>
        <w:spacing w:before="240"/>
        <w:jc w:val="both"/>
      </w:pPr>
    </w:p>
    <w:p w14:paraId="241C70C9" w14:textId="77777777" w:rsidR="00CC05DB" w:rsidRDefault="00CC05DB" w:rsidP="00F77015">
      <w:pPr>
        <w:spacing w:before="240"/>
        <w:jc w:val="both"/>
      </w:pPr>
    </w:p>
    <w:p w14:paraId="721F9E97" w14:textId="77777777" w:rsidR="00CC05DB" w:rsidRDefault="00CC05DB" w:rsidP="00F77015">
      <w:pPr>
        <w:spacing w:before="240"/>
        <w:jc w:val="both"/>
      </w:pPr>
    </w:p>
    <w:p w14:paraId="42140350" w14:textId="77777777" w:rsidR="00CC05DB" w:rsidRDefault="00CC05DB" w:rsidP="00F77015">
      <w:pPr>
        <w:spacing w:before="240"/>
        <w:jc w:val="both"/>
      </w:pPr>
    </w:p>
    <w:p w14:paraId="14CFE2AA" w14:textId="77777777" w:rsidR="00CC05DB" w:rsidRDefault="00CC05DB" w:rsidP="00F77015">
      <w:pPr>
        <w:spacing w:before="240"/>
        <w:jc w:val="both"/>
      </w:pPr>
    </w:p>
    <w:p w14:paraId="06375BFE" w14:textId="77777777" w:rsidR="00CC05DB" w:rsidRDefault="00CC05DB" w:rsidP="00F77015">
      <w:pPr>
        <w:spacing w:before="240"/>
        <w:jc w:val="both"/>
      </w:pPr>
    </w:p>
    <w:p w14:paraId="14D0D6A6" w14:textId="77777777" w:rsidR="00CC05DB" w:rsidRDefault="00CC05DB" w:rsidP="00F77015">
      <w:pPr>
        <w:spacing w:before="240"/>
        <w:jc w:val="both"/>
      </w:pPr>
    </w:p>
    <w:p w14:paraId="2AC75AB3" w14:textId="77777777" w:rsidR="00721AE7" w:rsidRPr="006B1B55" w:rsidRDefault="00911DFF" w:rsidP="00CC05DB">
      <w:pPr>
        <w:pStyle w:val="Heading1"/>
      </w:pPr>
      <w:bookmarkStart w:id="33" w:name="_Toc15293004"/>
      <w:r w:rsidRPr="006B1B55">
        <w:lastRenderedPageBreak/>
        <w:t>Business</w:t>
      </w:r>
      <w:r w:rsidR="009D5E40">
        <w:t xml:space="preserve"> </w:t>
      </w:r>
      <w:r w:rsidRPr="006B1B55">
        <w:t>Transactions</w:t>
      </w:r>
      <w:bookmarkEnd w:id="33"/>
    </w:p>
    <w:p w14:paraId="3CEF47F0" w14:textId="77777777" w:rsidR="005B2E5D" w:rsidRDefault="005B2E5D" w:rsidP="00A52703">
      <w:pPr>
        <w:jc w:val="both"/>
        <w:rPr>
          <w:rFonts w:ascii="Arial" w:hAnsi="Arial" w:cs="Arial"/>
          <w:sz w:val="18"/>
        </w:rPr>
      </w:pPr>
      <w:bookmarkStart w:id="34" w:name="_Toc447529651"/>
      <w:bookmarkStart w:id="35" w:name="_Toc447530826"/>
      <w:bookmarkStart w:id="36" w:name="_Toc447531267"/>
      <w:bookmarkStart w:id="37" w:name="_Toc449841187"/>
      <w:bookmarkStart w:id="38" w:name="_Toc449841430"/>
      <w:bookmarkStart w:id="39" w:name="_Toc450819670"/>
      <w:bookmarkStart w:id="40" w:name="_Toc450974818"/>
      <w:bookmarkStart w:id="41" w:name="_Toc450979706"/>
      <w:bookmarkStart w:id="42" w:name="_Toc450980147"/>
      <w:bookmarkStart w:id="43" w:name="_Toc451158661"/>
      <w:r w:rsidRPr="006B1B55">
        <w:rPr>
          <w:rFonts w:ascii="Arial" w:hAnsi="Arial" w:cs="Arial"/>
          <w:sz w:val="18"/>
        </w:rPr>
        <w:t xml:space="preserve">This section describes the message flows based on the activity diagrams documented above. It shows the typical exchanges of information in the context of a </w:t>
      </w:r>
      <w:r w:rsidR="00911DFF" w:rsidRPr="006B1B55">
        <w:rPr>
          <w:rFonts w:ascii="Arial" w:hAnsi="Arial" w:cs="Arial"/>
          <w:sz w:val="18"/>
        </w:rPr>
        <w:t>Business</w:t>
      </w:r>
      <w:r w:rsidR="009D5E40">
        <w:rPr>
          <w:rFonts w:ascii="Arial" w:hAnsi="Arial" w:cs="Arial"/>
          <w:sz w:val="18"/>
        </w:rPr>
        <w:t xml:space="preserve"> </w:t>
      </w:r>
      <w:r w:rsidR="00911DFF" w:rsidRPr="006B1B55">
        <w:rPr>
          <w:rFonts w:ascii="Arial" w:hAnsi="Arial" w:cs="Arial"/>
          <w:sz w:val="18"/>
        </w:rPr>
        <w:t>T</w:t>
      </w:r>
      <w:r w:rsidRPr="006B1B55">
        <w:rPr>
          <w:rFonts w:ascii="Arial" w:hAnsi="Arial" w:cs="Arial"/>
          <w:sz w:val="18"/>
        </w:rPr>
        <w:t>ransaction.</w:t>
      </w:r>
    </w:p>
    <w:p w14:paraId="42A7A3E5" w14:textId="77777777" w:rsidR="00F22922" w:rsidRDefault="00F22922" w:rsidP="00A52703">
      <w:pPr>
        <w:jc w:val="both"/>
        <w:rPr>
          <w:rFonts w:ascii="Arial" w:hAnsi="Arial" w:cs="Arial"/>
          <w:sz w:val="18"/>
        </w:rPr>
      </w:pPr>
    </w:p>
    <w:p w14:paraId="34475CA3" w14:textId="77777777" w:rsidR="00797CF2" w:rsidRDefault="00797CF2" w:rsidP="00797CF2">
      <w:pPr>
        <w:jc w:val="center"/>
        <w:rPr>
          <w:szCs w:val="24"/>
        </w:rPr>
      </w:pPr>
      <w:r w:rsidRPr="00797CF2">
        <w:rPr>
          <w:szCs w:val="24"/>
        </w:rPr>
        <w:object w:dxaOrig="7171" w:dyaOrig="5184" w14:anchorId="0464E77D">
          <v:shape id="_x0000_i1027" type="#_x0000_t75" style="width:358.5pt;height:259.5pt" o:ole="">
            <v:imagedata r:id="rId29" o:title=""/>
          </v:shape>
          <o:OLEObject Type="Embed" ProgID="Visio.Drawing.11" ShapeID="_x0000_i1027" DrawAspect="Content" ObjectID="_1625906106" r:id="rId30"/>
        </w:object>
      </w:r>
    </w:p>
    <w:p w14:paraId="30B9A7E4" w14:textId="77777777" w:rsidR="004E69AC" w:rsidRDefault="00797CF2" w:rsidP="00F22922">
      <w:pPr>
        <w:autoSpaceDE w:val="0"/>
        <w:autoSpaceDN w:val="0"/>
        <w:adjustRightInd w:val="0"/>
      </w:pPr>
      <w:r>
        <w:t xml:space="preserve">As outlined above, an </w:t>
      </w:r>
      <w:r w:rsidRPr="00BC6664">
        <w:t>NCB</w:t>
      </w:r>
      <w:r>
        <w:t>, CSD</w:t>
      </w:r>
      <w:r w:rsidRPr="00BC6664">
        <w:t xml:space="preserve"> or directly connected </w:t>
      </w:r>
      <w:r>
        <w:t>Central System</w:t>
      </w:r>
      <w:r w:rsidRPr="00BC6664">
        <w:t xml:space="preserve"> party sends a </w:t>
      </w:r>
      <w:r>
        <w:t>Collateral V</w:t>
      </w:r>
      <w:r w:rsidRPr="00A24242">
        <w:t xml:space="preserve">alue </w:t>
      </w:r>
      <w:r w:rsidRPr="006F563F">
        <w:t>Query</w:t>
      </w:r>
      <w:r w:rsidRPr="00BC6664">
        <w:t xml:space="preserve"> to the </w:t>
      </w:r>
      <w:r>
        <w:t xml:space="preserve">Central System (e.g. </w:t>
      </w:r>
      <w:r w:rsidRPr="00BC6664">
        <w:t>T2S platform</w:t>
      </w:r>
      <w:r>
        <w:t>)</w:t>
      </w:r>
      <w:r w:rsidRPr="00BC6664">
        <w:t xml:space="preserve"> to request </w:t>
      </w:r>
      <w:r>
        <w:t xml:space="preserve">information on the </w:t>
      </w:r>
      <w:r w:rsidRPr="00797CF2">
        <w:t>current available value of securities for auto collateralisation.</w:t>
      </w:r>
      <w:r>
        <w:t xml:space="preserve"> The value will represent </w:t>
      </w:r>
      <w:r w:rsidRPr="004D6F4B">
        <w:t>the amount of intraday credit that a party may receive</w:t>
      </w:r>
      <w:r>
        <w:t xml:space="preserve"> through collateralising of their</w:t>
      </w:r>
      <w:r w:rsidRPr="004D6F4B">
        <w:t xml:space="preserve"> securities</w:t>
      </w:r>
      <w:r>
        <w:t>. Error Response or Collateral Value Response are both exclusive.</w:t>
      </w:r>
    </w:p>
    <w:p w14:paraId="5D6AA507" w14:textId="77777777" w:rsidR="00E87141" w:rsidRDefault="00E87141" w:rsidP="00E87141">
      <w:pPr>
        <w:autoSpaceDE w:val="0"/>
        <w:autoSpaceDN w:val="0"/>
        <w:adjustRightInd w:val="0"/>
        <w:spacing w:before="0"/>
        <w:jc w:val="both"/>
        <w:rPr>
          <w:rFonts w:ascii="Arial" w:hAnsi="Arial" w:cs="Arial"/>
          <w:sz w:val="20"/>
        </w:rPr>
      </w:pPr>
    </w:p>
    <w:p w14:paraId="5F49D728" w14:textId="77777777" w:rsidR="00580CDF" w:rsidRDefault="00F22922" w:rsidP="00F22922">
      <w:pPr>
        <w:autoSpaceDE w:val="0"/>
        <w:autoSpaceDN w:val="0"/>
        <w:adjustRightInd w:val="0"/>
        <w:spacing w:before="0"/>
        <w:jc w:val="both"/>
      </w:pPr>
      <w:r w:rsidRPr="00F22922">
        <w:t>An overview of the communication flow and sequence diagram can be found below:</w:t>
      </w:r>
    </w:p>
    <w:p w14:paraId="2ECFFCAA" w14:textId="77777777" w:rsidR="00545722" w:rsidRDefault="00797CF2" w:rsidP="00797CF2">
      <w:pPr>
        <w:jc w:val="center"/>
      </w:pPr>
      <w:r>
        <w:object w:dxaOrig="8623" w:dyaOrig="7309" w14:anchorId="2E115BE9">
          <v:shape id="_x0000_i1028" type="#_x0000_t75" style="width:506.25pt;height:329.25pt" o:ole="">
            <v:imagedata r:id="rId31" o:title=""/>
          </v:shape>
          <o:OLEObject Type="Embed" ProgID="Visio.Drawing.11" ShapeID="_x0000_i1028" DrawAspect="Content" ObjectID="_1625906107" r:id="rId32"/>
        </w:object>
      </w:r>
    </w:p>
    <w:p w14:paraId="7C1CC525" w14:textId="77777777" w:rsidR="00545722" w:rsidRDefault="00545722" w:rsidP="00545722"/>
    <w:p w14:paraId="76C40FE7" w14:textId="77777777" w:rsidR="00580CDF" w:rsidRDefault="00580CDF" w:rsidP="00580CDF"/>
    <w:p w14:paraId="5AA30DAC" w14:textId="77777777" w:rsidR="00580CDF" w:rsidRDefault="00580CDF" w:rsidP="00580CDF"/>
    <w:p w14:paraId="3C5069F5" w14:textId="77777777" w:rsidR="00545722" w:rsidRDefault="00545722" w:rsidP="00545722"/>
    <w:p w14:paraId="73FDBA1C" w14:textId="77777777" w:rsidR="00545722" w:rsidRDefault="00545722" w:rsidP="00545722"/>
    <w:p w14:paraId="67D9C9C4" w14:textId="77777777" w:rsidR="00DC18D1" w:rsidRDefault="00DC18D1">
      <w:pPr>
        <w:spacing w:before="0"/>
        <w:rPr>
          <w:rFonts w:ascii="Arial" w:hAnsi="Arial" w:cs="Arial"/>
          <w:b/>
          <w:color w:val="0070C0"/>
          <w:sz w:val="18"/>
        </w:rPr>
      </w:pPr>
      <w:r>
        <w:rPr>
          <w:rFonts w:cs="Arial"/>
          <w:color w:val="0070C0"/>
          <w:sz w:val="18"/>
        </w:rPr>
        <w:br w:type="page"/>
      </w:r>
    </w:p>
    <w:p w14:paraId="24263ECF" w14:textId="77777777" w:rsidR="00A55923" w:rsidRPr="00A55923" w:rsidRDefault="00A55923" w:rsidP="00A55923">
      <w:pPr>
        <w:rPr>
          <w:rFonts w:ascii="Arial" w:hAnsi="Arial" w:cs="Arial"/>
          <w:b/>
          <w:sz w:val="16"/>
          <w:szCs w:val="16"/>
        </w:rPr>
      </w:pPr>
    </w:p>
    <w:p w14:paraId="6A444292" w14:textId="77777777" w:rsidR="00082879" w:rsidRPr="00082879" w:rsidRDefault="00082879" w:rsidP="00082879">
      <w:pPr>
        <w:autoSpaceDE w:val="0"/>
        <w:autoSpaceDN w:val="0"/>
        <w:adjustRightInd w:val="0"/>
        <w:spacing w:before="0"/>
        <w:rPr>
          <w:rFonts w:ascii="Arial" w:hAnsi="Arial" w:cs="Arial"/>
          <w:sz w:val="16"/>
          <w:szCs w:val="16"/>
        </w:rPr>
      </w:pPr>
    </w:p>
    <w:p w14:paraId="57BABDCB" w14:textId="77777777" w:rsidR="005B2E5D" w:rsidRDefault="005B2E5D" w:rsidP="005B2E5D">
      <w:pPr>
        <w:pStyle w:val="Heading1"/>
      </w:pPr>
      <w:bookmarkStart w:id="44" w:name="_Toc348941504"/>
      <w:bookmarkStart w:id="45" w:name="_Toc15293005"/>
      <w:bookmarkEnd w:id="34"/>
      <w:bookmarkEnd w:id="35"/>
      <w:bookmarkEnd w:id="36"/>
      <w:bookmarkEnd w:id="37"/>
      <w:bookmarkEnd w:id="38"/>
      <w:bookmarkEnd w:id="39"/>
      <w:bookmarkEnd w:id="40"/>
      <w:bookmarkEnd w:id="41"/>
      <w:bookmarkEnd w:id="42"/>
      <w:bookmarkEnd w:id="43"/>
      <w:r w:rsidRPr="00AB186C">
        <w:t>Revision Record</w:t>
      </w:r>
      <w:bookmarkEnd w:id="44"/>
      <w:bookmarkEnd w:id="45"/>
    </w:p>
    <w:p w14:paraId="320FFE06" w14:textId="77777777" w:rsidR="005B2E5D" w:rsidRPr="00AB186C" w:rsidRDefault="005B2E5D" w:rsidP="005B2E5D">
      <w:pPr>
        <w:rPr>
          <w:rFonts w:ascii="Arial" w:hAnsi="Arial"/>
          <w:b/>
          <w:sz w:val="32"/>
        </w:rPr>
      </w:pPr>
    </w:p>
    <w:tbl>
      <w:tblPr>
        <w:tblStyle w:val="TableGrid"/>
        <w:tblW w:w="0" w:type="auto"/>
        <w:tblLook w:val="04A0" w:firstRow="1" w:lastRow="0" w:firstColumn="1" w:lastColumn="0" w:noHBand="0" w:noVBand="1"/>
      </w:tblPr>
      <w:tblGrid>
        <w:gridCol w:w="1837"/>
        <w:gridCol w:w="1845"/>
        <w:gridCol w:w="1885"/>
        <w:gridCol w:w="1857"/>
        <w:gridCol w:w="1836"/>
      </w:tblGrid>
      <w:tr w:rsidR="005B2E5D" w:rsidRPr="000A3BA9" w14:paraId="07DBD4B7" w14:textId="77777777" w:rsidTr="007A40BB">
        <w:tc>
          <w:tcPr>
            <w:tcW w:w="1903" w:type="dxa"/>
          </w:tcPr>
          <w:p w14:paraId="2A90E786" w14:textId="77777777" w:rsidR="005B2E5D" w:rsidRPr="000A3BA9" w:rsidRDefault="005B2E5D" w:rsidP="007A40BB">
            <w:pPr>
              <w:rPr>
                <w:rFonts w:ascii="Arial" w:hAnsi="Arial" w:cs="Arial"/>
                <w:b/>
                <w:sz w:val="20"/>
              </w:rPr>
            </w:pPr>
            <w:r w:rsidRPr="000A3BA9">
              <w:rPr>
                <w:rFonts w:ascii="Arial" w:hAnsi="Arial" w:cs="Arial"/>
                <w:b/>
                <w:sz w:val="20"/>
              </w:rPr>
              <w:t>Revision</w:t>
            </w:r>
          </w:p>
        </w:tc>
        <w:tc>
          <w:tcPr>
            <w:tcW w:w="1903" w:type="dxa"/>
          </w:tcPr>
          <w:p w14:paraId="140ED420" w14:textId="77777777" w:rsidR="005B2E5D" w:rsidRPr="000A3BA9" w:rsidRDefault="005B2E5D" w:rsidP="007A40BB">
            <w:pPr>
              <w:rPr>
                <w:rFonts w:ascii="Arial" w:hAnsi="Arial" w:cs="Arial"/>
                <w:b/>
                <w:sz w:val="20"/>
              </w:rPr>
            </w:pPr>
            <w:r w:rsidRPr="000A3BA9">
              <w:rPr>
                <w:rFonts w:ascii="Arial" w:hAnsi="Arial" w:cs="Arial"/>
                <w:b/>
                <w:sz w:val="20"/>
              </w:rPr>
              <w:t>Date</w:t>
            </w:r>
          </w:p>
        </w:tc>
        <w:tc>
          <w:tcPr>
            <w:tcW w:w="1903" w:type="dxa"/>
          </w:tcPr>
          <w:p w14:paraId="17EC9E4D" w14:textId="77777777" w:rsidR="005B2E5D" w:rsidRPr="000A3BA9" w:rsidRDefault="005B2E5D" w:rsidP="007A40BB">
            <w:pPr>
              <w:rPr>
                <w:rFonts w:ascii="Arial" w:hAnsi="Arial" w:cs="Arial"/>
                <w:b/>
                <w:sz w:val="20"/>
              </w:rPr>
            </w:pPr>
            <w:r w:rsidRPr="000A3BA9">
              <w:rPr>
                <w:rFonts w:ascii="Arial" w:hAnsi="Arial" w:cs="Arial"/>
                <w:b/>
                <w:sz w:val="20"/>
              </w:rPr>
              <w:t>Author</w:t>
            </w:r>
          </w:p>
        </w:tc>
        <w:tc>
          <w:tcPr>
            <w:tcW w:w="1903" w:type="dxa"/>
          </w:tcPr>
          <w:p w14:paraId="6B81BF2B" w14:textId="77777777" w:rsidR="005B2E5D" w:rsidRPr="000A3BA9" w:rsidRDefault="005B2E5D" w:rsidP="007A40BB">
            <w:pPr>
              <w:rPr>
                <w:rFonts w:ascii="Arial" w:hAnsi="Arial" w:cs="Arial"/>
                <w:b/>
                <w:sz w:val="20"/>
              </w:rPr>
            </w:pPr>
            <w:r w:rsidRPr="000A3BA9">
              <w:rPr>
                <w:rFonts w:ascii="Arial" w:hAnsi="Arial" w:cs="Arial"/>
                <w:b/>
                <w:sz w:val="20"/>
              </w:rPr>
              <w:t>Description</w:t>
            </w:r>
          </w:p>
        </w:tc>
        <w:tc>
          <w:tcPr>
            <w:tcW w:w="1903" w:type="dxa"/>
          </w:tcPr>
          <w:p w14:paraId="6B8FD499" w14:textId="77777777" w:rsidR="005B2E5D" w:rsidRPr="000A3BA9" w:rsidRDefault="005B2E5D" w:rsidP="007A40BB">
            <w:pPr>
              <w:rPr>
                <w:rFonts w:ascii="Arial" w:hAnsi="Arial" w:cs="Arial"/>
                <w:b/>
                <w:sz w:val="20"/>
              </w:rPr>
            </w:pPr>
            <w:r w:rsidRPr="000A3BA9">
              <w:rPr>
                <w:rFonts w:ascii="Arial" w:hAnsi="Arial" w:cs="Arial"/>
                <w:b/>
                <w:sz w:val="20"/>
              </w:rPr>
              <w:t>Sections affected</w:t>
            </w:r>
          </w:p>
        </w:tc>
      </w:tr>
      <w:tr w:rsidR="005B2E5D" w:rsidRPr="000A3BA9" w14:paraId="2B20FBEE" w14:textId="77777777" w:rsidTr="007A40BB">
        <w:tc>
          <w:tcPr>
            <w:tcW w:w="1903" w:type="dxa"/>
          </w:tcPr>
          <w:p w14:paraId="177C2FF3" w14:textId="77777777" w:rsidR="005B2E5D" w:rsidRPr="000A3BA9" w:rsidRDefault="005E03F0" w:rsidP="007A40BB">
            <w:pPr>
              <w:rPr>
                <w:rFonts w:ascii="Arial" w:hAnsi="Arial" w:cs="Arial"/>
                <w:sz w:val="18"/>
              </w:rPr>
            </w:pPr>
            <w:r>
              <w:rPr>
                <w:rFonts w:ascii="Arial" w:hAnsi="Arial" w:cs="Arial"/>
                <w:sz w:val="18"/>
              </w:rPr>
              <w:t>0.1</w:t>
            </w:r>
          </w:p>
        </w:tc>
        <w:tc>
          <w:tcPr>
            <w:tcW w:w="1903" w:type="dxa"/>
          </w:tcPr>
          <w:p w14:paraId="12482AFD" w14:textId="7C27F637" w:rsidR="005B2E5D" w:rsidRPr="000A3BA9" w:rsidRDefault="001675BF" w:rsidP="00F24DDF">
            <w:pPr>
              <w:rPr>
                <w:rFonts w:ascii="Arial" w:hAnsi="Arial" w:cs="Arial"/>
                <w:sz w:val="18"/>
              </w:rPr>
            </w:pPr>
            <w:r>
              <w:rPr>
                <w:rFonts w:ascii="Arial" w:hAnsi="Arial" w:cs="Arial"/>
                <w:sz w:val="18"/>
              </w:rPr>
              <w:t>15.03.</w:t>
            </w:r>
            <w:r w:rsidR="005E03F0">
              <w:rPr>
                <w:rFonts w:ascii="Arial" w:hAnsi="Arial" w:cs="Arial"/>
                <w:sz w:val="18"/>
              </w:rPr>
              <w:t>.201</w:t>
            </w:r>
            <w:r w:rsidR="00400DA2">
              <w:rPr>
                <w:rFonts w:ascii="Arial" w:hAnsi="Arial" w:cs="Arial"/>
                <w:sz w:val="18"/>
              </w:rPr>
              <w:t>9</w:t>
            </w:r>
          </w:p>
        </w:tc>
        <w:tc>
          <w:tcPr>
            <w:tcW w:w="1903" w:type="dxa"/>
          </w:tcPr>
          <w:p w14:paraId="75A5D7BE" w14:textId="77777777" w:rsidR="005B2E5D" w:rsidRPr="000A3BA9" w:rsidRDefault="005E03F0" w:rsidP="007A40BB">
            <w:pPr>
              <w:rPr>
                <w:rFonts w:ascii="Arial" w:hAnsi="Arial" w:cs="Arial"/>
                <w:sz w:val="18"/>
              </w:rPr>
            </w:pPr>
            <w:proofErr w:type="spellStart"/>
            <w:r>
              <w:rPr>
                <w:rFonts w:ascii="Arial" w:hAnsi="Arial" w:cs="Arial"/>
                <w:sz w:val="18"/>
              </w:rPr>
              <w:t>Beiermann</w:t>
            </w:r>
            <w:proofErr w:type="spellEnd"/>
            <w:r>
              <w:rPr>
                <w:rFonts w:ascii="Arial" w:hAnsi="Arial" w:cs="Arial"/>
                <w:sz w:val="18"/>
              </w:rPr>
              <w:t>/</w:t>
            </w:r>
            <w:proofErr w:type="spellStart"/>
            <w:r>
              <w:rPr>
                <w:rFonts w:ascii="Arial" w:hAnsi="Arial" w:cs="Arial"/>
                <w:sz w:val="18"/>
              </w:rPr>
              <w:t>Bräuer</w:t>
            </w:r>
            <w:proofErr w:type="spellEnd"/>
            <w:r>
              <w:rPr>
                <w:rFonts w:ascii="Arial" w:hAnsi="Arial" w:cs="Arial"/>
                <w:sz w:val="18"/>
              </w:rPr>
              <w:t xml:space="preserve"> (</w:t>
            </w:r>
            <w:proofErr w:type="spellStart"/>
            <w:r w:rsidR="00D15713">
              <w:rPr>
                <w:rFonts w:ascii="Arial" w:hAnsi="Arial" w:cs="Arial"/>
                <w:sz w:val="18"/>
              </w:rPr>
              <w:t>BBk</w:t>
            </w:r>
            <w:proofErr w:type="spellEnd"/>
            <w:r w:rsidR="00D15713">
              <w:rPr>
                <w:rFonts w:ascii="Arial" w:hAnsi="Arial" w:cs="Arial"/>
                <w:sz w:val="18"/>
              </w:rPr>
              <w:t xml:space="preserve">, </w:t>
            </w:r>
            <w:r>
              <w:rPr>
                <w:rFonts w:ascii="Arial" w:hAnsi="Arial" w:cs="Arial"/>
                <w:sz w:val="18"/>
              </w:rPr>
              <w:t>4CB)</w:t>
            </w:r>
          </w:p>
        </w:tc>
        <w:tc>
          <w:tcPr>
            <w:tcW w:w="1903" w:type="dxa"/>
          </w:tcPr>
          <w:p w14:paraId="765277D3" w14:textId="77777777" w:rsidR="005B2E5D" w:rsidRPr="000A3BA9" w:rsidRDefault="005E03F0" w:rsidP="007A40BB">
            <w:pPr>
              <w:rPr>
                <w:rFonts w:ascii="Arial" w:hAnsi="Arial" w:cs="Arial"/>
                <w:sz w:val="18"/>
              </w:rPr>
            </w:pPr>
            <w:r>
              <w:rPr>
                <w:rFonts w:ascii="Arial" w:hAnsi="Arial" w:cs="Arial"/>
                <w:sz w:val="18"/>
              </w:rPr>
              <w:t>First draft based on the</w:t>
            </w:r>
            <w:r w:rsidR="00260FEC">
              <w:rPr>
                <w:rFonts w:ascii="Arial" w:hAnsi="Arial" w:cs="Arial"/>
                <w:sz w:val="18"/>
              </w:rPr>
              <w:t xml:space="preserve"> already available </w:t>
            </w:r>
            <w:r>
              <w:rPr>
                <w:rFonts w:ascii="Arial" w:hAnsi="Arial" w:cs="Arial"/>
                <w:sz w:val="18"/>
              </w:rPr>
              <w:t xml:space="preserve"> HLBR’s </w:t>
            </w:r>
          </w:p>
        </w:tc>
        <w:tc>
          <w:tcPr>
            <w:tcW w:w="1903" w:type="dxa"/>
          </w:tcPr>
          <w:p w14:paraId="54CBD7C1" w14:textId="77777777" w:rsidR="005B2E5D" w:rsidRPr="000A3BA9" w:rsidRDefault="0019091F" w:rsidP="007A40BB">
            <w:pPr>
              <w:rPr>
                <w:rFonts w:ascii="Arial" w:hAnsi="Arial" w:cs="Arial"/>
                <w:sz w:val="18"/>
              </w:rPr>
            </w:pPr>
            <w:r>
              <w:rPr>
                <w:rFonts w:ascii="Arial" w:hAnsi="Arial" w:cs="Arial"/>
                <w:sz w:val="18"/>
              </w:rPr>
              <w:t>all</w:t>
            </w:r>
          </w:p>
        </w:tc>
      </w:tr>
      <w:tr w:rsidR="005B2E5D" w:rsidRPr="000A3BA9" w14:paraId="7CC177AD" w14:textId="77777777" w:rsidTr="007A40BB">
        <w:tc>
          <w:tcPr>
            <w:tcW w:w="1903" w:type="dxa"/>
          </w:tcPr>
          <w:p w14:paraId="2B6D93C2" w14:textId="0C405235" w:rsidR="005B2E5D" w:rsidRPr="000A3BA9" w:rsidRDefault="00907026" w:rsidP="007A40BB">
            <w:pPr>
              <w:rPr>
                <w:rFonts w:ascii="Arial" w:hAnsi="Arial" w:cs="Arial"/>
                <w:sz w:val="18"/>
              </w:rPr>
            </w:pPr>
            <w:r>
              <w:rPr>
                <w:rFonts w:ascii="Arial" w:hAnsi="Arial" w:cs="Arial"/>
                <w:sz w:val="18"/>
              </w:rPr>
              <w:t>0.2</w:t>
            </w:r>
          </w:p>
        </w:tc>
        <w:tc>
          <w:tcPr>
            <w:tcW w:w="1903" w:type="dxa"/>
          </w:tcPr>
          <w:p w14:paraId="25CA3918" w14:textId="5666B08B" w:rsidR="005B2E5D" w:rsidRPr="000A3BA9" w:rsidRDefault="00FF0672" w:rsidP="007A40BB">
            <w:pPr>
              <w:rPr>
                <w:rFonts w:ascii="Arial" w:hAnsi="Arial" w:cs="Arial"/>
                <w:sz w:val="18"/>
              </w:rPr>
            </w:pPr>
            <w:r>
              <w:rPr>
                <w:rFonts w:ascii="Arial" w:hAnsi="Arial" w:cs="Arial"/>
                <w:sz w:val="18"/>
              </w:rPr>
              <w:t>30.04.2019</w:t>
            </w:r>
          </w:p>
        </w:tc>
        <w:tc>
          <w:tcPr>
            <w:tcW w:w="1903" w:type="dxa"/>
          </w:tcPr>
          <w:p w14:paraId="59FD095C" w14:textId="5A0E8646" w:rsidR="005B2E5D" w:rsidRPr="000A3BA9" w:rsidRDefault="00FF0672" w:rsidP="007A40BB">
            <w:pPr>
              <w:rPr>
                <w:rFonts w:ascii="Arial" w:hAnsi="Arial" w:cs="Arial"/>
                <w:sz w:val="18"/>
              </w:rPr>
            </w:pPr>
            <w:r>
              <w:rPr>
                <w:rFonts w:ascii="Arial" w:hAnsi="Arial" w:cs="Arial"/>
                <w:sz w:val="18"/>
              </w:rPr>
              <w:t>ISO 20022 RA</w:t>
            </w:r>
          </w:p>
        </w:tc>
        <w:tc>
          <w:tcPr>
            <w:tcW w:w="1903" w:type="dxa"/>
          </w:tcPr>
          <w:p w14:paraId="5B5CFEBD" w14:textId="7A420EB5" w:rsidR="005B2E5D" w:rsidRPr="000A3BA9" w:rsidRDefault="00FF0672" w:rsidP="007A40BB">
            <w:pPr>
              <w:rPr>
                <w:rFonts w:ascii="Arial" w:hAnsi="Arial" w:cs="Arial"/>
                <w:sz w:val="18"/>
              </w:rPr>
            </w:pPr>
            <w:r>
              <w:rPr>
                <w:rFonts w:ascii="Arial" w:hAnsi="Arial" w:cs="Arial"/>
                <w:sz w:val="18"/>
              </w:rPr>
              <w:t>Revision before distribution to the SEGs</w:t>
            </w:r>
          </w:p>
        </w:tc>
        <w:tc>
          <w:tcPr>
            <w:tcW w:w="1903" w:type="dxa"/>
          </w:tcPr>
          <w:p w14:paraId="19A57D37" w14:textId="533B2971" w:rsidR="005B2E5D" w:rsidRPr="000A3BA9" w:rsidRDefault="00FF0672" w:rsidP="007A40BB">
            <w:pPr>
              <w:rPr>
                <w:rFonts w:ascii="Arial" w:hAnsi="Arial" w:cs="Arial"/>
                <w:sz w:val="18"/>
              </w:rPr>
            </w:pPr>
            <w:r>
              <w:rPr>
                <w:rFonts w:ascii="Arial" w:hAnsi="Arial" w:cs="Arial"/>
                <w:sz w:val="18"/>
              </w:rPr>
              <w:t>all</w:t>
            </w:r>
          </w:p>
        </w:tc>
      </w:tr>
      <w:tr w:rsidR="00907026" w:rsidRPr="000A3BA9" w14:paraId="5E6F7637" w14:textId="77777777" w:rsidTr="007A40BB">
        <w:tc>
          <w:tcPr>
            <w:tcW w:w="1903" w:type="dxa"/>
          </w:tcPr>
          <w:p w14:paraId="346BAE0B" w14:textId="1A9E6EE2" w:rsidR="00907026" w:rsidRPr="000A3BA9" w:rsidRDefault="00907026" w:rsidP="007A40BB">
            <w:pPr>
              <w:rPr>
                <w:rFonts w:ascii="Arial" w:hAnsi="Arial" w:cs="Arial"/>
                <w:sz w:val="18"/>
              </w:rPr>
            </w:pPr>
            <w:r>
              <w:rPr>
                <w:rFonts w:ascii="Arial" w:hAnsi="Arial" w:cs="Arial"/>
                <w:sz w:val="18"/>
              </w:rPr>
              <w:t>1.0</w:t>
            </w:r>
          </w:p>
        </w:tc>
        <w:tc>
          <w:tcPr>
            <w:tcW w:w="1903" w:type="dxa"/>
          </w:tcPr>
          <w:p w14:paraId="2200AA39" w14:textId="4B108D59" w:rsidR="00907026" w:rsidRPr="000A3BA9" w:rsidRDefault="00907026" w:rsidP="007A40BB">
            <w:pPr>
              <w:rPr>
                <w:rFonts w:ascii="Arial" w:hAnsi="Arial" w:cs="Arial"/>
                <w:sz w:val="18"/>
              </w:rPr>
            </w:pPr>
            <w:r>
              <w:rPr>
                <w:rFonts w:ascii="Arial" w:hAnsi="Arial" w:cs="Arial"/>
                <w:sz w:val="18"/>
              </w:rPr>
              <w:t>29.07.2019</w:t>
            </w:r>
          </w:p>
        </w:tc>
        <w:tc>
          <w:tcPr>
            <w:tcW w:w="1903" w:type="dxa"/>
          </w:tcPr>
          <w:p w14:paraId="0E8F1876" w14:textId="645BA11A" w:rsidR="00907026" w:rsidRPr="000A3BA9" w:rsidRDefault="00907026" w:rsidP="007A40BB">
            <w:pPr>
              <w:rPr>
                <w:rFonts w:ascii="Arial" w:hAnsi="Arial" w:cs="Arial"/>
                <w:sz w:val="18"/>
              </w:rPr>
            </w:pPr>
            <w:r>
              <w:rPr>
                <w:rFonts w:ascii="Arial" w:hAnsi="Arial" w:cs="Arial"/>
                <w:sz w:val="18"/>
              </w:rPr>
              <w:t>ISO 20022 RA</w:t>
            </w:r>
          </w:p>
        </w:tc>
        <w:tc>
          <w:tcPr>
            <w:tcW w:w="1903" w:type="dxa"/>
          </w:tcPr>
          <w:p w14:paraId="22AA32D9" w14:textId="2A4051F1" w:rsidR="00907026" w:rsidRPr="000A3BA9" w:rsidRDefault="00907026" w:rsidP="007A40BB">
            <w:pPr>
              <w:rPr>
                <w:rFonts w:ascii="Arial" w:hAnsi="Arial" w:cs="Arial"/>
                <w:sz w:val="18"/>
              </w:rPr>
            </w:pPr>
            <w:r>
              <w:rPr>
                <w:rFonts w:ascii="Arial" w:hAnsi="Arial" w:cs="Arial"/>
                <w:sz w:val="18"/>
              </w:rPr>
              <w:t>Approved version</w:t>
            </w:r>
          </w:p>
        </w:tc>
        <w:tc>
          <w:tcPr>
            <w:tcW w:w="1903" w:type="dxa"/>
          </w:tcPr>
          <w:p w14:paraId="766D6959" w14:textId="009448D2" w:rsidR="00907026" w:rsidRPr="000A3BA9" w:rsidRDefault="00907026" w:rsidP="007A40BB">
            <w:pPr>
              <w:rPr>
                <w:rFonts w:ascii="Arial" w:hAnsi="Arial" w:cs="Arial"/>
                <w:sz w:val="18"/>
              </w:rPr>
            </w:pPr>
            <w:r>
              <w:rPr>
                <w:rFonts w:ascii="Arial" w:hAnsi="Arial" w:cs="Arial"/>
                <w:sz w:val="18"/>
              </w:rPr>
              <w:t>all</w:t>
            </w:r>
          </w:p>
        </w:tc>
      </w:tr>
      <w:tr w:rsidR="005B2E5D" w:rsidRPr="000A3BA9" w14:paraId="3099A9E9" w14:textId="77777777" w:rsidTr="007A40BB">
        <w:tc>
          <w:tcPr>
            <w:tcW w:w="1903" w:type="dxa"/>
          </w:tcPr>
          <w:p w14:paraId="251919BE" w14:textId="77777777" w:rsidR="005B2E5D" w:rsidRPr="000A3BA9" w:rsidRDefault="005B2E5D" w:rsidP="007A40BB">
            <w:pPr>
              <w:rPr>
                <w:rFonts w:ascii="Arial" w:hAnsi="Arial" w:cs="Arial"/>
                <w:sz w:val="18"/>
              </w:rPr>
            </w:pPr>
          </w:p>
        </w:tc>
        <w:tc>
          <w:tcPr>
            <w:tcW w:w="1903" w:type="dxa"/>
          </w:tcPr>
          <w:p w14:paraId="4EFD4518" w14:textId="77777777" w:rsidR="005B2E5D" w:rsidRPr="000A3BA9" w:rsidRDefault="005B2E5D" w:rsidP="007A40BB">
            <w:pPr>
              <w:rPr>
                <w:rFonts w:ascii="Arial" w:hAnsi="Arial" w:cs="Arial"/>
                <w:sz w:val="18"/>
              </w:rPr>
            </w:pPr>
          </w:p>
        </w:tc>
        <w:tc>
          <w:tcPr>
            <w:tcW w:w="1903" w:type="dxa"/>
          </w:tcPr>
          <w:p w14:paraId="655096F6" w14:textId="77777777" w:rsidR="005B2E5D" w:rsidRPr="000A3BA9" w:rsidRDefault="005B2E5D" w:rsidP="007A40BB">
            <w:pPr>
              <w:rPr>
                <w:rFonts w:ascii="Arial" w:hAnsi="Arial" w:cs="Arial"/>
                <w:sz w:val="18"/>
              </w:rPr>
            </w:pPr>
          </w:p>
        </w:tc>
        <w:tc>
          <w:tcPr>
            <w:tcW w:w="1903" w:type="dxa"/>
          </w:tcPr>
          <w:p w14:paraId="5FBC5520" w14:textId="77777777" w:rsidR="005B2E5D" w:rsidRPr="000A3BA9" w:rsidRDefault="005B2E5D" w:rsidP="007A40BB">
            <w:pPr>
              <w:rPr>
                <w:rFonts w:ascii="Arial" w:hAnsi="Arial" w:cs="Arial"/>
                <w:sz w:val="18"/>
              </w:rPr>
            </w:pPr>
          </w:p>
        </w:tc>
        <w:tc>
          <w:tcPr>
            <w:tcW w:w="1903" w:type="dxa"/>
          </w:tcPr>
          <w:p w14:paraId="571A8CD5" w14:textId="77777777" w:rsidR="005B2E5D" w:rsidRPr="000A3BA9" w:rsidRDefault="005B2E5D" w:rsidP="007A40BB">
            <w:pPr>
              <w:rPr>
                <w:rFonts w:ascii="Arial" w:hAnsi="Arial" w:cs="Arial"/>
                <w:sz w:val="18"/>
              </w:rPr>
            </w:pPr>
          </w:p>
        </w:tc>
      </w:tr>
    </w:tbl>
    <w:p w14:paraId="12182404" w14:textId="77777777" w:rsidR="005B2E5D" w:rsidRPr="000A3BA9" w:rsidRDefault="005B2E5D" w:rsidP="005B2E5D">
      <w:pPr>
        <w:rPr>
          <w:rFonts w:ascii="Arial" w:hAnsi="Arial" w:cs="Arial"/>
          <w:sz w:val="22"/>
        </w:rPr>
      </w:pPr>
    </w:p>
    <w:p w14:paraId="432A7529"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Disclaimer</w:t>
      </w:r>
      <w:r w:rsidRPr="000A3BA9">
        <w:rPr>
          <w:rFonts w:ascii="Arial" w:hAnsi="Arial" w:cs="Arial"/>
          <w:sz w:val="18"/>
          <w:lang w:eastAsia="en-GB"/>
        </w:rPr>
        <w:t>:</w:t>
      </w:r>
    </w:p>
    <w:p w14:paraId="4EDD7937" w14:textId="77777777" w:rsidR="005B2E5D" w:rsidRPr="000A3BA9" w:rsidRDefault="005B2E5D" w:rsidP="00D1052C">
      <w:pPr>
        <w:autoSpaceDE w:val="0"/>
        <w:autoSpaceDN w:val="0"/>
        <w:adjustRightInd w:val="0"/>
        <w:spacing w:before="0"/>
        <w:jc w:val="both"/>
        <w:rPr>
          <w:rFonts w:ascii="Arial" w:hAnsi="Arial" w:cs="Arial"/>
          <w:sz w:val="18"/>
          <w:lang w:eastAsia="en-GB"/>
        </w:rPr>
      </w:pPr>
      <w:r w:rsidRPr="000A3BA9">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1800C39" w14:textId="77777777" w:rsidR="005B2E5D" w:rsidRPr="000A3BA9" w:rsidRDefault="005B2E5D" w:rsidP="00D1052C">
      <w:pPr>
        <w:autoSpaceDE w:val="0"/>
        <w:autoSpaceDN w:val="0"/>
        <w:adjustRightInd w:val="0"/>
        <w:spacing w:before="0"/>
        <w:jc w:val="both"/>
        <w:rPr>
          <w:rFonts w:ascii="Arial" w:hAnsi="Arial" w:cs="Arial"/>
          <w:sz w:val="18"/>
          <w:lang w:eastAsia="en-GB"/>
        </w:rPr>
      </w:pPr>
      <w:r w:rsidRPr="000A3BA9">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4861A6FF" w14:textId="77777777" w:rsidR="005B2E5D" w:rsidRPr="000A3BA9" w:rsidRDefault="005B2E5D" w:rsidP="005B2E5D">
      <w:pPr>
        <w:autoSpaceDE w:val="0"/>
        <w:autoSpaceDN w:val="0"/>
        <w:adjustRightInd w:val="0"/>
        <w:spacing w:before="0"/>
        <w:rPr>
          <w:rFonts w:ascii="Arial" w:hAnsi="Arial" w:cs="Arial"/>
          <w:sz w:val="18"/>
          <w:lang w:eastAsia="en-GB"/>
        </w:rPr>
      </w:pPr>
    </w:p>
    <w:p w14:paraId="655058A1" w14:textId="77777777" w:rsidR="005B2E5D" w:rsidRPr="000A3BA9" w:rsidRDefault="005B2E5D" w:rsidP="005B2E5D">
      <w:pPr>
        <w:autoSpaceDE w:val="0"/>
        <w:autoSpaceDN w:val="0"/>
        <w:adjustRightInd w:val="0"/>
        <w:spacing w:before="0"/>
        <w:rPr>
          <w:rFonts w:ascii="Arial" w:hAnsi="Arial" w:cs="Arial"/>
          <w:sz w:val="18"/>
          <w:lang w:eastAsia="en-GB"/>
        </w:rPr>
      </w:pPr>
      <w:r w:rsidRPr="000A3BA9">
        <w:rPr>
          <w:rFonts w:ascii="Arial" w:hAnsi="Arial" w:cs="Arial"/>
          <w:b/>
          <w:bCs/>
          <w:sz w:val="18"/>
          <w:lang w:eastAsia="en-GB"/>
        </w:rPr>
        <w:t>Intellectual Property Rights</w:t>
      </w:r>
      <w:r w:rsidRPr="000A3BA9">
        <w:rPr>
          <w:rFonts w:ascii="Arial" w:hAnsi="Arial" w:cs="Arial"/>
          <w:sz w:val="18"/>
          <w:lang w:eastAsia="en-GB"/>
        </w:rPr>
        <w:t>:</w:t>
      </w:r>
    </w:p>
    <w:p w14:paraId="56650A14" w14:textId="1A1BCF1B" w:rsidR="001F40EA" w:rsidRPr="000A3BA9" w:rsidRDefault="00DC4040" w:rsidP="004A0CF9">
      <w:pPr>
        <w:autoSpaceDE w:val="0"/>
        <w:autoSpaceDN w:val="0"/>
        <w:adjustRightInd w:val="0"/>
        <w:spacing w:before="0"/>
        <w:rPr>
          <w:rFonts w:cs="Arial"/>
          <w:sz w:val="18"/>
        </w:rPr>
      </w:pPr>
      <w:r w:rsidRPr="006B1B55">
        <w:rPr>
          <w:rFonts w:ascii="Arial" w:hAnsi="Arial" w:cs="Arial"/>
          <w:sz w:val="18"/>
          <w:lang w:eastAsia="en-GB"/>
        </w:rPr>
        <w:t xml:space="preserve">The ISO 20022 </w:t>
      </w:r>
      <w:proofErr w:type="spellStart"/>
      <w:r w:rsidRPr="006B1B55">
        <w:rPr>
          <w:rFonts w:ascii="Arial" w:hAnsi="Arial" w:cs="Arial"/>
          <w:sz w:val="18"/>
          <w:lang w:eastAsia="en-GB"/>
        </w:rPr>
        <w:t>Message</w:t>
      </w:r>
      <w:r w:rsidR="005B2E5D" w:rsidRPr="006B1B55">
        <w:rPr>
          <w:rFonts w:ascii="Arial" w:hAnsi="Arial" w:cs="Arial"/>
          <w:sz w:val="18"/>
          <w:lang w:eastAsia="en-GB"/>
        </w:rPr>
        <w:t>Definitions</w:t>
      </w:r>
      <w:proofErr w:type="spellEnd"/>
      <w:r w:rsidR="005B2E5D" w:rsidRPr="006B1B55">
        <w:rPr>
          <w:rFonts w:ascii="Arial" w:hAnsi="Arial" w:cs="Arial"/>
          <w:sz w:val="18"/>
          <w:lang w:eastAsia="en-GB"/>
        </w:rPr>
        <w:t xml:space="preserve"> described in this document were contributed</w:t>
      </w:r>
      <w:r w:rsidR="00B32C3D" w:rsidRPr="006B1B55">
        <w:rPr>
          <w:rFonts w:ascii="Arial" w:hAnsi="Arial" w:cs="Arial"/>
          <w:sz w:val="18"/>
          <w:lang w:eastAsia="en-GB"/>
        </w:rPr>
        <w:t xml:space="preserve"> by</w:t>
      </w:r>
      <w:r w:rsidR="005B2E5D" w:rsidRPr="006B1B55">
        <w:rPr>
          <w:rFonts w:ascii="Arial" w:hAnsi="Arial" w:cs="Arial"/>
          <w:sz w:val="18"/>
          <w:lang w:eastAsia="en-GB"/>
        </w:rPr>
        <w:t xml:space="preserve"> </w:t>
      </w:r>
      <w:r w:rsidR="008E0777" w:rsidRPr="00957CBB">
        <w:rPr>
          <w:rFonts w:ascii="Arial" w:hAnsi="Arial" w:cs="Arial"/>
          <w:sz w:val="18"/>
          <w:lang w:eastAsia="en-GB"/>
        </w:rPr>
        <w:t>Deutsche Bundesbank on behalf of 4CB and SWIFT</w:t>
      </w:r>
      <w:r w:rsidR="005E03F0" w:rsidRPr="00957CBB">
        <w:rPr>
          <w:rFonts w:ascii="Arial" w:hAnsi="Arial" w:cs="Arial"/>
          <w:sz w:val="18"/>
          <w:lang w:eastAsia="en-GB"/>
        </w:rPr>
        <w:t xml:space="preserve"> for T</w:t>
      </w:r>
      <w:r w:rsidR="005C2AEB" w:rsidRPr="00957CBB">
        <w:rPr>
          <w:rFonts w:ascii="Arial" w:hAnsi="Arial" w:cs="Arial"/>
          <w:sz w:val="18"/>
          <w:lang w:eastAsia="en-GB"/>
        </w:rPr>
        <w:t>arget</w:t>
      </w:r>
      <w:r w:rsidR="005E03F0" w:rsidRPr="00957CBB">
        <w:rPr>
          <w:rFonts w:ascii="Arial" w:hAnsi="Arial" w:cs="Arial"/>
          <w:sz w:val="18"/>
          <w:lang w:eastAsia="en-GB"/>
        </w:rPr>
        <w:t>2-Securites</w:t>
      </w:r>
      <w:r w:rsidR="005B2E5D" w:rsidRPr="00957CBB">
        <w:rPr>
          <w:rFonts w:ascii="Arial" w:hAnsi="Arial" w:cs="Arial"/>
          <w:sz w:val="18"/>
          <w:lang w:eastAsia="en-GB"/>
        </w:rPr>
        <w:t xml:space="preserve">. </w:t>
      </w:r>
      <w:r w:rsidR="005B2E5D" w:rsidRPr="006B1B55">
        <w:rPr>
          <w:rFonts w:ascii="Arial" w:hAnsi="Arial" w:cs="Arial"/>
          <w:sz w:val="18"/>
          <w:lang w:eastAsia="en-GB"/>
        </w:rPr>
        <w:t>The ISO 20022 IPR policy is available at www.ISO20022.org &gt; About ISO 20022 &gt; Intellectual</w:t>
      </w:r>
      <w:r w:rsidR="005B2E5D" w:rsidRPr="000A3BA9">
        <w:rPr>
          <w:rFonts w:ascii="Arial" w:hAnsi="Arial" w:cs="Arial"/>
          <w:sz w:val="18"/>
          <w:lang w:eastAsia="en-GB"/>
        </w:rPr>
        <w:t xml:space="preserve"> Property Rights.</w:t>
      </w:r>
    </w:p>
    <w:sectPr w:rsidR="001F40EA" w:rsidRPr="000A3BA9" w:rsidSect="00082879">
      <w:headerReference w:type="default" r:id="rId33"/>
      <w:pgSz w:w="11907" w:h="16840" w:code="9"/>
      <w:pgMar w:top="1021" w:right="1559" w:bottom="568"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8DDC9" w15:done="0"/>
  <w15:commentEx w15:paraId="25F129F5" w15:done="0"/>
  <w15:commentEx w15:paraId="2FE36FDA" w15:done="0"/>
  <w15:commentEx w15:paraId="4346BB7D" w15:done="0"/>
  <w15:commentEx w15:paraId="32DE3899" w15:done="0"/>
  <w15:commentEx w15:paraId="122E1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40A7C" w14:textId="77777777" w:rsidR="005F5B9B" w:rsidRDefault="005F5B9B">
      <w:r>
        <w:separator/>
      </w:r>
    </w:p>
  </w:endnote>
  <w:endnote w:type="continuationSeparator" w:id="0">
    <w:p w14:paraId="0144A2ED" w14:textId="77777777" w:rsidR="005F5B9B" w:rsidRDefault="005F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252B1" w14:textId="77777777" w:rsidR="000B57DD" w:rsidRDefault="000B57DD"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1AA88F92" w14:textId="77777777" w:rsidTr="00FA332B">
      <w:trPr>
        <w:cantSplit/>
        <w:trHeight w:hRule="exact" w:val="50"/>
      </w:trPr>
      <w:tc>
        <w:tcPr>
          <w:tcW w:w="9242" w:type="dxa"/>
        </w:tcPr>
        <w:p w14:paraId="748B2F75" w14:textId="77777777" w:rsidR="000B57DD" w:rsidRDefault="000B57DD" w:rsidP="00D93F65"/>
      </w:tc>
    </w:tr>
  </w:tbl>
  <w:p w14:paraId="4F989573" w14:textId="78B48EF7" w:rsidR="000B57DD" w:rsidRPr="00FA332B" w:rsidRDefault="000B57DD"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E063C3">
      <w:rPr>
        <w:rFonts w:eastAsia="Times"/>
        <w:noProof/>
        <w:lang w:val="fr-BE"/>
      </w:rPr>
      <w:t>4</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36142" w14:textId="77777777" w:rsidR="00957CBB" w:rsidRDefault="00957C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8AAEE" w14:textId="77777777" w:rsidR="000B57DD" w:rsidRDefault="000B57DD"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036D708F" w14:textId="77777777" w:rsidTr="00D93F65">
      <w:trPr>
        <w:cantSplit/>
        <w:trHeight w:hRule="exact" w:val="50"/>
      </w:trPr>
      <w:tc>
        <w:tcPr>
          <w:tcW w:w="9242" w:type="dxa"/>
        </w:tcPr>
        <w:p w14:paraId="7BB254D5" w14:textId="77777777" w:rsidR="000B57DD" w:rsidRDefault="000B57DD" w:rsidP="00D93F65"/>
      </w:tc>
    </w:tr>
  </w:tbl>
  <w:p w14:paraId="1883D71F" w14:textId="77777777" w:rsidR="000B57DD" w:rsidRPr="00BB3079" w:rsidRDefault="000B57DD"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14E08A72" w14:textId="77777777" w:rsidR="000B57DD" w:rsidRDefault="000B57DD" w:rsidP="0074068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11554" w14:textId="77777777" w:rsidR="000B57DD" w:rsidRDefault="000B57DD"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08727639" w14:textId="77777777" w:rsidTr="00FA332B">
      <w:trPr>
        <w:cantSplit/>
        <w:trHeight w:hRule="exact" w:val="50"/>
      </w:trPr>
      <w:tc>
        <w:tcPr>
          <w:tcW w:w="9242" w:type="dxa"/>
        </w:tcPr>
        <w:p w14:paraId="5C3C1806" w14:textId="77777777" w:rsidR="000B57DD" w:rsidRPr="0082064C" w:rsidRDefault="000B57DD" w:rsidP="009C7F8A">
          <w:pPr>
            <w:pStyle w:val="Footerodd"/>
          </w:pPr>
        </w:p>
      </w:tc>
    </w:tr>
  </w:tbl>
  <w:p w14:paraId="2A2E2C98" w14:textId="6BC0AA81" w:rsidR="000B57DD" w:rsidRPr="00FA332B" w:rsidRDefault="000B57DD"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E063C3">
      <w:rPr>
        <w:rFonts w:eastAsia="Times"/>
        <w:noProof/>
        <w:lang w:val="fr-BE"/>
      </w:rPr>
      <w:t>5</w:t>
    </w:r>
    <w:r w:rsidRPr="000742E6">
      <w:rPr>
        <w:rFonts w:eastAsia="Times"/>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4F6D5" w14:textId="77777777" w:rsidR="000B57DD" w:rsidRDefault="000B57DD"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4E4877E1" w14:textId="77777777" w:rsidTr="00D93F65">
      <w:trPr>
        <w:cantSplit/>
        <w:trHeight w:hRule="exact" w:val="50"/>
      </w:trPr>
      <w:tc>
        <w:tcPr>
          <w:tcW w:w="9242" w:type="dxa"/>
        </w:tcPr>
        <w:p w14:paraId="701E1CEC" w14:textId="77777777" w:rsidR="000B57DD" w:rsidRDefault="000B57DD" w:rsidP="00D93F65"/>
      </w:tc>
    </w:tr>
  </w:tbl>
  <w:p w14:paraId="4D2BCD2D" w14:textId="616D5D6E" w:rsidR="000B57DD" w:rsidRPr="00BB3079" w:rsidRDefault="000B57DD"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E063C3">
      <w:rPr>
        <w:rFonts w:eastAsia="Times"/>
        <w:noProof/>
      </w:rPr>
      <w:t>3</w:t>
    </w:r>
    <w:r w:rsidRPr="000742E6">
      <w:rPr>
        <w:rFonts w:eastAsia="Time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831C8" w14:textId="77777777" w:rsidR="005F5B9B" w:rsidRDefault="005F5B9B">
      <w:r>
        <w:separator/>
      </w:r>
    </w:p>
  </w:footnote>
  <w:footnote w:type="continuationSeparator" w:id="0">
    <w:p w14:paraId="20A71E40" w14:textId="77777777" w:rsidR="005F5B9B" w:rsidRDefault="005F5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78501" w14:textId="77777777" w:rsidR="000B57DD" w:rsidRDefault="000B57DD"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2C9AAB30" w14:textId="77777777" w:rsidTr="00D93F65">
      <w:trPr>
        <w:cantSplit/>
        <w:trHeight w:hRule="exact" w:val="50"/>
      </w:trPr>
      <w:tc>
        <w:tcPr>
          <w:tcW w:w="9242" w:type="dxa"/>
        </w:tcPr>
        <w:p w14:paraId="48A63DB9" w14:textId="77777777" w:rsidR="000B57DD" w:rsidRDefault="000B57DD" w:rsidP="00D93F65">
          <w:pPr>
            <w:pStyle w:val="Headereveninstrucpages"/>
          </w:pPr>
        </w:p>
      </w:tc>
    </w:tr>
  </w:tbl>
  <w:p w14:paraId="44A62721" w14:textId="77777777" w:rsidR="000B57DD" w:rsidRDefault="000B57DD"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0B57DD" w14:paraId="20735E79" w14:textId="77777777" w:rsidTr="009D4212">
      <w:trPr>
        <w:trHeight w:val="1135"/>
      </w:trPr>
      <w:tc>
        <w:tcPr>
          <w:tcW w:w="9000" w:type="dxa"/>
        </w:tcPr>
        <w:p w14:paraId="3FEDCA36" w14:textId="77777777" w:rsidR="000B57DD" w:rsidRDefault="000B57DD" w:rsidP="00A10C50">
          <w:pPr>
            <w:pStyle w:val="Header"/>
          </w:pPr>
        </w:p>
      </w:tc>
    </w:tr>
  </w:tbl>
  <w:p w14:paraId="04FC0E2B" w14:textId="77777777" w:rsidR="000B57DD" w:rsidRDefault="000B57DD">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8572E" w14:textId="0EB9CAD5" w:rsidR="000B57DD" w:rsidRDefault="000B57DD" w:rsidP="00A042A2">
    <w:pPr>
      <w:pStyle w:val="Headereven"/>
    </w:pPr>
    <w:r>
      <w:t xml:space="preserve">Collateral </w:t>
    </w:r>
    <w:r w:rsidR="008C322A">
      <w:t>Reporting M</w:t>
    </w:r>
    <w:r>
      <w:t xml:space="preserve">essage </w:t>
    </w:r>
    <w:r w:rsidR="008C322A">
      <w:t>S</w:t>
    </w:r>
    <w:r>
      <w:t>et</w:t>
    </w:r>
    <w:r>
      <w:tab/>
      <w:t xml:space="preserve">Edition </w:t>
    </w:r>
    <w:r w:rsidR="003966DF">
      <w:t>July</w:t>
    </w:r>
    <w:r w:rsidR="00957CBB">
      <w:t xml:space="preserve">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5DBD8818" w14:textId="77777777" w:rsidTr="00D93F65">
      <w:trPr>
        <w:cantSplit/>
        <w:trHeight w:hRule="exact" w:val="50"/>
      </w:trPr>
      <w:tc>
        <w:tcPr>
          <w:tcW w:w="9242" w:type="dxa"/>
        </w:tcPr>
        <w:p w14:paraId="554546E4" w14:textId="77777777" w:rsidR="000B57DD" w:rsidRDefault="000B57DD" w:rsidP="00D93F65">
          <w:pPr>
            <w:pStyle w:val="Headereveninstrucpages"/>
          </w:pPr>
        </w:p>
      </w:tc>
    </w:tr>
  </w:tbl>
  <w:p w14:paraId="4B1AF6CE" w14:textId="77777777" w:rsidR="000B57DD" w:rsidRDefault="000B57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C4A23" w14:textId="76AF695C" w:rsidR="000B57DD" w:rsidRDefault="000B57DD" w:rsidP="00FA332B">
    <w:pPr>
      <w:pStyle w:val="Headereven"/>
    </w:pPr>
    <w:r w:rsidRPr="00A0465E">
      <w:t xml:space="preserve">Collateral </w:t>
    </w:r>
    <w:r w:rsidR="008C322A">
      <w:t>Reporting Message Set</w:t>
    </w:r>
    <w:r>
      <w:tab/>
      <w:t xml:space="preserve">Edition </w:t>
    </w:r>
    <w:r w:rsidR="003966DF">
      <w:t>July</w:t>
    </w:r>
    <w:r w:rsidR="00957CBB">
      <w:t xml:space="preserve">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60A2BFE1" w14:textId="77777777" w:rsidTr="00D93F65">
      <w:trPr>
        <w:cantSplit/>
        <w:trHeight w:hRule="exact" w:val="50"/>
      </w:trPr>
      <w:tc>
        <w:tcPr>
          <w:tcW w:w="9242" w:type="dxa"/>
        </w:tcPr>
        <w:p w14:paraId="411513BB" w14:textId="77777777" w:rsidR="000B57DD" w:rsidRDefault="000B57DD" w:rsidP="00D93F65">
          <w:pPr>
            <w:pStyle w:val="Headereveninstrucpages"/>
          </w:pPr>
        </w:p>
      </w:tc>
    </w:tr>
  </w:tbl>
  <w:p w14:paraId="5EA7F77F" w14:textId="77777777" w:rsidR="000B57DD" w:rsidRDefault="000B57DD" w:rsidP="00D93F6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FAD0" w14:textId="688186A5" w:rsidR="000B57DD" w:rsidRDefault="000B57DD" w:rsidP="0029002B">
    <w:pPr>
      <w:pStyle w:val="Headerodd"/>
    </w:pPr>
    <w:r>
      <w:tab/>
    </w:r>
    <w:r>
      <w:rPr>
        <w:noProof/>
      </w:rPr>
      <w:fldChar w:fldCharType="begin"/>
    </w:r>
    <w:r>
      <w:rPr>
        <w:noProof/>
      </w:rPr>
      <w:instrText xml:space="preserve"> STYLEREF  Sub-title  \* MERGEFORMAT </w:instrText>
    </w:r>
    <w:r>
      <w:rPr>
        <w:noProof/>
      </w:rPr>
      <w:fldChar w:fldCharType="separate"/>
    </w:r>
    <w:r w:rsidR="000A06F3">
      <w:rPr>
        <w:noProof/>
      </w:rPr>
      <w:t>Table of contents</w:t>
    </w:r>
    <w:r>
      <w:rPr>
        <w:noProof/>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39DB56EB" w14:textId="77777777" w:rsidTr="00D93F65">
      <w:trPr>
        <w:cantSplit/>
        <w:trHeight w:hRule="exact" w:val="50"/>
      </w:trPr>
      <w:tc>
        <w:tcPr>
          <w:tcW w:w="9242" w:type="dxa"/>
        </w:tcPr>
        <w:p w14:paraId="6D24DA65" w14:textId="77777777" w:rsidR="000B57DD" w:rsidRDefault="000B57DD" w:rsidP="00D93F65">
          <w:pPr>
            <w:pStyle w:val="Headereveninstrucpages"/>
          </w:pPr>
        </w:p>
      </w:tc>
    </w:tr>
  </w:tbl>
  <w:p w14:paraId="2EA24386" w14:textId="77777777" w:rsidR="000B57DD" w:rsidRDefault="000B57DD" w:rsidP="00FC7BFA">
    <w:pPr>
      <w:spacing w:befor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0C034" w14:textId="0C1519C4" w:rsidR="000B57DD" w:rsidRDefault="000B57DD" w:rsidP="00FA332B">
    <w:pPr>
      <w:pStyle w:val="Headereven"/>
    </w:pPr>
    <w:r>
      <w:t xml:space="preserve">Collateral </w:t>
    </w:r>
    <w:r w:rsidR="008C322A">
      <w:t>Reporting Message Set</w:t>
    </w:r>
    <w:r>
      <w:tab/>
      <w:t xml:space="preserve">Edition </w:t>
    </w:r>
    <w:r w:rsidR="003966DF">
      <w:t>July</w:t>
    </w:r>
    <w:r w:rsidR="00957CBB">
      <w:t xml:space="preserve">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31EC9A7B" w14:textId="77777777" w:rsidTr="00D93F65">
      <w:trPr>
        <w:cantSplit/>
        <w:trHeight w:hRule="exact" w:val="50"/>
      </w:trPr>
      <w:tc>
        <w:tcPr>
          <w:tcW w:w="9242" w:type="dxa"/>
        </w:tcPr>
        <w:p w14:paraId="383A5C1D" w14:textId="77777777" w:rsidR="000B57DD" w:rsidRDefault="000B57DD" w:rsidP="00D93F65">
          <w:pPr>
            <w:pStyle w:val="Headereveninstrucpages"/>
          </w:pPr>
        </w:p>
      </w:tc>
    </w:tr>
  </w:tbl>
  <w:p w14:paraId="5CEF2145" w14:textId="77777777" w:rsidR="000B57DD" w:rsidRDefault="000B57DD" w:rsidP="00FC7BFA">
    <w:pPr>
      <w:spacing w:befor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708EF" w14:textId="07EFF938" w:rsidR="000B57DD" w:rsidRDefault="008C322A" w:rsidP="00FA332B">
    <w:pPr>
      <w:pStyle w:val="Headereven"/>
    </w:pPr>
    <w:r>
      <w:t>Collateral Reporting Message Set</w:t>
    </w:r>
    <w:r w:rsidR="000B57DD">
      <w:tab/>
      <w:t xml:space="preserve">Edition </w:t>
    </w:r>
    <w:r w:rsidR="003966DF">
      <w:t>July 2019</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B57DD" w14:paraId="2A337CBF" w14:textId="77777777" w:rsidTr="00D93F65">
      <w:trPr>
        <w:cantSplit/>
        <w:trHeight w:hRule="exact" w:val="50"/>
      </w:trPr>
      <w:tc>
        <w:tcPr>
          <w:tcW w:w="9242" w:type="dxa"/>
        </w:tcPr>
        <w:p w14:paraId="398E7BE3" w14:textId="77777777" w:rsidR="000B57DD" w:rsidRDefault="000B57DD" w:rsidP="00D93F65">
          <w:pPr>
            <w:pStyle w:val="Headereveninstrucpages"/>
          </w:pPr>
        </w:p>
      </w:tc>
    </w:tr>
  </w:tbl>
  <w:p w14:paraId="14457797" w14:textId="77777777" w:rsidR="000B57DD" w:rsidRDefault="000B57DD"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1">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2">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FFFFFFFB"/>
    <w:multiLevelType w:val="multilevel"/>
    <w:tmpl w:val="BD3ADF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Arial" w:hAnsi="Arial" w:cs="Arial" w:hint="default"/>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rPr>
        <w:sz w:val="24"/>
        <w:szCs w:val="24"/>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04765751"/>
    <w:multiLevelType w:val="hybridMultilevel"/>
    <w:tmpl w:val="9F0AB2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773C17"/>
    <w:multiLevelType w:val="hybridMultilevel"/>
    <w:tmpl w:val="EE2EE5F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8">
    <w:nsid w:val="299608F6"/>
    <w:multiLevelType w:val="singleLevel"/>
    <w:tmpl w:val="38348D54"/>
    <w:lvl w:ilvl="0">
      <w:start w:val="1"/>
      <w:numFmt w:val="bullet"/>
      <w:pStyle w:val="T2Bullet1"/>
      <w:lvlText w:val=""/>
      <w:lvlJc w:val="left"/>
      <w:pPr>
        <w:tabs>
          <w:tab w:val="num" w:pos="1070"/>
        </w:tabs>
        <w:ind w:left="1070" w:hanging="360"/>
      </w:pPr>
      <w:rPr>
        <w:rFonts w:ascii="Symbol" w:hAnsi="Symbol" w:hint="default"/>
      </w:rPr>
    </w:lvl>
  </w:abstractNum>
  <w:abstractNum w:abstractNumId="9">
    <w:nsid w:val="2E60448E"/>
    <w:multiLevelType w:val="hybridMultilevel"/>
    <w:tmpl w:val="EA5A3D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FF86D7A"/>
    <w:multiLevelType w:val="hybridMultilevel"/>
    <w:tmpl w:val="852A05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1110EC8"/>
    <w:multiLevelType w:val="hybridMultilevel"/>
    <w:tmpl w:val="BBE25D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B0143D"/>
    <w:multiLevelType w:val="hybridMultilevel"/>
    <w:tmpl w:val="3DBA5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296372"/>
    <w:multiLevelType w:val="hybridMultilevel"/>
    <w:tmpl w:val="C2F01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E26D95"/>
    <w:multiLevelType w:val="hybridMultilevel"/>
    <w:tmpl w:val="782CB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114CC4"/>
    <w:multiLevelType w:val="hybridMultilevel"/>
    <w:tmpl w:val="92880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FA2B30"/>
    <w:multiLevelType w:val="hybridMultilevel"/>
    <w:tmpl w:val="88F8F8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FAF31E4"/>
    <w:multiLevelType w:val="hybridMultilevel"/>
    <w:tmpl w:val="954627B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20">
    <w:nsid w:val="52943DDF"/>
    <w:multiLevelType w:val="hybridMultilevel"/>
    <w:tmpl w:val="28188D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6928B8"/>
    <w:multiLevelType w:val="hybridMultilevel"/>
    <w:tmpl w:val="335A729A"/>
    <w:lvl w:ilvl="0" w:tplc="04070001">
      <w:start w:val="1"/>
      <w:numFmt w:val="bullet"/>
      <w:lvlText w:val=""/>
      <w:lvlJc w:val="left"/>
      <w:pPr>
        <w:tabs>
          <w:tab w:val="num" w:pos="360"/>
        </w:tabs>
        <w:ind w:left="360" w:hanging="360"/>
      </w:pPr>
      <w:rPr>
        <w:rFonts w:ascii="Symbol" w:hAnsi="Symbol" w:hint="default"/>
        <w:b w:val="0"/>
        <w:i w:val="0"/>
      </w:rPr>
    </w:lvl>
    <w:lvl w:ilvl="1" w:tplc="406CED04">
      <w:start w:val="1"/>
      <w:numFmt w:val="bullet"/>
      <w:lvlText w:val=""/>
      <w:lvlJc w:val="left"/>
      <w:pPr>
        <w:tabs>
          <w:tab w:val="num" w:pos="1080"/>
        </w:tabs>
        <w:ind w:left="1080" w:hanging="360"/>
      </w:pPr>
      <w:rPr>
        <w:rFonts w:ascii="Wingdings" w:hAnsi="Wingdings" w:hint="default"/>
        <w:b w:val="0"/>
        <w:i w:val="0"/>
      </w:rPr>
    </w:lvl>
    <w:lvl w:ilvl="2" w:tplc="57B8B8B8" w:tentative="1">
      <w:start w:val="1"/>
      <w:numFmt w:val="lowerRoman"/>
      <w:lvlText w:val="%3."/>
      <w:lvlJc w:val="right"/>
      <w:pPr>
        <w:tabs>
          <w:tab w:val="num" w:pos="1800"/>
        </w:tabs>
        <w:ind w:left="1800" w:hanging="180"/>
      </w:pPr>
      <w:rPr>
        <w:rFonts w:cs="Times New Roman"/>
      </w:rPr>
    </w:lvl>
    <w:lvl w:ilvl="3" w:tplc="F8B4B016" w:tentative="1">
      <w:start w:val="1"/>
      <w:numFmt w:val="decimal"/>
      <w:lvlText w:val="%4."/>
      <w:lvlJc w:val="left"/>
      <w:pPr>
        <w:tabs>
          <w:tab w:val="num" w:pos="2520"/>
        </w:tabs>
        <w:ind w:left="2520" w:hanging="360"/>
      </w:pPr>
      <w:rPr>
        <w:rFonts w:cs="Times New Roman"/>
      </w:rPr>
    </w:lvl>
    <w:lvl w:ilvl="4" w:tplc="D440205A" w:tentative="1">
      <w:start w:val="1"/>
      <w:numFmt w:val="lowerLetter"/>
      <w:lvlText w:val="%5."/>
      <w:lvlJc w:val="left"/>
      <w:pPr>
        <w:tabs>
          <w:tab w:val="num" w:pos="3240"/>
        </w:tabs>
        <w:ind w:left="3240" w:hanging="360"/>
      </w:pPr>
      <w:rPr>
        <w:rFonts w:cs="Times New Roman"/>
      </w:rPr>
    </w:lvl>
    <w:lvl w:ilvl="5" w:tplc="60A615FC" w:tentative="1">
      <w:start w:val="1"/>
      <w:numFmt w:val="lowerRoman"/>
      <w:lvlText w:val="%6."/>
      <w:lvlJc w:val="right"/>
      <w:pPr>
        <w:tabs>
          <w:tab w:val="num" w:pos="3960"/>
        </w:tabs>
        <w:ind w:left="3960" w:hanging="180"/>
      </w:pPr>
      <w:rPr>
        <w:rFonts w:cs="Times New Roman"/>
      </w:rPr>
    </w:lvl>
    <w:lvl w:ilvl="6" w:tplc="AAF8670E" w:tentative="1">
      <w:start w:val="1"/>
      <w:numFmt w:val="decimal"/>
      <w:lvlText w:val="%7."/>
      <w:lvlJc w:val="left"/>
      <w:pPr>
        <w:tabs>
          <w:tab w:val="num" w:pos="4680"/>
        </w:tabs>
        <w:ind w:left="4680" w:hanging="360"/>
      </w:pPr>
      <w:rPr>
        <w:rFonts w:cs="Times New Roman"/>
      </w:rPr>
    </w:lvl>
    <w:lvl w:ilvl="7" w:tplc="F09E7A58" w:tentative="1">
      <w:start w:val="1"/>
      <w:numFmt w:val="lowerLetter"/>
      <w:lvlText w:val="%8."/>
      <w:lvlJc w:val="left"/>
      <w:pPr>
        <w:tabs>
          <w:tab w:val="num" w:pos="5400"/>
        </w:tabs>
        <w:ind w:left="5400" w:hanging="360"/>
      </w:pPr>
      <w:rPr>
        <w:rFonts w:cs="Times New Roman"/>
      </w:rPr>
    </w:lvl>
    <w:lvl w:ilvl="8" w:tplc="1B0638C4" w:tentative="1">
      <w:start w:val="1"/>
      <w:numFmt w:val="lowerRoman"/>
      <w:lvlText w:val="%9."/>
      <w:lvlJc w:val="right"/>
      <w:pPr>
        <w:tabs>
          <w:tab w:val="num" w:pos="6120"/>
        </w:tabs>
        <w:ind w:left="6120" w:hanging="180"/>
      </w:pPr>
      <w:rPr>
        <w:rFonts w:cs="Times New Roman"/>
      </w:rPr>
    </w:lvl>
  </w:abstractNum>
  <w:abstractNum w:abstractNumId="22">
    <w:nsid w:val="5CBB3D7F"/>
    <w:multiLevelType w:val="hybridMultilevel"/>
    <w:tmpl w:val="0B029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536790"/>
    <w:multiLevelType w:val="hybridMultilevel"/>
    <w:tmpl w:val="3A148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7BEA03EB"/>
    <w:multiLevelType w:val="hybridMultilevel"/>
    <w:tmpl w:val="2898C0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9"/>
  </w:num>
  <w:num w:numId="5">
    <w:abstractNumId w:val="7"/>
  </w:num>
  <w:num w:numId="6">
    <w:abstractNumId w:val="14"/>
  </w:num>
  <w:num w:numId="7">
    <w:abstractNumId w:val="3"/>
  </w:num>
  <w:num w:numId="8">
    <w:abstractNumId w:val="5"/>
  </w:num>
  <w:num w:numId="9">
    <w:abstractNumId w:val="23"/>
  </w:num>
  <w:num w:numId="10">
    <w:abstractNumId w:val="4"/>
  </w:num>
  <w:num w:numId="11">
    <w:abstractNumId w:val="24"/>
  </w:num>
  <w:num w:numId="12">
    <w:abstractNumId w:val="17"/>
  </w:num>
  <w:num w:numId="13">
    <w:abstractNumId w:val="13"/>
  </w:num>
  <w:num w:numId="14">
    <w:abstractNumId w:val="22"/>
  </w:num>
  <w:num w:numId="15">
    <w:abstractNumId w:val="9"/>
  </w:num>
  <w:num w:numId="16">
    <w:abstractNumId w:val="21"/>
  </w:num>
  <w:num w:numId="17">
    <w:abstractNumId w:val="25"/>
  </w:num>
  <w:num w:numId="18">
    <w:abstractNumId w:val="11"/>
  </w:num>
  <w:num w:numId="19">
    <w:abstractNumId w:val="20"/>
  </w:num>
  <w:num w:numId="20">
    <w:abstractNumId w:val="18"/>
  </w:num>
  <w:num w:numId="21">
    <w:abstractNumId w:val="15"/>
  </w:num>
  <w:num w:numId="22">
    <w:abstractNumId w:val="6"/>
  </w:num>
  <w:num w:numId="23">
    <w:abstractNumId w:val="12"/>
  </w:num>
  <w:num w:numId="24">
    <w:abstractNumId w:val="3"/>
  </w:num>
  <w:num w:numId="25">
    <w:abstractNumId w:val="10"/>
  </w:num>
  <w:num w:numId="26">
    <w:abstractNumId w:val="8"/>
  </w:num>
  <w:num w:numId="27">
    <w:abstractNumId w:val="1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NTZ Vincent">
    <w15:presenceInfo w15:providerId="None" w15:userId="KUNTZ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8193" style="mso-position-vertical-relative:line" fillcolor="white">
      <v:fill color="white"/>
      <v:textbox inset=".5mm,.3mm,.5mm,.3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9"/>
    <w:rsid w:val="00001017"/>
    <w:rsid w:val="00001537"/>
    <w:rsid w:val="00002DDE"/>
    <w:rsid w:val="00002FDF"/>
    <w:rsid w:val="00004240"/>
    <w:rsid w:val="00005800"/>
    <w:rsid w:val="0000704D"/>
    <w:rsid w:val="0000789D"/>
    <w:rsid w:val="00010F86"/>
    <w:rsid w:val="00012A92"/>
    <w:rsid w:val="00012EC0"/>
    <w:rsid w:val="00014362"/>
    <w:rsid w:val="00014699"/>
    <w:rsid w:val="00017A15"/>
    <w:rsid w:val="000204FD"/>
    <w:rsid w:val="0002062E"/>
    <w:rsid w:val="0002124A"/>
    <w:rsid w:val="0002346C"/>
    <w:rsid w:val="00024331"/>
    <w:rsid w:val="00026D8B"/>
    <w:rsid w:val="0003109F"/>
    <w:rsid w:val="00031D3C"/>
    <w:rsid w:val="00034DA4"/>
    <w:rsid w:val="0003650B"/>
    <w:rsid w:val="000368C4"/>
    <w:rsid w:val="00040735"/>
    <w:rsid w:val="00040C07"/>
    <w:rsid w:val="00041BD6"/>
    <w:rsid w:val="00041D00"/>
    <w:rsid w:val="00052EBE"/>
    <w:rsid w:val="000555B8"/>
    <w:rsid w:val="00055F12"/>
    <w:rsid w:val="00056BD0"/>
    <w:rsid w:val="00057641"/>
    <w:rsid w:val="000579F3"/>
    <w:rsid w:val="000613A0"/>
    <w:rsid w:val="00062178"/>
    <w:rsid w:val="00062F1D"/>
    <w:rsid w:val="00066628"/>
    <w:rsid w:val="00067F02"/>
    <w:rsid w:val="00070C7B"/>
    <w:rsid w:val="00071011"/>
    <w:rsid w:val="000710A7"/>
    <w:rsid w:val="000723C1"/>
    <w:rsid w:val="000741B9"/>
    <w:rsid w:val="000742E6"/>
    <w:rsid w:val="00074341"/>
    <w:rsid w:val="00076743"/>
    <w:rsid w:val="00082879"/>
    <w:rsid w:val="00083145"/>
    <w:rsid w:val="00085D5E"/>
    <w:rsid w:val="00091492"/>
    <w:rsid w:val="00091715"/>
    <w:rsid w:val="000928D0"/>
    <w:rsid w:val="00093D9D"/>
    <w:rsid w:val="00097306"/>
    <w:rsid w:val="000A0532"/>
    <w:rsid w:val="000A06F3"/>
    <w:rsid w:val="000A25BF"/>
    <w:rsid w:val="000A2B59"/>
    <w:rsid w:val="000A30F0"/>
    <w:rsid w:val="000A3BA9"/>
    <w:rsid w:val="000A688E"/>
    <w:rsid w:val="000B23F7"/>
    <w:rsid w:val="000B39CB"/>
    <w:rsid w:val="000B57DD"/>
    <w:rsid w:val="000B5CDA"/>
    <w:rsid w:val="000B72F7"/>
    <w:rsid w:val="000C4264"/>
    <w:rsid w:val="000C46FD"/>
    <w:rsid w:val="000C500F"/>
    <w:rsid w:val="000D34A5"/>
    <w:rsid w:val="000D3967"/>
    <w:rsid w:val="000E52EB"/>
    <w:rsid w:val="000E5B94"/>
    <w:rsid w:val="000E675E"/>
    <w:rsid w:val="000F0CCA"/>
    <w:rsid w:val="000F0F52"/>
    <w:rsid w:val="000F21A5"/>
    <w:rsid w:val="000F2649"/>
    <w:rsid w:val="000F7AFF"/>
    <w:rsid w:val="001021F3"/>
    <w:rsid w:val="0010291D"/>
    <w:rsid w:val="0010460A"/>
    <w:rsid w:val="00106DD6"/>
    <w:rsid w:val="001073BF"/>
    <w:rsid w:val="001109D6"/>
    <w:rsid w:val="001131E9"/>
    <w:rsid w:val="001135FB"/>
    <w:rsid w:val="00113646"/>
    <w:rsid w:val="00115470"/>
    <w:rsid w:val="00116790"/>
    <w:rsid w:val="001215A5"/>
    <w:rsid w:val="00124D32"/>
    <w:rsid w:val="00127CEF"/>
    <w:rsid w:val="001316B7"/>
    <w:rsid w:val="00141088"/>
    <w:rsid w:val="00143E36"/>
    <w:rsid w:val="0014421D"/>
    <w:rsid w:val="00146DB1"/>
    <w:rsid w:val="00147F00"/>
    <w:rsid w:val="001511B3"/>
    <w:rsid w:val="001531C3"/>
    <w:rsid w:val="001546F1"/>
    <w:rsid w:val="001553D3"/>
    <w:rsid w:val="00155C45"/>
    <w:rsid w:val="00155D04"/>
    <w:rsid w:val="001601F8"/>
    <w:rsid w:val="00160D38"/>
    <w:rsid w:val="001614D6"/>
    <w:rsid w:val="001615D6"/>
    <w:rsid w:val="00166426"/>
    <w:rsid w:val="001675BF"/>
    <w:rsid w:val="00170DE0"/>
    <w:rsid w:val="001734DC"/>
    <w:rsid w:val="001835EA"/>
    <w:rsid w:val="00185CFA"/>
    <w:rsid w:val="00187FFB"/>
    <w:rsid w:val="0019091F"/>
    <w:rsid w:val="0019654B"/>
    <w:rsid w:val="001A08F1"/>
    <w:rsid w:val="001A0E06"/>
    <w:rsid w:val="001A1855"/>
    <w:rsid w:val="001A3AD8"/>
    <w:rsid w:val="001B0E40"/>
    <w:rsid w:val="001B3E58"/>
    <w:rsid w:val="001B602B"/>
    <w:rsid w:val="001B6E9E"/>
    <w:rsid w:val="001B7B4D"/>
    <w:rsid w:val="001C10A1"/>
    <w:rsid w:val="001C1E67"/>
    <w:rsid w:val="001C358B"/>
    <w:rsid w:val="001C380A"/>
    <w:rsid w:val="001C4F95"/>
    <w:rsid w:val="001C4FCE"/>
    <w:rsid w:val="001C6635"/>
    <w:rsid w:val="001D10D1"/>
    <w:rsid w:val="001D21A4"/>
    <w:rsid w:val="001D5113"/>
    <w:rsid w:val="001D646A"/>
    <w:rsid w:val="001E21A0"/>
    <w:rsid w:val="001F01CF"/>
    <w:rsid w:val="001F01F1"/>
    <w:rsid w:val="001F267C"/>
    <w:rsid w:val="001F3426"/>
    <w:rsid w:val="001F3FC4"/>
    <w:rsid w:val="001F40EA"/>
    <w:rsid w:val="001F486A"/>
    <w:rsid w:val="001F7B99"/>
    <w:rsid w:val="001F7CB9"/>
    <w:rsid w:val="00202EAD"/>
    <w:rsid w:val="00204201"/>
    <w:rsid w:val="002054DB"/>
    <w:rsid w:val="0020730A"/>
    <w:rsid w:val="00210C63"/>
    <w:rsid w:val="00214046"/>
    <w:rsid w:val="00215E7E"/>
    <w:rsid w:val="00216672"/>
    <w:rsid w:val="002211B7"/>
    <w:rsid w:val="00231701"/>
    <w:rsid w:val="0023231B"/>
    <w:rsid w:val="00233BAB"/>
    <w:rsid w:val="00233E08"/>
    <w:rsid w:val="002348D4"/>
    <w:rsid w:val="002354C1"/>
    <w:rsid w:val="00235A56"/>
    <w:rsid w:val="00236894"/>
    <w:rsid w:val="00245AF4"/>
    <w:rsid w:val="00245BC1"/>
    <w:rsid w:val="00247DDA"/>
    <w:rsid w:val="002518D4"/>
    <w:rsid w:val="00251DC7"/>
    <w:rsid w:val="00252F8A"/>
    <w:rsid w:val="00253CC2"/>
    <w:rsid w:val="002545C4"/>
    <w:rsid w:val="00257D04"/>
    <w:rsid w:val="00260FEC"/>
    <w:rsid w:val="002639B4"/>
    <w:rsid w:val="0026405D"/>
    <w:rsid w:val="00264D89"/>
    <w:rsid w:val="002664CC"/>
    <w:rsid w:val="00267FA9"/>
    <w:rsid w:val="00271374"/>
    <w:rsid w:val="002721E8"/>
    <w:rsid w:val="00277F1F"/>
    <w:rsid w:val="002840E1"/>
    <w:rsid w:val="0028636D"/>
    <w:rsid w:val="0029002B"/>
    <w:rsid w:val="0029215C"/>
    <w:rsid w:val="00292EC8"/>
    <w:rsid w:val="00294EE1"/>
    <w:rsid w:val="00297AC6"/>
    <w:rsid w:val="00297BB3"/>
    <w:rsid w:val="002A24FF"/>
    <w:rsid w:val="002A38D6"/>
    <w:rsid w:val="002A3F29"/>
    <w:rsid w:val="002A4BF7"/>
    <w:rsid w:val="002B1079"/>
    <w:rsid w:val="002B239C"/>
    <w:rsid w:val="002B6275"/>
    <w:rsid w:val="002B697C"/>
    <w:rsid w:val="002C28FE"/>
    <w:rsid w:val="002C300C"/>
    <w:rsid w:val="002C6152"/>
    <w:rsid w:val="002C6D28"/>
    <w:rsid w:val="002D0014"/>
    <w:rsid w:val="002D480D"/>
    <w:rsid w:val="002D4FAB"/>
    <w:rsid w:val="002D5956"/>
    <w:rsid w:val="002D6F02"/>
    <w:rsid w:val="002D7029"/>
    <w:rsid w:val="002E1E7D"/>
    <w:rsid w:val="002E1F36"/>
    <w:rsid w:val="002E4490"/>
    <w:rsid w:val="002E4EA4"/>
    <w:rsid w:val="002E5011"/>
    <w:rsid w:val="002E53E2"/>
    <w:rsid w:val="002E5D8E"/>
    <w:rsid w:val="002E7D2C"/>
    <w:rsid w:val="002F0374"/>
    <w:rsid w:val="002F4111"/>
    <w:rsid w:val="002F62F4"/>
    <w:rsid w:val="002F636F"/>
    <w:rsid w:val="00300AA2"/>
    <w:rsid w:val="00302A8D"/>
    <w:rsid w:val="003044A0"/>
    <w:rsid w:val="00305C43"/>
    <w:rsid w:val="00312522"/>
    <w:rsid w:val="00317059"/>
    <w:rsid w:val="00325B7B"/>
    <w:rsid w:val="00327270"/>
    <w:rsid w:val="00333957"/>
    <w:rsid w:val="00334404"/>
    <w:rsid w:val="0033506F"/>
    <w:rsid w:val="0033542B"/>
    <w:rsid w:val="003356A6"/>
    <w:rsid w:val="00337651"/>
    <w:rsid w:val="00351F8D"/>
    <w:rsid w:val="00353A92"/>
    <w:rsid w:val="00354027"/>
    <w:rsid w:val="0035726C"/>
    <w:rsid w:val="0036052C"/>
    <w:rsid w:val="003620C1"/>
    <w:rsid w:val="00362ED7"/>
    <w:rsid w:val="00363532"/>
    <w:rsid w:val="00363D78"/>
    <w:rsid w:val="003651CE"/>
    <w:rsid w:val="0037021D"/>
    <w:rsid w:val="00375596"/>
    <w:rsid w:val="00384731"/>
    <w:rsid w:val="003849E8"/>
    <w:rsid w:val="00384B80"/>
    <w:rsid w:val="00392745"/>
    <w:rsid w:val="00392BF6"/>
    <w:rsid w:val="003937F7"/>
    <w:rsid w:val="00394890"/>
    <w:rsid w:val="0039570C"/>
    <w:rsid w:val="003966DF"/>
    <w:rsid w:val="00396C37"/>
    <w:rsid w:val="003A03D9"/>
    <w:rsid w:val="003A3CB3"/>
    <w:rsid w:val="003A5F84"/>
    <w:rsid w:val="003A6A34"/>
    <w:rsid w:val="003B0844"/>
    <w:rsid w:val="003B0989"/>
    <w:rsid w:val="003B0A4B"/>
    <w:rsid w:val="003B24C3"/>
    <w:rsid w:val="003B39AD"/>
    <w:rsid w:val="003C1953"/>
    <w:rsid w:val="003C3185"/>
    <w:rsid w:val="003C4022"/>
    <w:rsid w:val="003C42B3"/>
    <w:rsid w:val="003C435B"/>
    <w:rsid w:val="003C6A90"/>
    <w:rsid w:val="003D051A"/>
    <w:rsid w:val="003D27B0"/>
    <w:rsid w:val="003D2AD7"/>
    <w:rsid w:val="003D450A"/>
    <w:rsid w:val="003D6D0D"/>
    <w:rsid w:val="003E7326"/>
    <w:rsid w:val="003F086A"/>
    <w:rsid w:val="003F1701"/>
    <w:rsid w:val="003F53E9"/>
    <w:rsid w:val="00400DA2"/>
    <w:rsid w:val="00403270"/>
    <w:rsid w:val="00404084"/>
    <w:rsid w:val="00405E32"/>
    <w:rsid w:val="0041391F"/>
    <w:rsid w:val="0041426B"/>
    <w:rsid w:val="00420E23"/>
    <w:rsid w:val="00421A01"/>
    <w:rsid w:val="00423BB5"/>
    <w:rsid w:val="00424809"/>
    <w:rsid w:val="0042547D"/>
    <w:rsid w:val="0042665B"/>
    <w:rsid w:val="00427FBF"/>
    <w:rsid w:val="00430D0A"/>
    <w:rsid w:val="004330F5"/>
    <w:rsid w:val="00435190"/>
    <w:rsid w:val="00436964"/>
    <w:rsid w:val="00440019"/>
    <w:rsid w:val="00441100"/>
    <w:rsid w:val="00443B92"/>
    <w:rsid w:val="00445D6F"/>
    <w:rsid w:val="00447526"/>
    <w:rsid w:val="00451F31"/>
    <w:rsid w:val="00452967"/>
    <w:rsid w:val="00452A0C"/>
    <w:rsid w:val="00453E13"/>
    <w:rsid w:val="004547AC"/>
    <w:rsid w:val="00455179"/>
    <w:rsid w:val="00455290"/>
    <w:rsid w:val="004568F6"/>
    <w:rsid w:val="00457D6B"/>
    <w:rsid w:val="00461A85"/>
    <w:rsid w:val="00462308"/>
    <w:rsid w:val="004642B7"/>
    <w:rsid w:val="00465B5A"/>
    <w:rsid w:val="00467DE1"/>
    <w:rsid w:val="004711A1"/>
    <w:rsid w:val="0047252E"/>
    <w:rsid w:val="00473608"/>
    <w:rsid w:val="004736BD"/>
    <w:rsid w:val="004739DB"/>
    <w:rsid w:val="00473EF5"/>
    <w:rsid w:val="00476086"/>
    <w:rsid w:val="0048064C"/>
    <w:rsid w:val="00480C4A"/>
    <w:rsid w:val="00482902"/>
    <w:rsid w:val="00482F2E"/>
    <w:rsid w:val="0048523C"/>
    <w:rsid w:val="004856EF"/>
    <w:rsid w:val="00490152"/>
    <w:rsid w:val="00493E71"/>
    <w:rsid w:val="004955EB"/>
    <w:rsid w:val="004A0CF9"/>
    <w:rsid w:val="004A1CB6"/>
    <w:rsid w:val="004A1FCB"/>
    <w:rsid w:val="004A3379"/>
    <w:rsid w:val="004A54B7"/>
    <w:rsid w:val="004A7627"/>
    <w:rsid w:val="004B0D1B"/>
    <w:rsid w:val="004B25E0"/>
    <w:rsid w:val="004B4E0E"/>
    <w:rsid w:val="004B5A1F"/>
    <w:rsid w:val="004B628A"/>
    <w:rsid w:val="004B6FE9"/>
    <w:rsid w:val="004B74EB"/>
    <w:rsid w:val="004B7FF6"/>
    <w:rsid w:val="004C3330"/>
    <w:rsid w:val="004C565A"/>
    <w:rsid w:val="004D0449"/>
    <w:rsid w:val="004D0B13"/>
    <w:rsid w:val="004D0BD6"/>
    <w:rsid w:val="004D0BE1"/>
    <w:rsid w:val="004D5FE3"/>
    <w:rsid w:val="004E0D07"/>
    <w:rsid w:val="004E69AC"/>
    <w:rsid w:val="004E70A5"/>
    <w:rsid w:val="004E7C22"/>
    <w:rsid w:val="004F03CA"/>
    <w:rsid w:val="004F3FC6"/>
    <w:rsid w:val="004F4E93"/>
    <w:rsid w:val="005020FF"/>
    <w:rsid w:val="005037EE"/>
    <w:rsid w:val="00504720"/>
    <w:rsid w:val="00504FE1"/>
    <w:rsid w:val="005054F7"/>
    <w:rsid w:val="00510B39"/>
    <w:rsid w:val="005121B7"/>
    <w:rsid w:val="00512433"/>
    <w:rsid w:val="005150C9"/>
    <w:rsid w:val="00516143"/>
    <w:rsid w:val="00520BBC"/>
    <w:rsid w:val="00522375"/>
    <w:rsid w:val="005301A8"/>
    <w:rsid w:val="00531657"/>
    <w:rsid w:val="00531F8A"/>
    <w:rsid w:val="0053281A"/>
    <w:rsid w:val="00533809"/>
    <w:rsid w:val="00540540"/>
    <w:rsid w:val="00543A38"/>
    <w:rsid w:val="0054427C"/>
    <w:rsid w:val="00544A8C"/>
    <w:rsid w:val="00545722"/>
    <w:rsid w:val="005547B7"/>
    <w:rsid w:val="005560E2"/>
    <w:rsid w:val="005568C7"/>
    <w:rsid w:val="00562DA2"/>
    <w:rsid w:val="005659D3"/>
    <w:rsid w:val="005677D4"/>
    <w:rsid w:val="0057240C"/>
    <w:rsid w:val="00574E47"/>
    <w:rsid w:val="00574F89"/>
    <w:rsid w:val="005758E9"/>
    <w:rsid w:val="00575AD2"/>
    <w:rsid w:val="00576B81"/>
    <w:rsid w:val="005776E2"/>
    <w:rsid w:val="00577F83"/>
    <w:rsid w:val="00580CDF"/>
    <w:rsid w:val="00580FD2"/>
    <w:rsid w:val="005812FA"/>
    <w:rsid w:val="00584622"/>
    <w:rsid w:val="00584874"/>
    <w:rsid w:val="0058635B"/>
    <w:rsid w:val="00587368"/>
    <w:rsid w:val="00591E94"/>
    <w:rsid w:val="00594B30"/>
    <w:rsid w:val="00595E31"/>
    <w:rsid w:val="005A08D1"/>
    <w:rsid w:val="005A4AAE"/>
    <w:rsid w:val="005A7CE9"/>
    <w:rsid w:val="005B1825"/>
    <w:rsid w:val="005B2E5D"/>
    <w:rsid w:val="005B4274"/>
    <w:rsid w:val="005B5ECF"/>
    <w:rsid w:val="005B64BF"/>
    <w:rsid w:val="005C0610"/>
    <w:rsid w:val="005C2AEB"/>
    <w:rsid w:val="005C4627"/>
    <w:rsid w:val="005C5827"/>
    <w:rsid w:val="005C7E45"/>
    <w:rsid w:val="005D4AB6"/>
    <w:rsid w:val="005D4D37"/>
    <w:rsid w:val="005D5624"/>
    <w:rsid w:val="005D7FDF"/>
    <w:rsid w:val="005E03F0"/>
    <w:rsid w:val="005E0530"/>
    <w:rsid w:val="005E1F76"/>
    <w:rsid w:val="005E2821"/>
    <w:rsid w:val="005E2991"/>
    <w:rsid w:val="005E2CE9"/>
    <w:rsid w:val="005E7676"/>
    <w:rsid w:val="005F21EA"/>
    <w:rsid w:val="005F2D37"/>
    <w:rsid w:val="005F38E4"/>
    <w:rsid w:val="005F4C0C"/>
    <w:rsid w:val="005F5B9B"/>
    <w:rsid w:val="005F67CC"/>
    <w:rsid w:val="00600CBE"/>
    <w:rsid w:val="00603B3A"/>
    <w:rsid w:val="00605AD9"/>
    <w:rsid w:val="006068EE"/>
    <w:rsid w:val="0060696C"/>
    <w:rsid w:val="00610FEA"/>
    <w:rsid w:val="00615200"/>
    <w:rsid w:val="00615A18"/>
    <w:rsid w:val="00620A84"/>
    <w:rsid w:val="006213EF"/>
    <w:rsid w:val="00621AC1"/>
    <w:rsid w:val="00626577"/>
    <w:rsid w:val="0062690E"/>
    <w:rsid w:val="00627D6C"/>
    <w:rsid w:val="00630324"/>
    <w:rsid w:val="00631E74"/>
    <w:rsid w:val="00631FA9"/>
    <w:rsid w:val="006321E4"/>
    <w:rsid w:val="00633C4E"/>
    <w:rsid w:val="00636D71"/>
    <w:rsid w:val="0064101E"/>
    <w:rsid w:val="00642443"/>
    <w:rsid w:val="00645203"/>
    <w:rsid w:val="00650AE7"/>
    <w:rsid w:val="00650D9D"/>
    <w:rsid w:val="00651BB7"/>
    <w:rsid w:val="00652375"/>
    <w:rsid w:val="00652AB3"/>
    <w:rsid w:val="00660398"/>
    <w:rsid w:val="00662698"/>
    <w:rsid w:val="00663F6B"/>
    <w:rsid w:val="006677F7"/>
    <w:rsid w:val="00667A1D"/>
    <w:rsid w:val="006731EC"/>
    <w:rsid w:val="006755AB"/>
    <w:rsid w:val="006766FD"/>
    <w:rsid w:val="00687943"/>
    <w:rsid w:val="0069138B"/>
    <w:rsid w:val="00692FA1"/>
    <w:rsid w:val="00693804"/>
    <w:rsid w:val="00694AC5"/>
    <w:rsid w:val="0069764D"/>
    <w:rsid w:val="0069783B"/>
    <w:rsid w:val="00697E6E"/>
    <w:rsid w:val="006A0750"/>
    <w:rsid w:val="006A3461"/>
    <w:rsid w:val="006A48BF"/>
    <w:rsid w:val="006A516C"/>
    <w:rsid w:val="006A5A9A"/>
    <w:rsid w:val="006A5CA3"/>
    <w:rsid w:val="006A752B"/>
    <w:rsid w:val="006B1B55"/>
    <w:rsid w:val="006B5C3C"/>
    <w:rsid w:val="006B6158"/>
    <w:rsid w:val="006B6345"/>
    <w:rsid w:val="006B68FF"/>
    <w:rsid w:val="006B70DC"/>
    <w:rsid w:val="006C0445"/>
    <w:rsid w:val="006C0915"/>
    <w:rsid w:val="006C0D63"/>
    <w:rsid w:val="006C1C43"/>
    <w:rsid w:val="006C5510"/>
    <w:rsid w:val="006D0199"/>
    <w:rsid w:val="006D0CDC"/>
    <w:rsid w:val="006D5646"/>
    <w:rsid w:val="006D68E2"/>
    <w:rsid w:val="006E3AF9"/>
    <w:rsid w:val="006E4A92"/>
    <w:rsid w:val="006F035C"/>
    <w:rsid w:val="006F4480"/>
    <w:rsid w:val="006F4DD7"/>
    <w:rsid w:val="006F57A8"/>
    <w:rsid w:val="006F5F0D"/>
    <w:rsid w:val="006F60F0"/>
    <w:rsid w:val="006F6A65"/>
    <w:rsid w:val="006F75A6"/>
    <w:rsid w:val="00700894"/>
    <w:rsid w:val="0070102A"/>
    <w:rsid w:val="00701597"/>
    <w:rsid w:val="00703E0B"/>
    <w:rsid w:val="00714567"/>
    <w:rsid w:val="007152D2"/>
    <w:rsid w:val="00716C3D"/>
    <w:rsid w:val="007177B4"/>
    <w:rsid w:val="00721AE7"/>
    <w:rsid w:val="0072324C"/>
    <w:rsid w:val="0072755E"/>
    <w:rsid w:val="00730EAD"/>
    <w:rsid w:val="00731D6C"/>
    <w:rsid w:val="00732B6C"/>
    <w:rsid w:val="00740687"/>
    <w:rsid w:val="007407CC"/>
    <w:rsid w:val="00740BDD"/>
    <w:rsid w:val="00740CE2"/>
    <w:rsid w:val="007410D6"/>
    <w:rsid w:val="00741B23"/>
    <w:rsid w:val="00746347"/>
    <w:rsid w:val="00746FCE"/>
    <w:rsid w:val="00751101"/>
    <w:rsid w:val="00752B1A"/>
    <w:rsid w:val="00752EF7"/>
    <w:rsid w:val="0075376C"/>
    <w:rsid w:val="0075384C"/>
    <w:rsid w:val="007539CE"/>
    <w:rsid w:val="007540B2"/>
    <w:rsid w:val="00754377"/>
    <w:rsid w:val="007552D6"/>
    <w:rsid w:val="00755CDF"/>
    <w:rsid w:val="00755E11"/>
    <w:rsid w:val="0076047D"/>
    <w:rsid w:val="007606E2"/>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2971"/>
    <w:rsid w:val="00792E75"/>
    <w:rsid w:val="00793793"/>
    <w:rsid w:val="007947D4"/>
    <w:rsid w:val="007949EC"/>
    <w:rsid w:val="00795443"/>
    <w:rsid w:val="007963BA"/>
    <w:rsid w:val="007968E1"/>
    <w:rsid w:val="00797BBF"/>
    <w:rsid w:val="00797CF2"/>
    <w:rsid w:val="007A26A0"/>
    <w:rsid w:val="007A40BB"/>
    <w:rsid w:val="007A620F"/>
    <w:rsid w:val="007B0C7D"/>
    <w:rsid w:val="007B409B"/>
    <w:rsid w:val="007C0FF9"/>
    <w:rsid w:val="007C152D"/>
    <w:rsid w:val="007C2603"/>
    <w:rsid w:val="007C29DB"/>
    <w:rsid w:val="007C483A"/>
    <w:rsid w:val="007C7DCF"/>
    <w:rsid w:val="007D7DB9"/>
    <w:rsid w:val="007E25C8"/>
    <w:rsid w:val="007E543F"/>
    <w:rsid w:val="007E7B99"/>
    <w:rsid w:val="007E7EF9"/>
    <w:rsid w:val="007F15A9"/>
    <w:rsid w:val="007F1C08"/>
    <w:rsid w:val="007F385C"/>
    <w:rsid w:val="00800E46"/>
    <w:rsid w:val="00801FD4"/>
    <w:rsid w:val="00804355"/>
    <w:rsid w:val="00805990"/>
    <w:rsid w:val="00811052"/>
    <w:rsid w:val="00811097"/>
    <w:rsid w:val="008166BA"/>
    <w:rsid w:val="00817A20"/>
    <w:rsid w:val="00820064"/>
    <w:rsid w:val="00820359"/>
    <w:rsid w:val="00822D58"/>
    <w:rsid w:val="00827674"/>
    <w:rsid w:val="0082798F"/>
    <w:rsid w:val="00831FAC"/>
    <w:rsid w:val="008336F1"/>
    <w:rsid w:val="0083438B"/>
    <w:rsid w:val="008368DB"/>
    <w:rsid w:val="00840A10"/>
    <w:rsid w:val="00843522"/>
    <w:rsid w:val="008437A0"/>
    <w:rsid w:val="00843D4B"/>
    <w:rsid w:val="00843FF2"/>
    <w:rsid w:val="008443CA"/>
    <w:rsid w:val="00847F4E"/>
    <w:rsid w:val="0085430E"/>
    <w:rsid w:val="008566C1"/>
    <w:rsid w:val="0085758D"/>
    <w:rsid w:val="00860170"/>
    <w:rsid w:val="0086142E"/>
    <w:rsid w:val="008614BC"/>
    <w:rsid w:val="00862332"/>
    <w:rsid w:val="00865478"/>
    <w:rsid w:val="00870B38"/>
    <w:rsid w:val="00872F52"/>
    <w:rsid w:val="00877167"/>
    <w:rsid w:val="00880A86"/>
    <w:rsid w:val="00881275"/>
    <w:rsid w:val="008823CB"/>
    <w:rsid w:val="008902ED"/>
    <w:rsid w:val="00890A60"/>
    <w:rsid w:val="008919A8"/>
    <w:rsid w:val="008936D6"/>
    <w:rsid w:val="008955F7"/>
    <w:rsid w:val="00896644"/>
    <w:rsid w:val="008975B3"/>
    <w:rsid w:val="00897897"/>
    <w:rsid w:val="008A097F"/>
    <w:rsid w:val="008A1AF3"/>
    <w:rsid w:val="008A5FBD"/>
    <w:rsid w:val="008B3BC4"/>
    <w:rsid w:val="008B4DF8"/>
    <w:rsid w:val="008B5259"/>
    <w:rsid w:val="008B59E4"/>
    <w:rsid w:val="008B6DC7"/>
    <w:rsid w:val="008B7FA0"/>
    <w:rsid w:val="008C2C97"/>
    <w:rsid w:val="008C322A"/>
    <w:rsid w:val="008C3907"/>
    <w:rsid w:val="008C661C"/>
    <w:rsid w:val="008C720D"/>
    <w:rsid w:val="008C7918"/>
    <w:rsid w:val="008D140B"/>
    <w:rsid w:val="008D161C"/>
    <w:rsid w:val="008D2445"/>
    <w:rsid w:val="008E0069"/>
    <w:rsid w:val="008E0777"/>
    <w:rsid w:val="008E0E73"/>
    <w:rsid w:val="008E3B65"/>
    <w:rsid w:val="008E6BE7"/>
    <w:rsid w:val="008F0A01"/>
    <w:rsid w:val="008F2CB9"/>
    <w:rsid w:val="00905981"/>
    <w:rsid w:val="00907026"/>
    <w:rsid w:val="00907247"/>
    <w:rsid w:val="00911AFE"/>
    <w:rsid w:val="00911DFF"/>
    <w:rsid w:val="009128CC"/>
    <w:rsid w:val="00913337"/>
    <w:rsid w:val="009145CE"/>
    <w:rsid w:val="00915D0E"/>
    <w:rsid w:val="00917901"/>
    <w:rsid w:val="0092314D"/>
    <w:rsid w:val="009236E8"/>
    <w:rsid w:val="00925433"/>
    <w:rsid w:val="0092566F"/>
    <w:rsid w:val="00930DE7"/>
    <w:rsid w:val="00940CF9"/>
    <w:rsid w:val="00941919"/>
    <w:rsid w:val="00944C88"/>
    <w:rsid w:val="00945ADB"/>
    <w:rsid w:val="00946292"/>
    <w:rsid w:val="0094732A"/>
    <w:rsid w:val="00947B97"/>
    <w:rsid w:val="0095066B"/>
    <w:rsid w:val="00951191"/>
    <w:rsid w:val="00951A1D"/>
    <w:rsid w:val="0095338D"/>
    <w:rsid w:val="009557E7"/>
    <w:rsid w:val="00955F7A"/>
    <w:rsid w:val="00957BAB"/>
    <w:rsid w:val="00957CBB"/>
    <w:rsid w:val="00961093"/>
    <w:rsid w:val="00961FF7"/>
    <w:rsid w:val="00962352"/>
    <w:rsid w:val="009632BD"/>
    <w:rsid w:val="009636D0"/>
    <w:rsid w:val="009658D8"/>
    <w:rsid w:val="00967BF4"/>
    <w:rsid w:val="009708C3"/>
    <w:rsid w:val="009721EB"/>
    <w:rsid w:val="0097231B"/>
    <w:rsid w:val="009724B9"/>
    <w:rsid w:val="00975A6A"/>
    <w:rsid w:val="00975B6E"/>
    <w:rsid w:val="00977299"/>
    <w:rsid w:val="00981259"/>
    <w:rsid w:val="009835BD"/>
    <w:rsid w:val="009839FF"/>
    <w:rsid w:val="00983FAC"/>
    <w:rsid w:val="0098587D"/>
    <w:rsid w:val="00985A1F"/>
    <w:rsid w:val="00986F4A"/>
    <w:rsid w:val="009873E1"/>
    <w:rsid w:val="0098753B"/>
    <w:rsid w:val="009902F4"/>
    <w:rsid w:val="00990502"/>
    <w:rsid w:val="009934AB"/>
    <w:rsid w:val="009952E3"/>
    <w:rsid w:val="009A0332"/>
    <w:rsid w:val="009A0C1C"/>
    <w:rsid w:val="009A22BF"/>
    <w:rsid w:val="009A67B3"/>
    <w:rsid w:val="009B0E83"/>
    <w:rsid w:val="009B17F0"/>
    <w:rsid w:val="009B18B3"/>
    <w:rsid w:val="009B2F5B"/>
    <w:rsid w:val="009B36B0"/>
    <w:rsid w:val="009B5572"/>
    <w:rsid w:val="009C0AE7"/>
    <w:rsid w:val="009C1AB2"/>
    <w:rsid w:val="009C76B5"/>
    <w:rsid w:val="009C7F8A"/>
    <w:rsid w:val="009D303C"/>
    <w:rsid w:val="009D4212"/>
    <w:rsid w:val="009D4490"/>
    <w:rsid w:val="009D488B"/>
    <w:rsid w:val="009D5E40"/>
    <w:rsid w:val="009D71D9"/>
    <w:rsid w:val="009E0888"/>
    <w:rsid w:val="009E15BA"/>
    <w:rsid w:val="009E2755"/>
    <w:rsid w:val="009E42E0"/>
    <w:rsid w:val="009F2F0E"/>
    <w:rsid w:val="009F308A"/>
    <w:rsid w:val="009F3D9E"/>
    <w:rsid w:val="009F705A"/>
    <w:rsid w:val="009F73E9"/>
    <w:rsid w:val="00A010CD"/>
    <w:rsid w:val="00A01E51"/>
    <w:rsid w:val="00A042A2"/>
    <w:rsid w:val="00A0465E"/>
    <w:rsid w:val="00A05057"/>
    <w:rsid w:val="00A0532D"/>
    <w:rsid w:val="00A05F49"/>
    <w:rsid w:val="00A0759A"/>
    <w:rsid w:val="00A10BE3"/>
    <w:rsid w:val="00A10C50"/>
    <w:rsid w:val="00A11F48"/>
    <w:rsid w:val="00A125EA"/>
    <w:rsid w:val="00A12DF4"/>
    <w:rsid w:val="00A15468"/>
    <w:rsid w:val="00A17A2F"/>
    <w:rsid w:val="00A21FF1"/>
    <w:rsid w:val="00A22FE2"/>
    <w:rsid w:val="00A24D3C"/>
    <w:rsid w:val="00A24D47"/>
    <w:rsid w:val="00A2611E"/>
    <w:rsid w:val="00A26597"/>
    <w:rsid w:val="00A26920"/>
    <w:rsid w:val="00A27165"/>
    <w:rsid w:val="00A272BB"/>
    <w:rsid w:val="00A30548"/>
    <w:rsid w:val="00A356C7"/>
    <w:rsid w:val="00A360D0"/>
    <w:rsid w:val="00A434B4"/>
    <w:rsid w:val="00A45550"/>
    <w:rsid w:val="00A51081"/>
    <w:rsid w:val="00A512E9"/>
    <w:rsid w:val="00A52703"/>
    <w:rsid w:val="00A55923"/>
    <w:rsid w:val="00A5737A"/>
    <w:rsid w:val="00A614B0"/>
    <w:rsid w:val="00A62C34"/>
    <w:rsid w:val="00A65A57"/>
    <w:rsid w:val="00A71139"/>
    <w:rsid w:val="00A711C8"/>
    <w:rsid w:val="00A71B05"/>
    <w:rsid w:val="00A72536"/>
    <w:rsid w:val="00A72D3A"/>
    <w:rsid w:val="00A731F1"/>
    <w:rsid w:val="00A741CA"/>
    <w:rsid w:val="00A76E41"/>
    <w:rsid w:val="00A824DF"/>
    <w:rsid w:val="00A82D19"/>
    <w:rsid w:val="00A830CA"/>
    <w:rsid w:val="00A837D6"/>
    <w:rsid w:val="00A85C11"/>
    <w:rsid w:val="00A8757F"/>
    <w:rsid w:val="00A87A31"/>
    <w:rsid w:val="00A87D72"/>
    <w:rsid w:val="00A914AB"/>
    <w:rsid w:val="00A92B1C"/>
    <w:rsid w:val="00AA0025"/>
    <w:rsid w:val="00AA01E1"/>
    <w:rsid w:val="00AA19A6"/>
    <w:rsid w:val="00AA45D1"/>
    <w:rsid w:val="00AA6B9B"/>
    <w:rsid w:val="00AB3230"/>
    <w:rsid w:val="00AB48D7"/>
    <w:rsid w:val="00AC0A0F"/>
    <w:rsid w:val="00AC374D"/>
    <w:rsid w:val="00AC5449"/>
    <w:rsid w:val="00AD02D8"/>
    <w:rsid w:val="00AD2B41"/>
    <w:rsid w:val="00AD3F72"/>
    <w:rsid w:val="00AD66B4"/>
    <w:rsid w:val="00AD767B"/>
    <w:rsid w:val="00AD7F44"/>
    <w:rsid w:val="00AE17B3"/>
    <w:rsid w:val="00AE35F7"/>
    <w:rsid w:val="00AE7DC0"/>
    <w:rsid w:val="00AF09A2"/>
    <w:rsid w:val="00AF3B7C"/>
    <w:rsid w:val="00AF40AB"/>
    <w:rsid w:val="00AF74A2"/>
    <w:rsid w:val="00B000D4"/>
    <w:rsid w:val="00B04606"/>
    <w:rsid w:val="00B07CA7"/>
    <w:rsid w:val="00B13640"/>
    <w:rsid w:val="00B13A25"/>
    <w:rsid w:val="00B17156"/>
    <w:rsid w:val="00B17273"/>
    <w:rsid w:val="00B205ED"/>
    <w:rsid w:val="00B208C4"/>
    <w:rsid w:val="00B20E2D"/>
    <w:rsid w:val="00B267CE"/>
    <w:rsid w:val="00B2742D"/>
    <w:rsid w:val="00B30CDF"/>
    <w:rsid w:val="00B30D7B"/>
    <w:rsid w:val="00B32C3D"/>
    <w:rsid w:val="00B35030"/>
    <w:rsid w:val="00B37CD1"/>
    <w:rsid w:val="00B40449"/>
    <w:rsid w:val="00B4087B"/>
    <w:rsid w:val="00B4165B"/>
    <w:rsid w:val="00B423D4"/>
    <w:rsid w:val="00B4327B"/>
    <w:rsid w:val="00B463BE"/>
    <w:rsid w:val="00B4739C"/>
    <w:rsid w:val="00B47CA5"/>
    <w:rsid w:val="00B5005B"/>
    <w:rsid w:val="00B517A6"/>
    <w:rsid w:val="00B52688"/>
    <w:rsid w:val="00B52F2C"/>
    <w:rsid w:val="00B5591A"/>
    <w:rsid w:val="00B560D6"/>
    <w:rsid w:val="00B6180B"/>
    <w:rsid w:val="00B62942"/>
    <w:rsid w:val="00B62BF2"/>
    <w:rsid w:val="00B6321F"/>
    <w:rsid w:val="00B63233"/>
    <w:rsid w:val="00B653B9"/>
    <w:rsid w:val="00B7422E"/>
    <w:rsid w:val="00B7460F"/>
    <w:rsid w:val="00B778E6"/>
    <w:rsid w:val="00B83EF3"/>
    <w:rsid w:val="00B85DD1"/>
    <w:rsid w:val="00B91C42"/>
    <w:rsid w:val="00B927AD"/>
    <w:rsid w:val="00B937C1"/>
    <w:rsid w:val="00B9443D"/>
    <w:rsid w:val="00B95939"/>
    <w:rsid w:val="00B96176"/>
    <w:rsid w:val="00B965E7"/>
    <w:rsid w:val="00BA1249"/>
    <w:rsid w:val="00BA5E12"/>
    <w:rsid w:val="00BB5003"/>
    <w:rsid w:val="00BB5604"/>
    <w:rsid w:val="00BB71C4"/>
    <w:rsid w:val="00BC1746"/>
    <w:rsid w:val="00BC1771"/>
    <w:rsid w:val="00BC198B"/>
    <w:rsid w:val="00BC1F28"/>
    <w:rsid w:val="00BC2531"/>
    <w:rsid w:val="00BC3819"/>
    <w:rsid w:val="00BC7F66"/>
    <w:rsid w:val="00BD034B"/>
    <w:rsid w:val="00BD15DA"/>
    <w:rsid w:val="00BD1F8F"/>
    <w:rsid w:val="00BD2E3F"/>
    <w:rsid w:val="00BD46F1"/>
    <w:rsid w:val="00BD63EB"/>
    <w:rsid w:val="00BD7AF5"/>
    <w:rsid w:val="00BE2AE3"/>
    <w:rsid w:val="00BE3316"/>
    <w:rsid w:val="00BE564B"/>
    <w:rsid w:val="00BE57F4"/>
    <w:rsid w:val="00BF3DA7"/>
    <w:rsid w:val="00BF5E1A"/>
    <w:rsid w:val="00C00E0C"/>
    <w:rsid w:val="00C0207F"/>
    <w:rsid w:val="00C03D98"/>
    <w:rsid w:val="00C06B8E"/>
    <w:rsid w:val="00C10B56"/>
    <w:rsid w:val="00C16A16"/>
    <w:rsid w:val="00C22376"/>
    <w:rsid w:val="00C2546F"/>
    <w:rsid w:val="00C2608F"/>
    <w:rsid w:val="00C277DE"/>
    <w:rsid w:val="00C27E80"/>
    <w:rsid w:val="00C302FA"/>
    <w:rsid w:val="00C30807"/>
    <w:rsid w:val="00C31EB7"/>
    <w:rsid w:val="00C3249A"/>
    <w:rsid w:val="00C32C62"/>
    <w:rsid w:val="00C33348"/>
    <w:rsid w:val="00C34B74"/>
    <w:rsid w:val="00C370CA"/>
    <w:rsid w:val="00C40847"/>
    <w:rsid w:val="00C4428B"/>
    <w:rsid w:val="00C46C94"/>
    <w:rsid w:val="00C46D9F"/>
    <w:rsid w:val="00C50BA1"/>
    <w:rsid w:val="00C5241D"/>
    <w:rsid w:val="00C57404"/>
    <w:rsid w:val="00C57A36"/>
    <w:rsid w:val="00C6009C"/>
    <w:rsid w:val="00C60155"/>
    <w:rsid w:val="00C61312"/>
    <w:rsid w:val="00C632C3"/>
    <w:rsid w:val="00C63362"/>
    <w:rsid w:val="00C64929"/>
    <w:rsid w:val="00C658EA"/>
    <w:rsid w:val="00C71696"/>
    <w:rsid w:val="00C73634"/>
    <w:rsid w:val="00C73FCA"/>
    <w:rsid w:val="00C74D2C"/>
    <w:rsid w:val="00C77622"/>
    <w:rsid w:val="00C80E8D"/>
    <w:rsid w:val="00C81911"/>
    <w:rsid w:val="00C81964"/>
    <w:rsid w:val="00C86993"/>
    <w:rsid w:val="00C875BB"/>
    <w:rsid w:val="00C94AD1"/>
    <w:rsid w:val="00CA0823"/>
    <w:rsid w:val="00CA11ED"/>
    <w:rsid w:val="00CA15A0"/>
    <w:rsid w:val="00CA1A8D"/>
    <w:rsid w:val="00CA202F"/>
    <w:rsid w:val="00CA3AAF"/>
    <w:rsid w:val="00CA4EB7"/>
    <w:rsid w:val="00CA66C5"/>
    <w:rsid w:val="00CB0380"/>
    <w:rsid w:val="00CB15F8"/>
    <w:rsid w:val="00CB2061"/>
    <w:rsid w:val="00CC05DB"/>
    <w:rsid w:val="00CC329B"/>
    <w:rsid w:val="00CC36FE"/>
    <w:rsid w:val="00CC77DA"/>
    <w:rsid w:val="00CD105E"/>
    <w:rsid w:val="00CD3731"/>
    <w:rsid w:val="00CD59A1"/>
    <w:rsid w:val="00CD64E4"/>
    <w:rsid w:val="00CD6785"/>
    <w:rsid w:val="00CE523B"/>
    <w:rsid w:val="00CE523E"/>
    <w:rsid w:val="00CE5BC0"/>
    <w:rsid w:val="00CE79B4"/>
    <w:rsid w:val="00CF3805"/>
    <w:rsid w:val="00CF6188"/>
    <w:rsid w:val="00D00118"/>
    <w:rsid w:val="00D02062"/>
    <w:rsid w:val="00D0301B"/>
    <w:rsid w:val="00D03986"/>
    <w:rsid w:val="00D1008A"/>
    <w:rsid w:val="00D1052C"/>
    <w:rsid w:val="00D10A94"/>
    <w:rsid w:val="00D12C36"/>
    <w:rsid w:val="00D13286"/>
    <w:rsid w:val="00D14343"/>
    <w:rsid w:val="00D15713"/>
    <w:rsid w:val="00D200E7"/>
    <w:rsid w:val="00D208F2"/>
    <w:rsid w:val="00D21DF1"/>
    <w:rsid w:val="00D2330D"/>
    <w:rsid w:val="00D27243"/>
    <w:rsid w:val="00D2740A"/>
    <w:rsid w:val="00D310DA"/>
    <w:rsid w:val="00D318D7"/>
    <w:rsid w:val="00D42305"/>
    <w:rsid w:val="00D432A8"/>
    <w:rsid w:val="00D44F2A"/>
    <w:rsid w:val="00D45EB7"/>
    <w:rsid w:val="00D46637"/>
    <w:rsid w:val="00D476B2"/>
    <w:rsid w:val="00D506CF"/>
    <w:rsid w:val="00D51145"/>
    <w:rsid w:val="00D51B3F"/>
    <w:rsid w:val="00D556A0"/>
    <w:rsid w:val="00D5641C"/>
    <w:rsid w:val="00D569EE"/>
    <w:rsid w:val="00D56C8B"/>
    <w:rsid w:val="00D614C3"/>
    <w:rsid w:val="00D63BF7"/>
    <w:rsid w:val="00D64AA4"/>
    <w:rsid w:val="00D67C3D"/>
    <w:rsid w:val="00D705C9"/>
    <w:rsid w:val="00D724BF"/>
    <w:rsid w:val="00D75726"/>
    <w:rsid w:val="00D758EE"/>
    <w:rsid w:val="00D75DA0"/>
    <w:rsid w:val="00D81296"/>
    <w:rsid w:val="00D85A4D"/>
    <w:rsid w:val="00D870FB"/>
    <w:rsid w:val="00D91A2E"/>
    <w:rsid w:val="00D926A9"/>
    <w:rsid w:val="00D93F65"/>
    <w:rsid w:val="00D95737"/>
    <w:rsid w:val="00DA5262"/>
    <w:rsid w:val="00DA64CA"/>
    <w:rsid w:val="00DC08DF"/>
    <w:rsid w:val="00DC0990"/>
    <w:rsid w:val="00DC12C7"/>
    <w:rsid w:val="00DC18D1"/>
    <w:rsid w:val="00DC2206"/>
    <w:rsid w:val="00DC2E66"/>
    <w:rsid w:val="00DC4040"/>
    <w:rsid w:val="00DC6D55"/>
    <w:rsid w:val="00DD0A65"/>
    <w:rsid w:val="00DD1656"/>
    <w:rsid w:val="00DD31B5"/>
    <w:rsid w:val="00DD363E"/>
    <w:rsid w:val="00DD48A2"/>
    <w:rsid w:val="00DD4A6D"/>
    <w:rsid w:val="00DD5722"/>
    <w:rsid w:val="00DE456B"/>
    <w:rsid w:val="00DE57C5"/>
    <w:rsid w:val="00DE6751"/>
    <w:rsid w:val="00DE6C6E"/>
    <w:rsid w:val="00DE6D79"/>
    <w:rsid w:val="00DF0733"/>
    <w:rsid w:val="00DF09E9"/>
    <w:rsid w:val="00DF202D"/>
    <w:rsid w:val="00DF2A57"/>
    <w:rsid w:val="00DF34CF"/>
    <w:rsid w:val="00E007AC"/>
    <w:rsid w:val="00E01A11"/>
    <w:rsid w:val="00E063C3"/>
    <w:rsid w:val="00E0767B"/>
    <w:rsid w:val="00E15432"/>
    <w:rsid w:val="00E21FED"/>
    <w:rsid w:val="00E22613"/>
    <w:rsid w:val="00E22940"/>
    <w:rsid w:val="00E27B44"/>
    <w:rsid w:val="00E32A31"/>
    <w:rsid w:val="00E3721B"/>
    <w:rsid w:val="00E4252D"/>
    <w:rsid w:val="00E4260E"/>
    <w:rsid w:val="00E5064C"/>
    <w:rsid w:val="00E50AC1"/>
    <w:rsid w:val="00E50DBA"/>
    <w:rsid w:val="00E52150"/>
    <w:rsid w:val="00E52996"/>
    <w:rsid w:val="00E56C0F"/>
    <w:rsid w:val="00E612C0"/>
    <w:rsid w:val="00E631A2"/>
    <w:rsid w:val="00E633E0"/>
    <w:rsid w:val="00E663F5"/>
    <w:rsid w:val="00E71200"/>
    <w:rsid w:val="00E753B9"/>
    <w:rsid w:val="00E81690"/>
    <w:rsid w:val="00E81CD7"/>
    <w:rsid w:val="00E87141"/>
    <w:rsid w:val="00E90F68"/>
    <w:rsid w:val="00E91C41"/>
    <w:rsid w:val="00EA0733"/>
    <w:rsid w:val="00EA25C2"/>
    <w:rsid w:val="00EA4F58"/>
    <w:rsid w:val="00EA70DF"/>
    <w:rsid w:val="00EA7EBA"/>
    <w:rsid w:val="00EB0808"/>
    <w:rsid w:val="00EB343B"/>
    <w:rsid w:val="00EB7E06"/>
    <w:rsid w:val="00EC2F8D"/>
    <w:rsid w:val="00EC4C1C"/>
    <w:rsid w:val="00EC5D1C"/>
    <w:rsid w:val="00EC70F9"/>
    <w:rsid w:val="00ED02ED"/>
    <w:rsid w:val="00ED06A2"/>
    <w:rsid w:val="00ED0851"/>
    <w:rsid w:val="00ED2BDE"/>
    <w:rsid w:val="00ED54AC"/>
    <w:rsid w:val="00ED5B2F"/>
    <w:rsid w:val="00EE30D6"/>
    <w:rsid w:val="00EE3769"/>
    <w:rsid w:val="00EE48A2"/>
    <w:rsid w:val="00EE5DE3"/>
    <w:rsid w:val="00EE5E54"/>
    <w:rsid w:val="00EE60F5"/>
    <w:rsid w:val="00EE7D98"/>
    <w:rsid w:val="00EF7F89"/>
    <w:rsid w:val="00F02382"/>
    <w:rsid w:val="00F027FF"/>
    <w:rsid w:val="00F03CD6"/>
    <w:rsid w:val="00F04656"/>
    <w:rsid w:val="00F063FC"/>
    <w:rsid w:val="00F065C7"/>
    <w:rsid w:val="00F07E7B"/>
    <w:rsid w:val="00F12049"/>
    <w:rsid w:val="00F12AE4"/>
    <w:rsid w:val="00F13707"/>
    <w:rsid w:val="00F14FF5"/>
    <w:rsid w:val="00F15A1E"/>
    <w:rsid w:val="00F22922"/>
    <w:rsid w:val="00F24C7D"/>
    <w:rsid w:val="00F24DDF"/>
    <w:rsid w:val="00F2583E"/>
    <w:rsid w:val="00F25900"/>
    <w:rsid w:val="00F26B20"/>
    <w:rsid w:val="00F27B77"/>
    <w:rsid w:val="00F35356"/>
    <w:rsid w:val="00F404D0"/>
    <w:rsid w:val="00F41C79"/>
    <w:rsid w:val="00F42415"/>
    <w:rsid w:val="00F55466"/>
    <w:rsid w:val="00F56594"/>
    <w:rsid w:val="00F660D7"/>
    <w:rsid w:val="00F67173"/>
    <w:rsid w:val="00F67A4F"/>
    <w:rsid w:val="00F706B8"/>
    <w:rsid w:val="00F70ABC"/>
    <w:rsid w:val="00F71CF7"/>
    <w:rsid w:val="00F73518"/>
    <w:rsid w:val="00F76CB4"/>
    <w:rsid w:val="00F76E31"/>
    <w:rsid w:val="00F77015"/>
    <w:rsid w:val="00F900E6"/>
    <w:rsid w:val="00F91934"/>
    <w:rsid w:val="00F92DD2"/>
    <w:rsid w:val="00F9572F"/>
    <w:rsid w:val="00F9688A"/>
    <w:rsid w:val="00FA000A"/>
    <w:rsid w:val="00FA0109"/>
    <w:rsid w:val="00FA1272"/>
    <w:rsid w:val="00FA2767"/>
    <w:rsid w:val="00FA2EB8"/>
    <w:rsid w:val="00FA332B"/>
    <w:rsid w:val="00FA36C3"/>
    <w:rsid w:val="00FA3957"/>
    <w:rsid w:val="00FA4057"/>
    <w:rsid w:val="00FA52B6"/>
    <w:rsid w:val="00FB0BEA"/>
    <w:rsid w:val="00FB3F84"/>
    <w:rsid w:val="00FB58EF"/>
    <w:rsid w:val="00FB6B7F"/>
    <w:rsid w:val="00FB6D37"/>
    <w:rsid w:val="00FC2DB2"/>
    <w:rsid w:val="00FC40A7"/>
    <w:rsid w:val="00FC7BFA"/>
    <w:rsid w:val="00FD064E"/>
    <w:rsid w:val="00FD08DA"/>
    <w:rsid w:val="00FD1767"/>
    <w:rsid w:val="00FD2463"/>
    <w:rsid w:val="00FD4AC9"/>
    <w:rsid w:val="00FD4BC9"/>
    <w:rsid w:val="00FD5BF3"/>
    <w:rsid w:val="00FD67CC"/>
    <w:rsid w:val="00FD6B0F"/>
    <w:rsid w:val="00FE228F"/>
    <w:rsid w:val="00FE2669"/>
    <w:rsid w:val="00FE4D72"/>
    <w:rsid w:val="00FE5C1A"/>
    <w:rsid w:val="00FE791B"/>
    <w:rsid w:val="00FF0672"/>
    <w:rsid w:val="00FF1A54"/>
    <w:rsid w:val="00FF48CB"/>
    <w:rsid w:val="00FF65B3"/>
    <w:rsid w:val="00FF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vertical-relative:line" fillcolor="white">
      <v:fill color="white"/>
      <v:textbox inset=".5mm,.3mm,.5mm,.3mm"/>
    </o:shapedefaults>
    <o:shapelayout v:ext="edit">
      <o:idmap v:ext="edit" data="1"/>
    </o:shapelayout>
  </w:shapeDefaults>
  <w:decimalSymbol w:val="."/>
  <w:listSeparator w:val=","/>
  <w14:docId w14:val="7E47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8B5259"/>
    <w:rPr>
      <w:sz w:val="16"/>
      <w:szCs w:val="16"/>
    </w:rPr>
  </w:style>
  <w:style w:type="paragraph" w:styleId="CommentText">
    <w:name w:val="annotation text"/>
    <w:basedOn w:val="Normal"/>
    <w:link w:val="CommentTextChar"/>
    <w:rsid w:val="008B5259"/>
    <w:rPr>
      <w:sz w:val="20"/>
    </w:rPr>
  </w:style>
  <w:style w:type="character" w:customStyle="1" w:styleId="CommentTextChar">
    <w:name w:val="Comment Text Char"/>
    <w:basedOn w:val="DefaultParagraphFont"/>
    <w:link w:val="CommentText"/>
    <w:rsid w:val="008B5259"/>
    <w:rPr>
      <w:rFonts w:ascii="Times New Roman" w:hAnsi="Times New Roman"/>
      <w:lang w:eastAsia="en-US"/>
    </w:rPr>
  </w:style>
  <w:style w:type="paragraph" w:styleId="CommentSubject">
    <w:name w:val="annotation subject"/>
    <w:basedOn w:val="CommentText"/>
    <w:next w:val="CommentText"/>
    <w:link w:val="CommentSubjectChar"/>
    <w:rsid w:val="008B5259"/>
    <w:rPr>
      <w:b/>
      <w:bCs/>
    </w:rPr>
  </w:style>
  <w:style w:type="character" w:customStyle="1" w:styleId="CommentSubjectChar">
    <w:name w:val="Comment Subject Char"/>
    <w:basedOn w:val="CommentTextChar"/>
    <w:link w:val="CommentSubject"/>
    <w:rsid w:val="008B5259"/>
    <w:rPr>
      <w:rFonts w:ascii="Times New Roman" w:hAnsi="Times New Roman"/>
      <w:b/>
      <w:bCs/>
      <w:lang w:eastAsia="en-US"/>
    </w:rPr>
  </w:style>
  <w:style w:type="character" w:styleId="Strong">
    <w:name w:val="Strong"/>
    <w:basedOn w:val="DefaultParagraphFont"/>
    <w:qFormat/>
    <w:rsid w:val="00A27165"/>
    <w:rPr>
      <w:b/>
      <w:bCs/>
    </w:rPr>
  </w:style>
  <w:style w:type="character" w:styleId="Emphasis">
    <w:name w:val="Emphasis"/>
    <w:basedOn w:val="DefaultParagraphFont"/>
    <w:uiPriority w:val="20"/>
    <w:qFormat/>
    <w:rsid w:val="00DC2E66"/>
    <w:rPr>
      <w:b/>
      <w:bCs/>
      <w:i w:val="0"/>
      <w:iCs w:val="0"/>
    </w:rPr>
  </w:style>
  <w:style w:type="character" w:customStyle="1" w:styleId="st1">
    <w:name w:val="st1"/>
    <w:basedOn w:val="DefaultParagraphFont"/>
    <w:rsid w:val="00DC2E66"/>
  </w:style>
  <w:style w:type="character" w:customStyle="1" w:styleId="FootnoteTextChar">
    <w:name w:val="Footnote Text Char"/>
    <w:basedOn w:val="DefaultParagraphFont"/>
    <w:link w:val="FootnoteText"/>
    <w:semiHidden/>
    <w:rsid w:val="007C29DB"/>
    <w:rPr>
      <w:rFonts w:ascii="Times New Roman" w:hAnsi="Times New Roman"/>
      <w:lang w:val="en-US" w:eastAsia="en-US"/>
    </w:rPr>
  </w:style>
  <w:style w:type="paragraph" w:customStyle="1" w:styleId="T2Base">
    <w:name w:val="T2Base"/>
    <w:link w:val="T2BaseCar"/>
    <w:rsid w:val="0098587D"/>
    <w:pPr>
      <w:spacing w:before="60" w:after="60" w:line="320" w:lineRule="atLeast"/>
      <w:jc w:val="both"/>
    </w:pPr>
    <w:rPr>
      <w:rFonts w:ascii="Tahoma" w:hAnsi="Tahoma"/>
      <w:sz w:val="24"/>
      <w:lang w:eastAsia="fr-FR"/>
    </w:rPr>
  </w:style>
  <w:style w:type="character" w:customStyle="1" w:styleId="T2BaseCar">
    <w:name w:val="T2Base Car"/>
    <w:basedOn w:val="DefaultParagraphFont"/>
    <w:link w:val="T2Base"/>
    <w:rsid w:val="0098587D"/>
    <w:rPr>
      <w:rFonts w:ascii="Tahoma" w:hAnsi="Tahoma"/>
      <w:sz w:val="24"/>
      <w:lang w:eastAsia="fr-FR"/>
    </w:rPr>
  </w:style>
  <w:style w:type="paragraph" w:customStyle="1" w:styleId="T2Bullet1">
    <w:name w:val="T2Bullet1"/>
    <w:basedOn w:val="T2Base"/>
    <w:link w:val="T2Bullet1Car"/>
    <w:qFormat/>
    <w:rsid w:val="00E87141"/>
    <w:pPr>
      <w:numPr>
        <w:numId w:val="26"/>
      </w:numPr>
      <w:tabs>
        <w:tab w:val="clear" w:pos="1070"/>
        <w:tab w:val="num" w:pos="1134"/>
      </w:tabs>
      <w:suppressAutoHyphens/>
      <w:ind w:left="1134" w:hanging="567"/>
    </w:pPr>
    <w:rPr>
      <w:lang w:eastAsia="en-US"/>
    </w:rPr>
  </w:style>
  <w:style w:type="character" w:customStyle="1" w:styleId="T2Bullet1Car">
    <w:name w:val="T2Bullet1 Car"/>
    <w:basedOn w:val="DefaultParagraphFont"/>
    <w:link w:val="T2Bullet1"/>
    <w:rsid w:val="00E87141"/>
    <w:rPr>
      <w:rFonts w:ascii="Tahoma" w:hAnsi="Tahoma"/>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ind w:left="720" w:hanging="720"/>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character" w:styleId="CommentReference">
    <w:name w:val="annotation reference"/>
    <w:basedOn w:val="DefaultParagraphFont"/>
    <w:rsid w:val="008B5259"/>
    <w:rPr>
      <w:sz w:val="16"/>
      <w:szCs w:val="16"/>
    </w:rPr>
  </w:style>
  <w:style w:type="paragraph" w:styleId="CommentText">
    <w:name w:val="annotation text"/>
    <w:basedOn w:val="Normal"/>
    <w:link w:val="CommentTextChar"/>
    <w:rsid w:val="008B5259"/>
    <w:rPr>
      <w:sz w:val="20"/>
    </w:rPr>
  </w:style>
  <w:style w:type="character" w:customStyle="1" w:styleId="CommentTextChar">
    <w:name w:val="Comment Text Char"/>
    <w:basedOn w:val="DefaultParagraphFont"/>
    <w:link w:val="CommentText"/>
    <w:rsid w:val="008B5259"/>
    <w:rPr>
      <w:rFonts w:ascii="Times New Roman" w:hAnsi="Times New Roman"/>
      <w:lang w:eastAsia="en-US"/>
    </w:rPr>
  </w:style>
  <w:style w:type="paragraph" w:styleId="CommentSubject">
    <w:name w:val="annotation subject"/>
    <w:basedOn w:val="CommentText"/>
    <w:next w:val="CommentText"/>
    <w:link w:val="CommentSubjectChar"/>
    <w:rsid w:val="008B5259"/>
    <w:rPr>
      <w:b/>
      <w:bCs/>
    </w:rPr>
  </w:style>
  <w:style w:type="character" w:customStyle="1" w:styleId="CommentSubjectChar">
    <w:name w:val="Comment Subject Char"/>
    <w:basedOn w:val="CommentTextChar"/>
    <w:link w:val="CommentSubject"/>
    <w:rsid w:val="008B5259"/>
    <w:rPr>
      <w:rFonts w:ascii="Times New Roman" w:hAnsi="Times New Roman"/>
      <w:b/>
      <w:bCs/>
      <w:lang w:eastAsia="en-US"/>
    </w:rPr>
  </w:style>
  <w:style w:type="character" w:styleId="Strong">
    <w:name w:val="Strong"/>
    <w:basedOn w:val="DefaultParagraphFont"/>
    <w:qFormat/>
    <w:rsid w:val="00A27165"/>
    <w:rPr>
      <w:b/>
      <w:bCs/>
    </w:rPr>
  </w:style>
  <w:style w:type="character" w:styleId="Emphasis">
    <w:name w:val="Emphasis"/>
    <w:basedOn w:val="DefaultParagraphFont"/>
    <w:uiPriority w:val="20"/>
    <w:qFormat/>
    <w:rsid w:val="00DC2E66"/>
    <w:rPr>
      <w:b/>
      <w:bCs/>
      <w:i w:val="0"/>
      <w:iCs w:val="0"/>
    </w:rPr>
  </w:style>
  <w:style w:type="character" w:customStyle="1" w:styleId="st1">
    <w:name w:val="st1"/>
    <w:basedOn w:val="DefaultParagraphFont"/>
    <w:rsid w:val="00DC2E66"/>
  </w:style>
  <w:style w:type="character" w:customStyle="1" w:styleId="FootnoteTextChar">
    <w:name w:val="Footnote Text Char"/>
    <w:basedOn w:val="DefaultParagraphFont"/>
    <w:link w:val="FootnoteText"/>
    <w:semiHidden/>
    <w:rsid w:val="007C29DB"/>
    <w:rPr>
      <w:rFonts w:ascii="Times New Roman" w:hAnsi="Times New Roman"/>
      <w:lang w:val="en-US" w:eastAsia="en-US"/>
    </w:rPr>
  </w:style>
  <w:style w:type="paragraph" w:customStyle="1" w:styleId="T2Base">
    <w:name w:val="T2Base"/>
    <w:link w:val="T2BaseCar"/>
    <w:rsid w:val="0098587D"/>
    <w:pPr>
      <w:spacing w:before="60" w:after="60" w:line="320" w:lineRule="atLeast"/>
      <w:jc w:val="both"/>
    </w:pPr>
    <w:rPr>
      <w:rFonts w:ascii="Tahoma" w:hAnsi="Tahoma"/>
      <w:sz w:val="24"/>
      <w:lang w:eastAsia="fr-FR"/>
    </w:rPr>
  </w:style>
  <w:style w:type="character" w:customStyle="1" w:styleId="T2BaseCar">
    <w:name w:val="T2Base Car"/>
    <w:basedOn w:val="DefaultParagraphFont"/>
    <w:link w:val="T2Base"/>
    <w:rsid w:val="0098587D"/>
    <w:rPr>
      <w:rFonts w:ascii="Tahoma" w:hAnsi="Tahoma"/>
      <w:sz w:val="24"/>
      <w:lang w:eastAsia="fr-FR"/>
    </w:rPr>
  </w:style>
  <w:style w:type="paragraph" w:customStyle="1" w:styleId="T2Bullet1">
    <w:name w:val="T2Bullet1"/>
    <w:basedOn w:val="T2Base"/>
    <w:link w:val="T2Bullet1Car"/>
    <w:qFormat/>
    <w:rsid w:val="00E87141"/>
    <w:pPr>
      <w:numPr>
        <w:numId w:val="26"/>
      </w:numPr>
      <w:tabs>
        <w:tab w:val="clear" w:pos="1070"/>
        <w:tab w:val="num" w:pos="1134"/>
      </w:tabs>
      <w:suppressAutoHyphens/>
      <w:ind w:left="1134" w:hanging="567"/>
    </w:pPr>
    <w:rPr>
      <w:lang w:eastAsia="en-US"/>
    </w:rPr>
  </w:style>
  <w:style w:type="character" w:customStyle="1" w:styleId="T2Bullet1Car">
    <w:name w:val="T2Bullet1 Car"/>
    <w:basedOn w:val="DefaultParagraphFont"/>
    <w:link w:val="T2Bullet1"/>
    <w:rsid w:val="00E87141"/>
    <w:rPr>
      <w:rFonts w:ascii="Tahoma" w:hAnsi="Tahoma"/>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5605">
      <w:bodyDiv w:val="1"/>
      <w:marLeft w:val="0"/>
      <w:marRight w:val="0"/>
      <w:marTop w:val="0"/>
      <w:marBottom w:val="0"/>
      <w:divBdr>
        <w:top w:val="none" w:sz="0" w:space="0" w:color="auto"/>
        <w:left w:val="none" w:sz="0" w:space="0" w:color="auto"/>
        <w:bottom w:val="none" w:sz="0" w:space="0" w:color="auto"/>
        <w:right w:val="none" w:sz="0" w:space="0" w:color="auto"/>
      </w:divBdr>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1.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jpe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oleObject" Target="embeddings/oleObject4.bin"/><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iso20022.org" TargetMode="External"/><Relationship Id="rId23" Type="http://schemas.openxmlformats.org/officeDocument/2006/relationships/image" Target="media/image3.emf"/><Relationship Id="rId28" Type="http://schemas.openxmlformats.org/officeDocument/2006/relationships/oleObject" Target="embeddings/oleObject2.bin"/><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6.emf"/><Relationship Id="rId30" Type="http://schemas.openxmlformats.org/officeDocument/2006/relationships/oleObject" Target="embeddings/oleObject3.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1555B-EE4D-47A4-8B0B-49149E44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Business_and_Requirements_Analysis_template[1].dot</Template>
  <TotalTime>13</TotalTime>
  <Pages>18</Pages>
  <Words>2779</Words>
  <Characters>17601</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S.W.I.F.T.</Company>
  <LinksUpToDate>false</LinksUpToDate>
  <CharactersWithSpaces>20340</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VANDAELE Benoit</cp:lastModifiedBy>
  <cp:revision>10</cp:revision>
  <cp:lastPrinted>2017-09-11T08:43:00Z</cp:lastPrinted>
  <dcterms:created xsi:type="dcterms:W3CDTF">2019-04-30T11:30:00Z</dcterms:created>
  <dcterms:modified xsi:type="dcterms:W3CDTF">2019-07-29T09:48:00Z</dcterms:modified>
</cp:coreProperties>
</file>