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COMPARATIVO DE LICITACIONES</w:t>
      </w:r>
    </w:p>
    <w:p>
      <w:pPr>
        <w:jc w:val="center"/>
      </w:pPr>
      <w:r>
        <w:rPr>
          <w:b/>
          <w:sz w:val="22"/>
        </w:rPr>
        <w:t>Oil &amp; Gas — Vaca Muerta, Neuquén   |   08/05/2026 20:30</w:t>
      </w:r>
    </w:p>
    <w:p/>
    <w:p>
      <w:pPr>
        <w:pStyle w:val="Heading1"/>
      </w:pPr>
      <w:r>
        <w:t>Resumen Ejecutivo</w:t>
      </w:r>
    </w:p>
    <w:p>
      <w:r>
        <w:t>Se analizaron 2 licitación(es). La opción más recomendada es: ninguna_viable_para_pyme.</w:t>
      </w:r>
    </w:p>
    <w:p>
      <w:r>
        <w:t>NINGUNA de estas dos licitaciones es adecuada para una PyME proveedora de servicios en Vaca Muerta con capacidad media. La primera (Gasoducto) es para grandes operadores con capacidad financiera de USD 500-1.000 MM. La segunda (Auditoria) es para consultoras Big Four especializadas en organismos multilaterales. Ambas estan fuera del alcance operativo, financiero y tecnico de una PyME tipica del sector. ACCION RECOMENDADA: Monitorear licitaciones de ENARSA, YPF, Shell, TotalEnergies y Pampa Energia para: (1) Servicios de workover, (2) Transporte especializado, (3) Suministro de equipamiento, (4) Servicios de completacion, (5) Mantenimiento de facilidades. Esas si son oportunidades reales para PyMEs de Vaca Muerta.</w:t>
      </w:r>
    </w:p>
    <w:p/>
    <w:p>
      <w:pPr>
        <w:pStyle w:val="Heading2"/>
      </w:pPr>
      <w:r>
        <w:t>⚠️ Advertencias</w:t>
      </w:r>
    </w:p>
    <w:p>
      <w:pPr>
        <w:pStyle w:val="ListBullet"/>
      </w:pPr>
      <w:r>
        <w:t>CRITICO: Ninguna licitacion analizada es accesible para PyME de servicios Oil &amp; Gas</w:t>
      </w:r>
    </w:p>
    <w:p>
      <w:pPr>
        <w:pStyle w:val="ListBullet"/>
      </w:pPr>
      <w:r>
        <w:t>Gasoducto requiere patrimonio USD 500 MM - barrera insalvable para PyME</w:t>
      </w:r>
    </w:p>
    <w:p>
      <w:pPr>
        <w:pStyle w:val="ListBullet"/>
      </w:pPr>
      <w:r>
        <w:t>Auditoria requiere perfil Big Four - no corresponde a proveedor Oil &amp; Gas</w:t>
      </w:r>
    </w:p>
    <w:p>
      <w:pPr>
        <w:pStyle w:val="ListBullet"/>
      </w:pPr>
      <w:r>
        <w:t>Ambas licitaciones tienen competencia de grandes jugadores nacionales/internacionales</w:t>
      </w:r>
    </w:p>
    <w:p>
      <w:pPr>
        <w:pStyle w:val="ListBullet"/>
      </w:pPr>
      <w:r>
        <w:t>Riesgo de malinterpretar alcance: Gasoducto es LICENCIA no contrato de servicios</w:t>
      </w:r>
    </w:p>
    <w:p>
      <w:pPr>
        <w:pStyle w:val="ListBullet"/>
      </w:pPr>
      <w:r>
        <w:t>Riesgo de confusion: Auditoria GPNK no es oportunidad para constructoras</w:t>
      </w:r>
    </w:p>
    <w:p>
      <w:pPr>
        <w:pStyle w:val="ListBullet"/>
      </w:pPr>
      <w:r>
        <w:t>Recomendacion: Buscar licitaciones de servicios directos en cuenca neuquina</w:t>
      </w:r>
    </w:p>
    <w:p>
      <w:pPr>
        <w:pStyle w:val="ListBullet"/>
      </w:pPr>
      <w:r>
        <w:t>Sugerencia: Enfocarse en contratos con operadores (YPF, Shell, Total, Vista, Pampa)</w:t>
      </w:r>
    </w:p>
    <w:p>
      <w:pPr>
        <w:pStyle w:val="ListBullet"/>
      </w:pPr>
      <w:r>
        <w:t>Las obras del GPNK ya fueron licitadas - esta es solo auditoria del proyecto</w:t>
      </w:r>
    </w:p>
    <w:p/>
    <w:p>
      <w:pPr>
        <w:pStyle w:val="Heading1"/>
      </w:pPr>
      <w:r>
        <w:t>Ranking de Licitaciones</w:t>
      </w:r>
    </w:p>
    <w:p>
      <w:pPr>
        <w:pStyle w:val="Heading2"/>
      </w:pPr>
      <w:r>
        <w:t>🥇 Posición 1: Sistema de Transporte de Gas del Centro</w:t>
      </w:r>
    </w:p>
    <w:tbl>
      <w:tblPr>
        <w:tblStyle w:val="TableGrid"/>
        <w:tblW w:type="auto" w:w="0"/>
        <w:tblLook w:firstColumn="1" w:firstRow="1" w:lastColumn="0" w:lastRow="0" w:noHBand="0" w:noVBand="1" w:val="04A0"/>
      </w:tblPr>
      <w:tblGrid>
        <w:gridCol w:w="4320"/>
        <w:gridCol w:w="4320"/>
      </w:tblGrid>
      <w:tr>
        <w:tc>
          <w:tcPr>
            <w:tcW w:type="dxa" w:w="4320"/>
          </w:tcPr>
          <w:p>
            <w:r>
              <w:rPr>
                <w:b/>
              </w:rPr>
              <w:t>Score de oportunidad</w:t>
            </w:r>
          </w:p>
        </w:tc>
        <w:tc>
          <w:tcPr>
            <w:tcW w:type="dxa" w:w="4320"/>
          </w:tcPr>
          <w:p>
            <w:r>
              <w:t>65/100</w:t>
            </w:r>
          </w:p>
        </w:tc>
      </w:tr>
      <w:tr>
        <w:tc>
          <w:tcPr>
            <w:tcW w:type="dxa" w:w="4320"/>
          </w:tcPr>
          <w:p>
            <w:r>
              <w:rPr>
                <w:b/>
              </w:rPr>
              <w:t>Recomendación</w:t>
            </w:r>
          </w:p>
        </w:tc>
        <w:tc>
          <w:tcPr>
            <w:tcW w:type="dxa" w:w="4320"/>
          </w:tcPr>
          <w:p>
            <w:r>
              <w:rPr>
                <w:b/>
                <w:color w:val="FFC107"/>
              </w:rPr>
              <w:t>EVALUAR</w:t>
            </w:r>
          </w:p>
        </w:tc>
      </w:tr>
      <w:tr>
        <w:tc>
          <w:tcPr>
            <w:tcW w:type="dxa" w:w="4320"/>
          </w:tcPr>
          <w:p>
            <w:r>
              <w:rPr>
                <w:b/>
              </w:rPr>
              <w:t>Monto estimado</w:t>
            </w:r>
          </w:p>
        </w:tc>
        <w:tc>
          <w:tcPr>
            <w:tcW w:type="dxa" w:w="4320"/>
          </w:tcPr>
          <w:p>
            <w:r>
              <w:t>USD 0</w:t>
            </w:r>
          </w:p>
        </w:tc>
      </w:tr>
      <w:tr>
        <w:tc>
          <w:tcPr>
            <w:tcW w:type="dxa" w:w="4320"/>
          </w:tcPr>
          <w:p>
            <w:r>
              <w:rPr>
                <w:b/>
              </w:rPr>
              <w:t>Probabilidad de ganar</w:t>
            </w:r>
          </w:p>
        </w:tc>
        <w:tc>
          <w:tcPr>
            <w:tcW w:type="dxa" w:w="4320"/>
          </w:tcPr>
          <w:p>
            <w:r>
              <w:t>BAJA</w:t>
            </w:r>
          </w:p>
        </w:tc>
      </w:tr>
      <w:tr>
        <w:tc>
          <w:tcPr>
            <w:tcW w:type="dxa" w:w="4320"/>
          </w:tcPr>
          <w:p>
            <w:r>
              <w:rPr>
                <w:b/>
              </w:rPr>
              <w:t>Archivo</w:t>
            </w:r>
          </w:p>
        </w:tc>
        <w:tc>
          <w:tcPr>
            <w:tcW w:type="dxa" w:w="4320"/>
          </w:tcPr>
          <w:p>
            <w:r>
              <w:t>Gasoducto-Vaca-Muerta.pdf</w:t>
            </w:r>
          </w:p>
        </w:tc>
      </w:tr>
    </w:tbl>
    <w:p/>
    <w:p>
      <w:r>
        <w:t>Motivo: Aunque tiene score superior, esta licitacion NO es viable para una PyME. Requiere USD 500 MM patrimonio neto + USD 1.000 MM activos + USD 8 MM garantia de oferta. Es una licitacion de LICENCIA DE TRANSPORTE para grandes operadores internacionales, no para proveedores de servicios. Una PyME de Vaca Muerta no califica financieramente ni tecnicamente. El score refleja la calidad del proyecto, no la accesibilidad para PyMEs.</w:t>
      </w:r>
    </w:p>
    <w:p>
      <w:r>
        <w:rPr>
          <w:b/>
        </w:rPr>
        <w:t>Ventajas clave:</w:t>
      </w:r>
    </w:p>
    <w:p>
      <w:pPr>
        <w:pStyle w:val="ListBullet"/>
      </w:pPr>
      <w:r>
        <w:t>Proyecto estrategico nacional con respaldo politico</w:t>
      </w:r>
    </w:p>
    <w:p>
      <w:pPr>
        <w:pStyle w:val="ListBullet"/>
      </w:pPr>
      <w:r>
        <w:t>Contrato firme con CAMMESA garantiza ingresos</w:t>
      </w:r>
    </w:p>
    <w:p>
      <w:pPr>
        <w:pStyle w:val="ListBullet"/>
      </w:pPr>
      <w:r>
        <w:t>Vaca Muerta es zona de alto crecimiento</w:t>
      </w:r>
    </w:p>
    <w:p>
      <w:r>
        <w:rPr>
          <w:b/>
        </w:rPr>
        <w:t>Riesgos clave:</w:t>
      </w:r>
    </w:p>
    <w:p>
      <w:pPr>
        <w:pStyle w:val="ListBullet"/>
      </w:pPr>
      <w:r>
        <w:t>Barreras financieras insalvables para PyME: USD 500 MM patrimonio</w:t>
      </w:r>
    </w:p>
    <w:p>
      <w:pPr>
        <w:pStyle w:val="ListBullet"/>
      </w:pPr>
      <w:r>
        <w:t>Garantia USD 8 MM fuera de alcance</w:t>
      </w:r>
    </w:p>
    <w:p>
      <w:pPr>
        <w:pStyle w:val="ListBullet"/>
      </w:pPr>
      <w:r>
        <w:t>Competencia limitada a 5-8 grandes operadores globales</w:t>
      </w:r>
    </w:p>
    <w:p>
      <w:pPr>
        <w:pStyle w:val="ListBullet"/>
      </w:pPr>
      <w:r>
        <w:t>Requiere experiencia en gasoductos +500 km por 10 años</w:t>
      </w:r>
    </w:p>
    <w:p>
      <w:pPr>
        <w:pStyle w:val="ListBullet"/>
      </w:pPr>
      <w:r>
        <w:t>Riesgo regulatorio y cambiario argentino alto</w:t>
      </w:r>
    </w:p>
    <w:p/>
    <w:p>
      <w:pPr>
        <w:pStyle w:val="Heading2"/>
      </w:pPr>
      <w:r>
        <w:t>🥈 Posición 2: CONTRATACION DE SERVICIO DE AUDITORIA EXTERNA</w:t>
      </w:r>
    </w:p>
    <w:tbl>
      <w:tblPr>
        <w:tblStyle w:val="TableGrid"/>
        <w:tblW w:type="auto" w:w="0"/>
        <w:tblLook w:firstColumn="1" w:firstRow="1" w:lastColumn="0" w:lastRow="0" w:noHBand="0" w:noVBand="1" w:val="04A0"/>
      </w:tblPr>
      <w:tblGrid>
        <w:gridCol w:w="4320"/>
        <w:gridCol w:w="4320"/>
      </w:tblGrid>
      <w:tr>
        <w:tc>
          <w:tcPr>
            <w:tcW w:type="dxa" w:w="4320"/>
          </w:tcPr>
          <w:p>
            <w:r>
              <w:rPr>
                <w:b/>
              </w:rPr>
              <w:t>Score de oportunidad</w:t>
            </w:r>
          </w:p>
        </w:tc>
        <w:tc>
          <w:tcPr>
            <w:tcW w:type="dxa" w:w="4320"/>
          </w:tcPr>
          <w:p>
            <w:r>
              <w:t>45/100</w:t>
            </w:r>
          </w:p>
        </w:tc>
      </w:tr>
      <w:tr>
        <w:tc>
          <w:tcPr>
            <w:tcW w:type="dxa" w:w="4320"/>
          </w:tcPr>
          <w:p>
            <w:r>
              <w:rPr>
                <w:b/>
              </w:rPr>
              <w:t>Recomendación</w:t>
            </w:r>
          </w:p>
        </w:tc>
        <w:tc>
          <w:tcPr>
            <w:tcW w:type="dxa" w:w="4320"/>
          </w:tcPr>
          <w:p>
            <w:r>
              <w:rPr>
                <w:b/>
                <w:color w:val="DC3545"/>
              </w:rPr>
              <w:t>NO_PRESENTAR</w:t>
            </w:r>
          </w:p>
        </w:tc>
      </w:tr>
      <w:tr>
        <w:tc>
          <w:tcPr>
            <w:tcW w:type="dxa" w:w="4320"/>
          </w:tcPr>
          <w:p>
            <w:r>
              <w:rPr>
                <w:b/>
              </w:rPr>
              <w:t>Monto estimado</w:t>
            </w:r>
          </w:p>
        </w:tc>
        <w:tc>
          <w:tcPr>
            <w:tcW w:type="dxa" w:w="4320"/>
          </w:tcPr>
          <w:p>
            <w:r>
              <w:t>USD 702,362,060</w:t>
            </w:r>
          </w:p>
        </w:tc>
      </w:tr>
      <w:tr>
        <w:tc>
          <w:tcPr>
            <w:tcW w:type="dxa" w:w="4320"/>
          </w:tcPr>
          <w:p>
            <w:r>
              <w:rPr>
                <w:b/>
              </w:rPr>
              <w:t>Probabilidad de ganar</w:t>
            </w:r>
          </w:p>
        </w:tc>
        <w:tc>
          <w:tcPr>
            <w:tcW w:type="dxa" w:w="4320"/>
          </w:tcPr>
          <w:p>
            <w:r>
              <w:t>BAJA</w:t>
            </w:r>
          </w:p>
        </w:tc>
      </w:tr>
      <w:tr>
        <w:tc>
          <w:tcPr>
            <w:tcW w:type="dxa" w:w="4320"/>
          </w:tcPr>
          <w:p>
            <w:r>
              <w:rPr>
                <w:b/>
              </w:rPr>
              <w:t>Archivo</w:t>
            </w:r>
          </w:p>
        </w:tc>
        <w:tc>
          <w:tcPr>
            <w:tcW w:type="dxa" w:w="4320"/>
          </w:tcPr>
          <w:p>
            <w:r>
              <w:t>CIRCULAR-MODIFICATORIA-Nro-03-2024-y-anexos-LP-GPNK-01-24.pdf</w:t>
            </w:r>
          </w:p>
        </w:tc>
      </w:tr>
    </w:tbl>
    <w:p/>
    <w:p>
      <w:r>
        <w:t>Motivo: Esta licitacion NO corresponde al perfil de una PyME proveedora de servicios Oil &amp; Gas en Vaca Muerta. Es para AUDITORIA EXTERNA de un proyecto de USD 702 MM, no para construccion ni servicios tecnicos. Competiran Big Four (PwC, Deloitte, EY, KPMG) y consultoras especializadas en organismos multilaterales. Requiere expertise en auditoria CAF, no en operaciones petroleras. Score bajo refleja inadecuacion total del perfil.</w:t>
      </w:r>
    </w:p>
    <w:p>
      <w:r>
        <w:rPr>
          <w:b/>
        </w:rPr>
        <w:t>Ventajas clave:</w:t>
      </w:r>
    </w:p>
    <w:p>
      <w:pPr>
        <w:pStyle w:val="ListBullet"/>
      </w:pPr>
      <w:r>
        <w:t>Proyecto con financiamiento asegurado USD 540 MM CAF</w:t>
      </w:r>
    </w:p>
    <w:p>
      <w:pPr>
        <w:pStyle w:val="ListBullet"/>
      </w:pPr>
      <w:r>
        <w:t>Cliente solvente: Estado Nacional via ENARSA</w:t>
      </w:r>
    </w:p>
    <w:p>
      <w:pPr>
        <w:pStyle w:val="ListBullet"/>
      </w:pPr>
      <w:r>
        <w:t>Proyecto de interes publico nacional</w:t>
      </w:r>
    </w:p>
    <w:p>
      <w:r>
        <w:rPr>
          <w:b/>
        </w:rPr>
        <w:t>Riesgos clave:</w:t>
      </w:r>
    </w:p>
    <w:p>
      <w:pPr>
        <w:pStyle w:val="ListBullet"/>
      </w:pPr>
      <w:r>
        <w:t>NO ES LICITACION DE CONSTRUCCION - es auditoria profesional</w:t>
      </w:r>
    </w:p>
    <w:p>
      <w:pPr>
        <w:pStyle w:val="ListBullet"/>
      </w:pPr>
      <w:r>
        <w:t>Requiere expertise en auditoria de organismos multilaterales</w:t>
      </w:r>
    </w:p>
    <w:p>
      <w:pPr>
        <w:pStyle w:val="ListBullet"/>
      </w:pPr>
      <w:r>
        <w:t>Competencia de Big Four con experiencia CAF consolidada</w:t>
      </w:r>
    </w:p>
    <w:p>
      <w:pPr>
        <w:pStyle w:val="ListBullet"/>
      </w:pPr>
      <w:r>
        <w:t>Responsabilidad profesional alta por montos involucrados</w:t>
      </w:r>
    </w:p>
    <w:p>
      <w:pPr>
        <w:pStyle w:val="ListBullet"/>
      </w:pPr>
      <w:r>
        <w:t>Margenes bajos tipicos de servicios de auditoria</w:t>
      </w:r>
    </w:p>
    <w:p>
      <w:pPr>
        <w:pStyle w:val="ListBullet"/>
      </w:pPr>
      <w:r>
        <w:t>Perfil totalmente inadecuado para proveedor Oil &amp; Gas</w:t>
      </w:r>
    </w:p>
    <w:p/>
    <w:p>
      <w:pPr>
        <w:pStyle w:val="Heading1"/>
      </w:pPr>
      <w:r>
        <w:t>Detalle por Licitación</w:t>
      </w:r>
    </w:p>
    <w:p>
      <w:pPr>
        <w:pStyle w:val="Heading2"/>
      </w:pPr>
      <w:r>
        <w:t>CONTRATACION DE SERVICIO DE AUDITORIA EXTERNA</w:t>
      </w:r>
    </w:p>
    <w:p>
      <w:r>
        <w:t>ALERTA CRÍTICA: Esta licitación NO corresponde al perfil de empresa de Oil &amp; Gas especializada en Vaca Muerta. Se trata de una Licitación Privada para SERVICIOS DE AUDITORÍA EXTERNA del Proyecto GPNK, no para construcción de gasoductos ni obras complementarias. El objeto es contratar una firma de auditoría que supervise el uso de los USD 702M del financiamiento CAF para las obras de reversión del Gasoducto Norte. Competirán consultoras Big Four (PwC, Deloitte, EY, KPMG) y firmas especializadas en auditoría de organismos multilaterales. Requiere expertise en: auditoría financiera de proyectos CAF, conocimiento del Manual Operativo CAF, experiencia en proyectos de infraestructura energética, y capacidad de auditar aspectos técnicos, ambientales y sociales. Para una empresa constructora/proveedora de Oil &amp; Gas, las oportunidades reales están en las OBRAS del proyecto (ya licitadas y en ejecución según el documento), NO en esta licitación de auditoría. RECOMENDACIÓN: No presentar oferta. Monitorear futuras licitaciones de ENARSA para etapas subsiguientes del GPNK o proyectos Transport.Ar que sí involucren construcción, suministros o servicios técnicos especializados.</w:t>
      </w:r>
    </w:p>
    <w:p>
      <w:r>
        <w:rPr>
          <w:b/>
        </w:rPr>
        <w:t>Requisitos técnicos:</w:t>
      </w:r>
    </w:p>
    <w:p>
      <w:pPr>
        <w:pStyle w:val="ListBullet"/>
      </w:pPr>
      <w:r>
        <w:t>Experiencia en auditoría de proyectos financiados por organismos multilaterales (CAF)</w:t>
      </w:r>
    </w:p>
    <w:p>
      <w:pPr>
        <w:pStyle w:val="ListBullet"/>
      </w:pPr>
      <w:r>
        <w:t>Conocimiento de normativas de la CAF y Manual Operativo aprobado</w:t>
      </w:r>
    </w:p>
    <w:p>
      <w:pPr>
        <w:pStyle w:val="ListBullet"/>
      </w:pPr>
      <w:r>
        <w:t>Capacidad de auditar contratos de préstamo y convenios de transferencia de recursos</w:t>
      </w:r>
    </w:p>
    <w:p>
      <w:pPr>
        <w:pStyle w:val="ListBullet"/>
      </w:pPr>
      <w:r>
        <w:t>Experiencia en proyectos de infraestructura energética de gran envergadura</w:t>
      </w:r>
    </w:p>
    <w:p>
      <w:pPr>
        <w:pStyle w:val="ListBullet"/>
      </w:pPr>
      <w:r>
        <w:t>Conocimiento del marco regulatorio argentino (Ley 17.319, IAPG, Secretaría de Energía)</w:t>
      </w:r>
    </w:p>
    <w:p>
      <w:pPr>
        <w:pStyle w:val="ListBullet"/>
      </w:pPr>
      <w:r>
        <w:t>Experiencia en auditoría de obras de gasoductos y plantas compresoras</w:t>
      </w:r>
    </w:p>
    <w:p/>
    <w:p>
      <w:pPr>
        <w:pStyle w:val="Heading2"/>
      </w:pPr>
      <w:r>
        <w:t>Sistema de Transporte de Gas del Centro</w:t>
      </w:r>
    </w:p>
    <w:p>
      <w:r>
        <w:t>Licitación de infraestructura crítica para transporte de gas desde Vaca Muerta. OPORTUNIDAD SELECTIVA para grandes operadores con músculo financiero. Barreras de entrada diseñadas para filtrar: solo empresas con +USD 500 MM patrimonio neto, +USD 1.000 MM activos y experiencia probada en gasoductos de gran porte pueden competir. Esto limita el universo a 5-8 jugadores globales/regionales (TGS, Transportadora Gas del Sur, TC Energy, Enbridge, posibles consorcios YPF-socios). PUNTOS CLAVE: (1) Garantía USD 8 MM es barrera real pero manejable para qualificados, (2) Contrato con CAMMESA mitiga riesgo comercial pero NO elimina riesgo regulatorio/tarifario argentino, (3) Requisito de Operador Técnico con 10 años experiencia en ductos +500km/30' es filtro técnico severo, (4) Financiamiento FGS-ANSES es ventaja pero sujeto a aprobación. RIESGOS PRINCIPALES: exposición a peso argentino, plazos de permisos ambientales inciertos, potencial conflictividad social en traza. RECOMENDACIÓN: EVALUAR en detalle si se cumplen requisitos financieros y técnicos. Solicitar Anexo I (cronograma) y Anexos III-IV (Licencia y Contrato CAMMESA) para análisis de rentabilidad. Considerar alianza estratégica si capacidad técnica propia es insuficiente. Proyecto viable solo para top-tier operators con apetito por riesgo argentino y visión de largo plazo en Vaca Muerta.</w:t>
      </w:r>
    </w:p>
    <w:p>
      <w:r>
        <w:rPr>
          <w:b/>
        </w:rPr>
        <w:t>Requisitos técnicos:</w:t>
      </w:r>
    </w:p>
    <w:p>
      <w:pPr>
        <w:pStyle w:val="ListBullet"/>
      </w:pPr>
      <w:r>
        <w:t>Operador Técnico con experiencia en operación y mantenimiento de gasoductos de mínimo 500 km de extensión, diámetro mínimo 30 pulgadas, presión mínima 60 barg, por al menos 10 años (5 consecutivos) en últimos 15 años</w:t>
      </w:r>
    </w:p>
    <w:p>
      <w:pPr>
        <w:pStyle w:val="ListBullet"/>
      </w:pPr>
      <w:r>
        <w:t>Experiencia en administración/gestión/dirección de proyectos de gasoducto de mínimo 250 km, diámetro mínimo 24 pulgadas, desde ingeniería hasta puesta en operación comercial, en últimos 15 años</w:t>
      </w:r>
    </w:p>
    <w:p>
      <w:pPr>
        <w:pStyle w:val="ListBullet"/>
      </w:pPr>
      <w:r>
        <w:t>Presentación de Proyecto Técnico completo incluyendo: cronograma de ejecución Fase 1, memoria descriptiva, plan de ejecución de obra, organización de operación y mantenimiento</w:t>
      </w:r>
    </w:p>
    <w:p>
      <w:pPr>
        <w:pStyle w:val="ListBullet"/>
      </w:pPr>
      <w:r>
        <w:t>Cumplimiento de especificaciones técnicas del Subanexo I de la Licencia</w:t>
      </w:r>
    </w:p>
    <w:p>
      <w:pPr>
        <w:pStyle w:val="ListBullet"/>
      </w:pPr>
      <w:r>
        <w:t>Programa de Integridad según Ley 27.401</w:t>
      </w:r>
    </w:p>
    <w:p/>
    <w:p>
      <w:pPr>
        <w:jc w:val="center"/>
      </w:pPr>
      <w:r>
        <w:rPr>
          <w:color w:val="808080"/>
          <w:sz w:val="16"/>
        </w:rPr>
        <w:t>Reporte generado por OilAI — Módulo de Licitaciones · Vaca Muerta, Neuquén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