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ContractAI — Reporte de Análisis</w:t>
      </w:r>
    </w:p>
    <w:p>
      <w:pPr>
        <w:jc w:val="center"/>
      </w:pPr>
      <w:r>
        <w:t>Fecha: 06/05/2026 23:05</w:t>
      </w:r>
    </w:p>
    <w:p/>
    <w:p>
      <w:pPr>
        <w:pStyle w:val="Heading1"/>
      </w:pPr>
      <w:r>
        <w:t>Datos del documento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Tipo</w:t>
            </w:r>
          </w:p>
        </w:tc>
        <w:tc>
          <w:tcPr>
            <w:tcW w:type="dxa" w:w="4320"/>
          </w:tcPr>
          <w:p>
            <w:r>
              <w:t>Pliego de Bases y Condiciones - Licitación Pública Nacional e Internacional para Licencia de Transporte de Gas Natural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Contratante</w:t>
            </w:r>
          </w:p>
        </w:tc>
        <w:tc>
          <w:tcPr>
            <w:tcW w:type="dxa" w:w="4320"/>
          </w:tcPr>
          <w:p>
            <w:r>
              <w:t>Estado Nacional Argentino (Otorgante) / Entidad Licitante no identificada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Contratista</w:t>
            </w:r>
          </w:p>
        </w:tc>
        <w:tc>
          <w:tcPr>
            <w:tcW w:type="dxa" w:w="4320"/>
          </w:tcPr>
          <w:p>
            <w:r>
              <w:t>Oferente / Futura 'Transportadora de Gas del Centro SA'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Objeto</w:t>
            </w:r>
          </w:p>
        </w:tc>
        <w:tc>
          <w:tcPr>
            <w:tcW w:type="dxa" w:w="4320"/>
          </w:tcPr>
          <w:p>
            <w:r>
              <w:t>Otorgamiento de licencia para diseño, construcción, operación y mantenimiento de gasoducto de transporte de gas natural de alta presión (Fase 1: +500 km, +30 pulgadas, +60 barg) desde Vaca Muerta hacia centros de consumo, incluyendo planta compresora y sistema SCADA</w:t>
            </w:r>
          </w:p>
        </w:tc>
      </w:tr>
    </w:tbl>
    <w:p/>
    <w:p>
      <w:pPr>
        <w:pStyle w:val="Heading1"/>
      </w:pPr>
      <w:r>
        <w:t>Resumen ejecutivo</w:t>
      </w:r>
    </w:p>
    <w:p>
      <w:r>
        <w:t>Licitación por etapas múltiples con requisitos patrimoniales exigentes (patrimonio neto USD 500M, activos USD 1.000M) y experiencia técnica calificada (10 años en gasoductos similares). Requiere garantía de mantenimiento de oferta por USD 8M renovable automáticamente y garantía de cumplimiento por USD 40M. El adjudicatario debe constituir SA con capital mínimo $100M, contratar Operador Técnico, implementar Programa de Integridad (Ley 27.401) y firmar licencia en 30 días. Financiamiento FGS disponible requiere calificación BBB y aporte previo del 25%. El pliego concentra riesgos desproporcionados en el oferente con cláusulas leoninas de exención estatal y ejecución automática de garantías sin debido proceso.</w:t>
      </w:r>
    </w:p>
    <w:p/>
    <w:p>
      <w:pPr>
        <w:pStyle w:val="Heading1"/>
      </w:pPr>
      <w:r>
        <w:t>Decisión</w:t>
      </w:r>
    </w:p>
    <w:p>
      <w:r>
        <w:rPr>
          <w:b/>
          <w:sz w:val="24"/>
        </w:rPr>
        <w:t>Riesgo: ALTO   |   ❌ NO FIRMAR TAL CUAL</w:t>
      </w:r>
    </w:p>
    <w:p/>
    <w:p>
      <w:pPr>
        <w:pStyle w:val="Heading1"/>
      </w:pPr>
      <w:r>
        <w:t>Puntos críticos</w:t>
      </w:r>
    </w:p>
    <w:p>
      <w:pPr>
        <w:pStyle w:val="ListBullet"/>
      </w:pPr>
      <w:r>
        <w:t>Art. 8.3 - Exención total de responsabilidad estatal: cláusula leonina que exime a Otorgante/Licitante de toda garantía sobre información, proyecciones o estimaciones provistas. Incompatible con principio de buena fe y colaboración en contratos administrativos argentinos.</w:t>
      </w:r>
    </w:p>
    <w:p>
      <w:pPr>
        <w:pStyle w:val="ListBullet"/>
      </w:pPr>
      <w:r>
        <w:t>Art. 8.4.5 - Ejecución automática de garantía sin interpelación: pérdida de USD 8M opera 'sin necesidad de interpelación administrativa o judicial previa' ante desistimiento o falsedad declarada. Vulnera debido proceso administrativo y derecho de defensa (art. 18 CN).</w:t>
      </w:r>
    </w:p>
    <w:p>
      <w:pPr>
        <w:pStyle w:val="ListBullet"/>
      </w:pPr>
      <w:r>
        <w:t>Art. 19 - Facultad discrecional ilimitada: Otorgante puede dejar sin efecto licitación en cualquier etapa 'sin asumir responsabilidad alguna ni dar derecho a indemnización'. Discrecionalidad absoluta contraria a estándares de razonabilidad administrativa.</w:t>
      </w:r>
    </w:p>
    <w:p>
      <w:pPr>
        <w:pStyle w:val="ListBullet"/>
      </w:pPr>
      <w:r>
        <w:t>Renovación automática indefinida: plazo de mantenimiento de oferta se renueva cada 30 días sin límite temporal. Genera exposición indefinida y costos de garantías sin techo previsible.</w:t>
      </w:r>
    </w:p>
    <w:p>
      <w:pPr>
        <w:pStyle w:val="ListBullet"/>
      </w:pPr>
      <w:r>
        <w:t>Art. 8.3 - Asunción total de riesgos de debida diligencia: oferente asume responsabilidad exclusiva por evaluación incorrecta o falta de información 'sin derecho a reclamo o reconocimiento adicional'. Traslada íntegramente riesgo informativo asimétrico.</w:t>
      </w:r>
    </w:p>
    <w:p>
      <w:pPr>
        <w:pStyle w:val="ListBullet"/>
      </w:pPr>
      <w:r>
        <w:t>Responsabilidad solidaria ilimitada en UTE: todos los miembros responden solidaria e ilimitadamente hasta suscripción de Licencia, sin acotamiento temporal preciso ni régimen de liberación.</w:t>
      </w:r>
    </w:p>
    <w:p>
      <w:pPr>
        <w:pStyle w:val="ListBullet"/>
      </w:pPr>
      <w:r>
        <w:t>Financiamiento FGS sin garantías: se menciona disponibilidad de fondos FGS pero sin compromiso firme del Estado. Requiere calificación BBB (restrictiva) y aporte previo 25% antes de primer desembolso.</w:t>
      </w:r>
    </w:p>
    <w:p>
      <w:pPr>
        <w:pStyle w:val="ListBullet"/>
      </w:pPr>
      <w:r>
        <w:t>Art. 14.4 - Inelegibilidad por 'indicios' y 'presunciones': causales basadas en estándares probatorios vagos (concertación, simulación) sin criterios objetivos, generando inseguridad jurídica.</w:t>
      </w:r>
    </w:p>
    <w:p>
      <w:pPr>
        <w:pStyle w:val="ListBullet"/>
      </w:pPr>
      <w:r>
        <w:t>Plazos ajustados post-adjudicación: 30 días corridos para constituir SA, contratar Operador Técnico, implementar Programa Integridad, constituir garantía USD 40M y firmar Licencia. Incumplimiento causa pérdida automática.</w:t>
      </w:r>
    </w:p>
    <w:p>
      <w:pPr>
        <w:pStyle w:val="ListBullet"/>
      </w:pPr>
      <w:r>
        <w:t>Art. 3.4 - Obligaciones implícitas: cláusula catch-all obliga a completar 'cualquier omisión del pliego según normas técnicas', generando obligaciones indeterminadas ex post.</w:t>
      </w:r>
    </w:p>
    <w:p/>
    <w:p>
      <w:pPr>
        <w:pStyle w:val="Heading1"/>
      </w:pPr>
      <w:r>
        <w:t>Recomendaciones</w:t>
      </w:r>
    </w:p>
    <w:p>
      <w:pPr>
        <w:pStyle w:val="ListBullet"/>
      </w:pPr>
      <w:r>
        <w:t>NO PRESENTAR OFERTA bajo términos actuales. Los riesgos contractuales, financieros y de due process exceden estándares aceptables para contratos administrativos en Argentina.</w:t>
      </w:r>
    </w:p>
    <w:p>
      <w:pPr>
        <w:pStyle w:val="ListBullet"/>
      </w:pPr>
      <w:r>
        <w:t>Si se decide participar: solicitar formalmente aclaraciones vinculantes sobre: (i) límite temporal máximo de mantenimiento de oferta, (ii) procedimiento contradictorio previo a ejecución de garantías, (iii) compromiso firme de disponibilidad de financiamiento FGS con condiciones cerradas.</w:t>
      </w:r>
    </w:p>
    <w:p>
      <w:pPr>
        <w:pStyle w:val="ListBullet"/>
      </w:pPr>
      <w:r>
        <w:t>Exigir modificación del Art. 8.3 para establecer responsabilidad compartida en información crítica provista por el Estado (estudios geotécnicos, ambientales, disponibilidad de ROW).</w:t>
      </w:r>
    </w:p>
    <w:p>
      <w:pPr>
        <w:pStyle w:val="ListBullet"/>
      </w:pPr>
      <w:r>
        <w:t>Negociar extensión del plazo post-adjudicación a mínimo 60 días corridos para cumplir condiciones precedentes, o establecer cronograma escalonado con hitos intermedios.</w:t>
      </w:r>
    </w:p>
    <w:p>
      <w:pPr>
        <w:pStyle w:val="ListBullet"/>
      </w:pPr>
      <w:r>
        <w:t>Incluir en estructura de UTE cláusula de limitación de responsabilidad solidaria a porcentaje de participación más margen prudencial (ej: participación + 20%), con liberación automática post-firma de Licencia.</w:t>
      </w:r>
    </w:p>
    <w:p>
      <w:pPr>
        <w:pStyle w:val="ListBullet"/>
      </w:pPr>
      <w:r>
        <w:t>Realizar due diligence técnico-legal exhaustivo independiente sobre: derechos de vía, permisos ambientales preexistentes, interferencias con concesiones vigentes, pasivos ocultos del corredor.</w:t>
      </w:r>
    </w:p>
    <w:p>
      <w:pPr>
        <w:pStyle w:val="ListBullet"/>
      </w:pPr>
      <w:r>
        <w:t>Estructurar financiamiento sin depender de FGS: buscar alternativas de project finance con garantías soberanas expresas o seguros de crédito a la exportación (ECA) que mitiguen riesgo regulatorio argentino.</w:t>
      </w:r>
    </w:p>
    <w:p>
      <w:pPr>
        <w:pStyle w:val="ListBullet"/>
      </w:pPr>
      <w:r>
        <w:t>Contratar seguro de caución con cláusula de no ejecución automática sin sentencia firme, o garantía bancaria con condición de interpelación fehaciente previa de 15 días.</w:t>
      </w:r>
    </w:p>
    <w:p>
      <w:pPr>
        <w:pStyle w:val="ListBullet"/>
      </w:pPr>
      <w:r>
        <w:t>Constituir desde el inicio el Programa de Integridad robusto con certificación externa (ISO 37001 o similar) para blindar exposición a Ley 27.401.</w:t>
      </w:r>
    </w:p>
    <w:p>
      <w:pPr>
        <w:pStyle w:val="ListBullet"/>
      </w:pPr>
      <w:r>
        <w:t>Establecer en Pacto de UTE régimen claro de gobiernos corporativo, toma de decisiones, causales de salida y mecanismos de resolución de conflictos (arbitraje) previo a presentación de oferta.</w:t>
      </w:r>
    </w:p>
    <w:p/>
    <w:p>
      <w:pPr>
        <w:jc w:val="center"/>
      </w:pPr>
      <w:r>
        <w:rPr>
          <w:color w:val="808080"/>
          <w:sz w:val="16"/>
        </w:rPr>
        <w:t>Generado por ContractAI — Herramienta de análisis O&amp;G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