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4A5568"/>
          <w:sz w:val="19"/>
        </w:rPr>
        <w:t>AI IN MARKETING CAPSTONE · SUBMISSION DOSSIER</w:t>
      </w:r>
    </w:p>
    <w:p>
      <w:pPr>
        <w:spacing w:after="40"/>
      </w:pPr>
      <w:r>
        <w:rPr>
          <w:b/>
          <w:color w:val="1A365D"/>
          <w:sz w:val="48"/>
        </w:rPr>
        <w:t>Concept Note and Implementation Plan</w:t>
      </w:r>
    </w:p>
    <w:p>
      <w:pPr>
        <w:spacing w:after="320"/>
      </w:pPr>
      <w:r>
        <w:rPr>
          <w:i/>
          <w:color w:val="2B6CB0"/>
          <w:sz w:val="26"/>
        </w:rPr>
        <w:t>AI Personal Coach: EdTech Early Churn Prevention &amp; Parent Retention via Behavioral ML and Autonomy-Supportive LLM Nudging</w:t>
      </w:r>
    </w:p>
    <w:tbl>
      <w:tblPr>
        <w:tblW w:type="auto" w:w="0"/>
        <w:jc w:val="center"/>
        <w:tblLayout w:type="fixed"/>
        <w:tblLook w:firstColumn="1" w:firstRow="1" w:lastColumn="0" w:lastRow="0" w:noHBand="0" w:noVBand="1" w:val="04A0"/>
      </w:tblPr>
      <w:tblGrid>
        <w:gridCol w:w="4968"/>
        <w:gridCol w:w="4968"/>
      </w:tblGrid>
      <w:tr>
        <w:tc>
          <w:tcPr>
            <w:tcW w:type="dxa" w:w="3168"/>
            <w:shd w:fill="F7FAFC"/>
            <w:tcMar>
              <w:top w:w="100" w:type="dxa"/>
              <w:bottom w:w="100" w:type="dxa"/>
              <w:left w:w="120" w:type="dxa"/>
              <w:right w:w="120" w:type="dxa"/>
            </w:tcMar>
          </w:tcPr>
          <w:p>
            <w:r>
              <w:rPr>
                <w:b/>
                <w:color w:val="2D3748"/>
                <w:sz w:val="20"/>
              </w:rPr>
              <w:t>Project Title:</w:t>
            </w:r>
          </w:p>
        </w:tc>
        <w:tc>
          <w:tcPr>
            <w:tcW w:type="dxa" w:w="6624"/>
            <w:shd w:fill="EDF2F7"/>
            <w:tcMar>
              <w:top w:w="100" w:type="dxa"/>
              <w:bottom w:w="100" w:type="dxa"/>
              <w:left w:w="120" w:type="dxa"/>
              <w:right w:w="120" w:type="dxa"/>
            </w:tcMar>
          </w:tcPr>
          <w:p>
            <w:r>
              <w:rPr>
                <w:color w:val="1A202C"/>
                <w:sz w:val="20"/>
              </w:rPr>
              <w:t>AI Personal Coach: EdTech Early Churn Prevention &amp; Parent Retention System</w:t>
            </w:r>
          </w:p>
        </w:tc>
      </w:tr>
      <w:tr>
        <w:tc>
          <w:tcPr>
            <w:tcW w:type="dxa" w:w="3168"/>
            <w:shd w:fill="F7FAFC"/>
            <w:tcMar>
              <w:top w:w="100" w:type="dxa"/>
              <w:bottom w:w="100" w:type="dxa"/>
              <w:left w:w="120" w:type="dxa"/>
              <w:right w:w="120" w:type="dxa"/>
            </w:tcMar>
          </w:tcPr>
          <w:p>
            <w:r>
              <w:rPr>
                <w:b/>
                <w:color w:val="2D3748"/>
                <w:sz w:val="20"/>
              </w:rPr>
              <w:t>Focus Area &amp; Cohort:</w:t>
            </w:r>
          </w:p>
        </w:tc>
        <w:tc>
          <w:tcPr>
            <w:tcW w:type="dxa" w:w="6624"/>
            <w:shd w:fill="EDF2F7"/>
            <w:tcMar>
              <w:top w:w="100" w:type="dxa"/>
              <w:bottom w:w="100" w:type="dxa"/>
              <w:left w:w="120" w:type="dxa"/>
              <w:right w:w="120" w:type="dxa"/>
            </w:tcMar>
          </w:tcPr>
          <w:p>
            <w:r>
              <w:rPr>
                <w:color w:val="1A202C"/>
                <w:sz w:val="20"/>
              </w:rPr>
              <w:t>AI in Marketing / EdTech Subscription Marketing (LGS &amp; YKS Preparation)</w:t>
            </w:r>
          </w:p>
        </w:tc>
      </w:tr>
      <w:tr>
        <w:tc>
          <w:tcPr>
            <w:tcW w:type="dxa" w:w="3168"/>
            <w:shd w:fill="F7FAFC"/>
            <w:tcMar>
              <w:top w:w="100" w:type="dxa"/>
              <w:bottom w:w="100" w:type="dxa"/>
              <w:left w:w="120" w:type="dxa"/>
              <w:right w:w="120" w:type="dxa"/>
            </w:tcMar>
          </w:tcPr>
          <w:p>
            <w:r>
              <w:rPr>
                <w:b/>
                <w:color w:val="2D3748"/>
                <w:sz w:val="20"/>
              </w:rPr>
              <w:t>Team &amp; Roles:</w:t>
            </w:r>
          </w:p>
        </w:tc>
        <w:tc>
          <w:tcPr>
            <w:tcW w:type="dxa" w:w="6624"/>
            <w:shd w:fill="EDF2F7"/>
            <w:tcMar>
              <w:top w:w="100" w:type="dxa"/>
              <w:bottom w:w="100" w:type="dxa"/>
              <w:left w:w="120" w:type="dxa"/>
              <w:right w:w="120" w:type="dxa"/>
            </w:tcMar>
          </w:tcPr>
          <w:p>
            <w:r>
              <w:rPr>
                <w:color w:val="1A202C"/>
                <w:sz w:val="20"/>
              </w:rPr>
              <w:t>SIC AI-17 Capstone Group 1 (K1: Product/Marketing, K2: Lit/UX, K3: Data/ML, K4: Governance, K5: System/AI)</w:t>
            </w:r>
          </w:p>
        </w:tc>
      </w:tr>
      <w:tr>
        <w:tc>
          <w:tcPr>
            <w:tcW w:type="dxa" w:w="3168"/>
            <w:shd w:fill="F7FAFC"/>
            <w:tcMar>
              <w:top w:w="100" w:type="dxa"/>
              <w:bottom w:w="100" w:type="dxa"/>
              <w:left w:w="120" w:type="dxa"/>
              <w:right w:w="120" w:type="dxa"/>
            </w:tcMar>
          </w:tcPr>
          <w:p>
            <w:r>
              <w:rPr>
                <w:b/>
                <w:color w:val="2D3748"/>
                <w:sz w:val="20"/>
              </w:rPr>
              <w:t>Submission Date &amp; Status:</w:t>
            </w:r>
          </w:p>
        </w:tc>
        <w:tc>
          <w:tcPr>
            <w:tcW w:type="dxa" w:w="6624"/>
            <w:shd w:fill="EDF2F7"/>
            <w:tcMar>
              <w:top w:w="100" w:type="dxa"/>
              <w:bottom w:w="100" w:type="dxa"/>
              <w:left w:w="120" w:type="dxa"/>
              <w:right w:w="120" w:type="dxa"/>
            </w:tcMar>
          </w:tcPr>
          <w:p>
            <w:r>
              <w:rPr>
                <w:color w:val="1A202C"/>
                <w:sz w:val="20"/>
              </w:rPr>
              <w:t>August 30, 2026 (Completed PoC Pipeline, FastAPI Microservice &amp; Streamlit UI)</w:t>
            </w:r>
          </w:p>
        </w:tc>
      </w:tr>
    </w:tbl>
    <w:p>
      <w:pPr>
        <w:spacing w:after="240"/>
      </w:pPr>
    </w:p>
    <w:p>
      <w:pPr>
        <w:spacing w:before="200" w:after="160"/>
      </w:pPr>
      <w:r>
        <w:rPr>
          <w:b/>
          <w:color w:val="1A365D"/>
          <w:sz w:val="32"/>
        </w:rPr>
        <w:t>PART I: CONCEPT NOTE</w:t>
      </w:r>
    </w:p>
    <w:p>
      <w:pPr>
        <w:spacing w:before="320" w:after="120"/>
      </w:pPr>
      <w:r>
        <w:rPr>
          <w:b/>
          <w:color w:val="2B6CB0"/>
          <w:sz w:val="30"/>
        </w:rPr>
        <w:t xml:space="preserve">1. </w:t>
      </w:r>
      <w:r>
        <w:rPr>
          <w:b/>
          <w:color w:val="1A365D"/>
          <w:sz w:val="30"/>
        </w:rPr>
        <w:t>Project Overview</w:t>
      </w:r>
    </w:p>
    <w:p>
      <w:pPr>
        <w:spacing w:after="120" w:line="276" w:lineRule="auto"/>
      </w:pPr>
      <w:r>
        <w:rPr>
          <w:i w:val="0"/>
        </w:rPr>
        <w:t>In the subscription-based Educational Technology (EdTech) industry preparing students for high-stakes national exams (such as LGS and YKS in Turkey), early subscriber churn represents the single greatest threat to business sustainability and customer lifetime value (LTV). Industry data indicates that 40% to 50% of parent subscribers cancel their monthly subscriptions within the first 30 to 90 days. The root cause of this attrition is an acute Asymmetric Value Perception: while demonstrable academic score improvements typically require 8 to 12 weeks of sustained study, parents evaluate subscription ROI and decide whether to cancel within weeks 4 to 6. When a student struggles with procrastination, digital distractions, or initial exam anxiety, parents misattribute this natural learning friction to platform inefficacy, cancel their subscription, and escalate domestic conflict.</w:t>
      </w:r>
    </w:p>
    <w:p>
      <w:pPr>
        <w:spacing w:after="120" w:line="276" w:lineRule="auto"/>
      </w:pPr>
      <w:r>
        <w:rPr>
          <w:i w:val="0"/>
        </w:rPr>
        <w:t>The marketing context is defined by a distinct Dual-User Business Model: the economic buyer who pays for the service is the parent (predominantly mothers managing family education budgets under high academic anxiety), whereas the daily active user is the adolescent student (aged 13-18). Traditional EdTech products fail this relationship by either sending zero parental communication (rendering the service invisible) or sending raw, punitive surveillance alerts ('Your child missed 3 math tests!'), which triggers domestic arguments and causes parents to churn out of exasperation.</w:t>
      </w:r>
    </w:p>
    <w:p>
      <w:pPr>
        <w:spacing w:after="120" w:line="276" w:lineRule="auto"/>
      </w:pPr>
      <w:r>
        <w:rPr>
          <w:i w:val="0"/>
        </w:rPr>
        <w:t>AI Personal Coach transforms this dynamic from a silent attrition trap into a high-retention collaborative coaching ecosystem. By ingesting digital learning footprints (session clickstreams, focus block durations, idle intervals) during opt-in study blocks, our hybrid AI pipeline predicts disengagement risk 7 to 14 days before churn occurs. Instead of triggering alarming surveillance, the system automatically translates leading risk signals into empathetic, autonomy-supportive parenting scripts (via LLMs) and proactive micro-nudges. Solving this marketing challenge increases 90-day parent retention from 45% to over 65%, expands Customer Lifetime Value (LTV), drops Customer Acquisition Cost (CAC) pressure, and strengthens long-term brand equity.</w:t>
      </w:r>
    </w:p>
    <w:tbl>
      <w:tblPr>
        <w:tblW w:type="auto" w:w="0"/>
        <w:jc w:val="center"/>
        <w:tblLayout w:type="fixed"/>
        <w:tblLook w:firstColumn="1" w:firstRow="1" w:lastColumn="0" w:lastRow="0" w:noHBand="0" w:noVBand="1" w:val="04A0"/>
      </w:tblPr>
      <w:tblGrid>
        <w:gridCol w:w="9936"/>
      </w:tblGrid>
      <w:tr>
        <w:tc>
          <w:tcPr>
            <w:tcW w:type="dxa" w:w="9792"/>
            <w:shd w:fill="EBF8FF"/>
            <w:tcMar>
              <w:top w:w="120" w:type="dxa"/>
              <w:bottom w:w="120" w:type="dxa"/>
              <w:left w:w="180" w:type="dxa"/>
              <w:right w:w="180" w:type="dxa"/>
            </w:tcMar>
          </w:tcPr>
          <w:p>
            <w:pPr>
              <w:spacing w:after="40"/>
            </w:pPr>
            <w:r>
              <w:rPr>
                <w:b/>
                <w:color w:val="2B6CB0"/>
                <w:sz w:val="19"/>
              </w:rPr>
              <w:t xml:space="preserve">[DUAL-USER MARKETING PARADOX] </w:t>
            </w:r>
            <w:r>
              <w:rPr>
                <w:color w:val="2C5282"/>
                <w:sz w:val="19"/>
              </w:rPr>
              <w:t>Economic Buyer vs. End User Paradox: The parent pays the monthly bill, but the student creates the digital behavioral data. AI Personal Coach resolves this tension by transforming raw behavioral telemetry into reassuring, constructive parental coaching before churn decisions solidify.</w:t>
            </w:r>
          </w:p>
        </w:tc>
      </w:tr>
    </w:tbl>
    <w:p>
      <w:pPr>
        <w:spacing w:after="120"/>
      </w:pPr>
    </w:p>
    <w:p>
      <w:pPr>
        <w:spacing w:before="320" w:after="120"/>
      </w:pPr>
      <w:r>
        <w:rPr>
          <w:b/>
          <w:color w:val="2B6CB0"/>
          <w:sz w:val="30"/>
        </w:rPr>
        <w:t xml:space="preserve">2. </w:t>
      </w:r>
      <w:r>
        <w:rPr>
          <w:b/>
          <w:color w:val="1A365D"/>
          <w:sz w:val="30"/>
        </w:rPr>
        <w:t>Objectives and Marketing KPIs</w:t>
      </w:r>
    </w:p>
    <w:p>
      <w:pPr>
        <w:spacing w:after="120" w:line="276" w:lineRule="auto"/>
      </w:pPr>
      <w:r>
        <w:rPr>
          <w:i w:val="0"/>
        </w:rPr>
        <w:t>The core strategic objective of AI Personal Coach is to deploy machine learning and generative AI to systematically predict, prevent, and reverse early subscriber churn in subscription EdTech. Rather than treating AI as an isolated academic experiment, every technical component is strictly mapped to a commercial marketing milestone.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2B6CB0"/>
            <w:tcMar>
              <w:top w:w="100" w:type="dxa"/>
              <w:bottom w:w="100" w:type="dxa"/>
              <w:left w:w="100" w:type="dxa"/>
              <w:right w:w="100" w:type="dxa"/>
            </w:tcMar>
          </w:tcPr>
          <w:p>
            <w:r>
              <w:rPr>
                <w:b/>
                <w:color w:val="FFFFFF"/>
                <w:sz w:val="19"/>
              </w:rPr>
              <w:t>Metric Category</w:t>
            </w:r>
          </w:p>
        </w:tc>
        <w:tc>
          <w:tcPr>
            <w:tcW w:type="dxa" w:w="1987"/>
            <w:shd w:fill="2B6CB0"/>
            <w:tcMar>
              <w:top w:w="100" w:type="dxa"/>
              <w:bottom w:w="100" w:type="dxa"/>
              <w:left w:w="100" w:type="dxa"/>
              <w:right w:w="100" w:type="dxa"/>
            </w:tcMar>
          </w:tcPr>
          <w:p>
            <w:r>
              <w:rPr>
                <w:b/>
                <w:color w:val="FFFFFF"/>
                <w:sz w:val="19"/>
              </w:rPr>
              <w:t>Marketing KPI</w:t>
            </w:r>
          </w:p>
        </w:tc>
        <w:tc>
          <w:tcPr>
            <w:tcW w:type="dxa" w:w="1987"/>
            <w:shd w:fill="2B6CB0"/>
            <w:tcMar>
              <w:top w:w="100" w:type="dxa"/>
              <w:bottom w:w="100" w:type="dxa"/>
              <w:left w:w="100" w:type="dxa"/>
              <w:right w:w="100" w:type="dxa"/>
            </w:tcMar>
          </w:tcPr>
          <w:p>
            <w:r>
              <w:rPr>
                <w:b/>
                <w:color w:val="FFFFFF"/>
                <w:sz w:val="19"/>
              </w:rPr>
              <w:t>Baseline / Industry</w:t>
            </w:r>
          </w:p>
        </w:tc>
        <w:tc>
          <w:tcPr>
            <w:tcW w:type="dxa" w:w="1987"/>
            <w:shd w:fill="2B6CB0"/>
            <w:tcMar>
              <w:top w:w="100" w:type="dxa"/>
              <w:bottom w:w="100" w:type="dxa"/>
              <w:left w:w="100" w:type="dxa"/>
              <w:right w:w="100" w:type="dxa"/>
            </w:tcMar>
          </w:tcPr>
          <w:p>
            <w:r>
              <w:rPr>
                <w:b/>
                <w:color w:val="FFFFFF"/>
                <w:sz w:val="19"/>
              </w:rPr>
              <w:t>Capstone Target</w:t>
            </w:r>
          </w:p>
        </w:tc>
        <w:tc>
          <w:tcPr>
            <w:tcW w:type="dxa" w:w="1987"/>
            <w:shd w:fill="2B6CB0"/>
            <w:tcMar>
              <w:top w:w="100" w:type="dxa"/>
              <w:bottom w:w="100" w:type="dxa"/>
              <w:left w:w="100" w:type="dxa"/>
              <w:right w:w="100" w:type="dxa"/>
            </w:tcMar>
          </w:tcPr>
          <w:p>
            <w:r>
              <w:rPr>
                <w:b/>
                <w:color w:val="FFFFFF"/>
                <w:sz w:val="19"/>
              </w:rPr>
              <w:t>Strategic Marketing Impact</w:t>
            </w:r>
          </w:p>
        </w:tc>
      </w:tr>
      <w:tr>
        <w:tc>
          <w:tcPr>
            <w:tcW w:type="dxa" w:w="1987"/>
            <w:shd w:fill="F7FAFC"/>
            <w:tcMar>
              <w:top w:w="80" w:type="dxa"/>
              <w:bottom w:w="80" w:type="dxa"/>
              <w:left w:w="100" w:type="dxa"/>
              <w:right w:w="100" w:type="dxa"/>
            </w:tcMar>
          </w:tcPr>
          <w:p>
            <w:r>
              <w:rPr>
                <w:sz w:val="18"/>
              </w:rPr>
              <w:t>Primary Commercial</w:t>
            </w:r>
          </w:p>
        </w:tc>
        <w:tc>
          <w:tcPr>
            <w:tcW w:type="dxa" w:w="1987"/>
            <w:shd w:fill="F7FAFC"/>
            <w:tcMar>
              <w:top w:w="80" w:type="dxa"/>
              <w:bottom w:w="80" w:type="dxa"/>
              <w:left w:w="100" w:type="dxa"/>
              <w:right w:w="100" w:type="dxa"/>
            </w:tcMar>
          </w:tcPr>
          <w:p>
            <w:r>
              <w:rPr>
                <w:sz w:val="18"/>
              </w:rPr>
              <w:t>90-Day Parent Retention</w:t>
            </w:r>
          </w:p>
        </w:tc>
        <w:tc>
          <w:tcPr>
            <w:tcW w:type="dxa" w:w="1987"/>
            <w:shd w:fill="F7FAFC"/>
            <w:tcMar>
              <w:top w:w="80" w:type="dxa"/>
              <w:bottom w:w="80" w:type="dxa"/>
              <w:left w:w="100" w:type="dxa"/>
              <w:right w:w="100" w:type="dxa"/>
            </w:tcMar>
          </w:tcPr>
          <w:p>
            <w:r>
              <w:rPr>
                <w:sz w:val="18"/>
              </w:rPr>
              <w:t>40% - 50%</w:t>
            </w:r>
          </w:p>
        </w:tc>
        <w:tc>
          <w:tcPr>
            <w:tcW w:type="dxa" w:w="1987"/>
            <w:shd w:fill="F7FAFC"/>
            <w:tcMar>
              <w:top w:w="80" w:type="dxa"/>
              <w:bottom w:w="80" w:type="dxa"/>
              <w:left w:w="100" w:type="dxa"/>
              <w:right w:w="100" w:type="dxa"/>
            </w:tcMar>
          </w:tcPr>
          <w:p>
            <w:r>
              <w:rPr>
                <w:b/>
                <w:color w:val="2B6CB0"/>
                <w:sz w:val="18"/>
              </w:rPr>
              <w:t>65%+</w:t>
            </w:r>
          </w:p>
        </w:tc>
        <w:tc>
          <w:tcPr>
            <w:tcW w:type="dxa" w:w="1987"/>
            <w:shd w:fill="F7FAFC"/>
            <w:tcMar>
              <w:top w:w="80" w:type="dxa"/>
              <w:bottom w:w="80" w:type="dxa"/>
              <w:left w:w="100" w:type="dxa"/>
              <w:right w:w="100" w:type="dxa"/>
            </w:tcMar>
          </w:tcPr>
          <w:p>
            <w:r>
              <w:rPr>
                <w:sz w:val="18"/>
              </w:rPr>
              <w:t>Directly lifts subscription ARR and customer lifetime value (LTV).</w:t>
            </w:r>
          </w:p>
        </w:tc>
      </w:tr>
      <w:tr>
        <w:tc>
          <w:tcPr>
            <w:tcW w:type="dxa" w:w="1987"/>
            <w:shd w:fill="FFFFFF"/>
            <w:tcMar>
              <w:top w:w="80" w:type="dxa"/>
              <w:bottom w:w="80" w:type="dxa"/>
              <w:left w:w="100" w:type="dxa"/>
              <w:right w:w="100" w:type="dxa"/>
            </w:tcMar>
          </w:tcPr>
          <w:p>
            <w:r>
              <w:rPr>
                <w:sz w:val="18"/>
              </w:rPr>
              <w:t>Early Retention</w:t>
            </w:r>
          </w:p>
        </w:tc>
        <w:tc>
          <w:tcPr>
            <w:tcW w:type="dxa" w:w="1987"/>
            <w:shd w:fill="FFFFFF"/>
            <w:tcMar>
              <w:top w:w="80" w:type="dxa"/>
              <w:bottom w:w="80" w:type="dxa"/>
              <w:left w:w="100" w:type="dxa"/>
              <w:right w:w="100" w:type="dxa"/>
            </w:tcMar>
          </w:tcPr>
          <w:p>
            <w:r>
              <w:rPr>
                <w:sz w:val="18"/>
              </w:rPr>
              <w:t>30-Day Subscriber Retention</w:t>
            </w:r>
          </w:p>
        </w:tc>
        <w:tc>
          <w:tcPr>
            <w:tcW w:type="dxa" w:w="1987"/>
            <w:shd w:fill="FFFFFF"/>
            <w:tcMar>
              <w:top w:w="80" w:type="dxa"/>
              <w:bottom w:w="80" w:type="dxa"/>
              <w:left w:w="100" w:type="dxa"/>
              <w:right w:w="100" w:type="dxa"/>
            </w:tcMar>
          </w:tcPr>
          <w:p>
            <w:r>
              <w:rPr>
                <w:sz w:val="18"/>
              </w:rPr>
              <w:t>50% - 60%</w:t>
            </w:r>
          </w:p>
        </w:tc>
        <w:tc>
          <w:tcPr>
            <w:tcW w:type="dxa" w:w="1987"/>
            <w:shd w:fill="FFFFFF"/>
            <w:tcMar>
              <w:top w:w="80" w:type="dxa"/>
              <w:bottom w:w="80" w:type="dxa"/>
              <w:left w:w="100" w:type="dxa"/>
              <w:right w:w="100" w:type="dxa"/>
            </w:tcMar>
          </w:tcPr>
          <w:p>
            <w:r>
              <w:rPr>
                <w:b/>
                <w:color w:val="2B6CB0"/>
                <w:sz w:val="18"/>
              </w:rPr>
              <w:t>80%+</w:t>
            </w:r>
          </w:p>
        </w:tc>
        <w:tc>
          <w:tcPr>
            <w:tcW w:type="dxa" w:w="1987"/>
            <w:shd w:fill="FFFFFF"/>
            <w:tcMar>
              <w:top w:w="80" w:type="dxa"/>
              <w:bottom w:w="80" w:type="dxa"/>
              <w:left w:w="100" w:type="dxa"/>
              <w:right w:w="100" w:type="dxa"/>
            </w:tcMar>
          </w:tcPr>
          <w:p>
            <w:r>
              <w:rPr>
                <w:sz w:val="18"/>
              </w:rPr>
              <w:t>Stabilizes the critical first billing cycle transition.</w:t>
            </w:r>
          </w:p>
        </w:tc>
      </w:tr>
      <w:tr>
        <w:tc>
          <w:tcPr>
            <w:tcW w:type="dxa" w:w="1987"/>
            <w:shd w:fill="F7FAFC"/>
            <w:tcMar>
              <w:top w:w="80" w:type="dxa"/>
              <w:bottom w:w="80" w:type="dxa"/>
              <w:left w:w="100" w:type="dxa"/>
              <w:right w:w="100" w:type="dxa"/>
            </w:tcMar>
          </w:tcPr>
          <w:p>
            <w:r>
              <w:rPr>
                <w:sz w:val="18"/>
              </w:rPr>
              <w:t>Acquisition Funnel</w:t>
            </w:r>
          </w:p>
        </w:tc>
        <w:tc>
          <w:tcPr>
            <w:tcW w:type="dxa" w:w="1987"/>
            <w:shd w:fill="F7FAFC"/>
            <w:tcMar>
              <w:top w:w="80" w:type="dxa"/>
              <w:bottom w:w="80" w:type="dxa"/>
              <w:left w:w="100" w:type="dxa"/>
              <w:right w:w="100" w:type="dxa"/>
            </w:tcMar>
          </w:tcPr>
          <w:p>
            <w:r>
              <w:rPr>
                <w:sz w:val="18"/>
              </w:rPr>
              <w:t>Free-Trial to Paid Conversion</w:t>
            </w:r>
          </w:p>
        </w:tc>
        <w:tc>
          <w:tcPr>
            <w:tcW w:type="dxa" w:w="1987"/>
            <w:shd w:fill="F7FAFC"/>
            <w:tcMar>
              <w:top w:w="80" w:type="dxa"/>
              <w:bottom w:w="80" w:type="dxa"/>
              <w:left w:w="100" w:type="dxa"/>
              <w:right w:w="100" w:type="dxa"/>
            </w:tcMar>
          </w:tcPr>
          <w:p>
            <w:r>
              <w:rPr>
                <w:sz w:val="18"/>
              </w:rPr>
              <w:t>15% - 20%</w:t>
            </w:r>
          </w:p>
        </w:tc>
        <w:tc>
          <w:tcPr>
            <w:tcW w:type="dxa" w:w="1987"/>
            <w:shd w:fill="F7FAFC"/>
            <w:tcMar>
              <w:top w:w="80" w:type="dxa"/>
              <w:bottom w:w="80" w:type="dxa"/>
              <w:left w:w="100" w:type="dxa"/>
              <w:right w:w="100" w:type="dxa"/>
            </w:tcMar>
          </w:tcPr>
          <w:p>
            <w:r>
              <w:rPr>
                <w:b/>
                <w:color w:val="2B6CB0"/>
                <w:sz w:val="18"/>
              </w:rPr>
              <w:t>25%+</w:t>
            </w:r>
          </w:p>
        </w:tc>
        <w:tc>
          <w:tcPr>
            <w:tcW w:type="dxa" w:w="1987"/>
            <w:shd w:fill="F7FAFC"/>
            <w:tcMar>
              <w:top w:w="80" w:type="dxa"/>
              <w:bottom w:w="80" w:type="dxa"/>
              <w:left w:w="100" w:type="dxa"/>
              <w:right w:w="100" w:type="dxa"/>
            </w:tcMar>
          </w:tcPr>
          <w:p>
            <w:r>
              <w:rPr>
                <w:sz w:val="18"/>
              </w:rPr>
              <w:t>Demonstrates proactive pedagogical value before Day 14 billing.</w:t>
            </w:r>
          </w:p>
        </w:tc>
      </w:tr>
      <w:tr>
        <w:tc>
          <w:tcPr>
            <w:tcW w:type="dxa" w:w="1987"/>
            <w:shd w:fill="FFFFFF"/>
            <w:tcMar>
              <w:top w:w="80" w:type="dxa"/>
              <w:bottom w:w="80" w:type="dxa"/>
              <w:left w:w="100" w:type="dxa"/>
              <w:right w:w="100" w:type="dxa"/>
            </w:tcMar>
          </w:tcPr>
          <w:p>
            <w:r>
              <w:rPr>
                <w:sz w:val="18"/>
              </w:rPr>
              <w:t>Customer Engagement</w:t>
            </w:r>
          </w:p>
        </w:tc>
        <w:tc>
          <w:tcPr>
            <w:tcW w:type="dxa" w:w="1987"/>
            <w:shd w:fill="FFFFFF"/>
            <w:tcMar>
              <w:top w:w="80" w:type="dxa"/>
              <w:bottom w:w="80" w:type="dxa"/>
              <w:left w:w="100" w:type="dxa"/>
              <w:right w:w="100" w:type="dxa"/>
            </w:tcMar>
          </w:tcPr>
          <w:p>
            <w:r>
              <w:rPr>
                <w:sz w:val="18"/>
              </w:rPr>
              <w:t>Weekly Report Open Rate</w:t>
            </w:r>
          </w:p>
        </w:tc>
        <w:tc>
          <w:tcPr>
            <w:tcW w:type="dxa" w:w="1987"/>
            <w:shd w:fill="FFFFFF"/>
            <w:tcMar>
              <w:top w:w="80" w:type="dxa"/>
              <w:bottom w:w="80" w:type="dxa"/>
              <w:left w:w="100" w:type="dxa"/>
              <w:right w:w="100" w:type="dxa"/>
            </w:tcMar>
          </w:tcPr>
          <w:p>
            <w:r>
              <w:rPr>
                <w:sz w:val="18"/>
              </w:rPr>
              <w:t>20% - 25%</w:t>
            </w:r>
          </w:p>
        </w:tc>
        <w:tc>
          <w:tcPr>
            <w:tcW w:type="dxa" w:w="1987"/>
            <w:shd w:fill="FFFFFF"/>
            <w:tcMar>
              <w:top w:w="80" w:type="dxa"/>
              <w:bottom w:w="80" w:type="dxa"/>
              <w:left w:w="100" w:type="dxa"/>
              <w:right w:w="100" w:type="dxa"/>
            </w:tcMar>
          </w:tcPr>
          <w:p>
            <w:r>
              <w:rPr>
                <w:b/>
                <w:color w:val="2B6CB0"/>
                <w:sz w:val="18"/>
              </w:rPr>
              <w:t>35%+</w:t>
            </w:r>
          </w:p>
        </w:tc>
        <w:tc>
          <w:tcPr>
            <w:tcW w:type="dxa" w:w="1987"/>
            <w:shd w:fill="FFFFFF"/>
            <w:tcMar>
              <w:top w:w="80" w:type="dxa"/>
              <w:bottom w:w="80" w:type="dxa"/>
              <w:left w:w="100" w:type="dxa"/>
              <w:right w:w="100" w:type="dxa"/>
            </w:tcMar>
          </w:tcPr>
          <w:p>
            <w:r>
              <w:rPr>
                <w:sz w:val="18"/>
              </w:rPr>
              <w:t>Ensures parent brand awareness and visibility of student progress.</w:t>
            </w:r>
          </w:p>
        </w:tc>
      </w:tr>
      <w:tr>
        <w:tc>
          <w:tcPr>
            <w:tcW w:type="dxa" w:w="1987"/>
            <w:shd w:fill="F7FAFC"/>
            <w:tcMar>
              <w:top w:w="80" w:type="dxa"/>
              <w:bottom w:w="80" w:type="dxa"/>
              <w:left w:w="100" w:type="dxa"/>
              <w:right w:w="100" w:type="dxa"/>
            </w:tcMar>
          </w:tcPr>
          <w:p>
            <w:r>
              <w:rPr>
                <w:sz w:val="18"/>
              </w:rPr>
              <w:t>Activation &amp; Action</w:t>
            </w:r>
          </w:p>
        </w:tc>
        <w:tc>
          <w:tcPr>
            <w:tcW w:type="dxa" w:w="1987"/>
            <w:shd w:fill="F7FAFC"/>
            <w:tcMar>
              <w:top w:w="80" w:type="dxa"/>
              <w:bottom w:w="80" w:type="dxa"/>
              <w:left w:w="100" w:type="dxa"/>
              <w:right w:w="100" w:type="dxa"/>
            </w:tcMar>
          </w:tcPr>
          <w:p>
            <w:r>
              <w:rPr>
                <w:sz w:val="18"/>
              </w:rPr>
              <w:t>Notification Action Rate</w:t>
            </w:r>
          </w:p>
        </w:tc>
        <w:tc>
          <w:tcPr>
            <w:tcW w:type="dxa" w:w="1987"/>
            <w:shd w:fill="F7FAFC"/>
            <w:tcMar>
              <w:top w:w="80" w:type="dxa"/>
              <w:bottom w:w="80" w:type="dxa"/>
              <w:left w:w="100" w:type="dxa"/>
              <w:right w:w="100" w:type="dxa"/>
            </w:tcMar>
          </w:tcPr>
          <w:p>
            <w:r>
              <w:rPr>
                <w:sz w:val="18"/>
              </w:rPr>
              <w:t>8% - 12%</w:t>
            </w:r>
          </w:p>
        </w:tc>
        <w:tc>
          <w:tcPr>
            <w:tcW w:type="dxa" w:w="1987"/>
            <w:shd w:fill="F7FAFC"/>
            <w:tcMar>
              <w:top w:w="80" w:type="dxa"/>
              <w:bottom w:w="80" w:type="dxa"/>
              <w:left w:w="100" w:type="dxa"/>
              <w:right w:w="100" w:type="dxa"/>
            </w:tcMar>
          </w:tcPr>
          <w:p>
            <w:r>
              <w:rPr>
                <w:b/>
                <w:color w:val="2B6CB0"/>
                <w:sz w:val="18"/>
              </w:rPr>
              <w:t>18%+</w:t>
            </w:r>
          </w:p>
        </w:tc>
        <w:tc>
          <w:tcPr>
            <w:tcW w:type="dxa" w:w="1987"/>
            <w:shd w:fill="F7FAFC"/>
            <w:tcMar>
              <w:top w:w="80" w:type="dxa"/>
              <w:bottom w:w="80" w:type="dxa"/>
              <w:left w:w="100" w:type="dxa"/>
              <w:right w:w="100" w:type="dxa"/>
            </w:tcMar>
          </w:tcPr>
          <w:p>
            <w:r>
              <w:rPr>
                <w:sz w:val="18"/>
              </w:rPr>
              <w:t>Measures parent adoption of suggested autonomy-supportive dialogue.</w:t>
            </w:r>
          </w:p>
        </w:tc>
      </w:tr>
    </w:tbl>
    <w:p>
      <w:pPr>
        <w:spacing w:after="160"/>
      </w:pPr>
    </w:p>
    <w:p>
      <w:pPr>
        <w:spacing w:before="320" w:after="120"/>
      </w:pPr>
      <w:r>
        <w:rPr>
          <w:b/>
          <w:color w:val="2B6CB0"/>
          <w:sz w:val="30"/>
        </w:rPr>
        <w:t xml:space="preserve">3. </w:t>
      </w:r>
      <w:r>
        <w:rPr>
          <w:b/>
          <w:color w:val="1A365D"/>
          <w:sz w:val="30"/>
        </w:rPr>
        <w:t>Background and Marketing Context</w:t>
      </w:r>
    </w:p>
    <w:p>
      <w:pPr>
        <w:spacing w:after="120" w:line="276" w:lineRule="auto"/>
      </w:pPr>
      <w:r>
        <w:rPr>
          <w:i w:val="0"/>
        </w:rPr>
        <w:t>National entrance examinations in Turkey (LGS for high school admission, YKS for university placement) are high-stakes competitions involving over 2.5 million candidates annually. Families allocate substantial household income to digital learning subscriptions. However, parent-child communication during this exam prep year is notoriously fraught with anxiety. Research reveals that over 74% of Turkish parents report recurring domestic arguments over smartphone usage, screen time, and perceived study procrastination.</w:t>
      </w:r>
    </w:p>
    <w:p>
      <w:pPr>
        <w:spacing w:after="120" w:line="276" w:lineRule="auto"/>
      </w:pPr>
      <w:r>
        <w:rPr>
          <w:b/>
          <w:color w:val="1A365D"/>
        </w:rPr>
        <w:t xml:space="preserve">Existing Solutions &amp; Gaps: </w:t>
      </w:r>
      <w:r>
        <w:rPr>
          <w:i w:val="0"/>
        </w:rPr>
        <w:t>Current market offerings suffer from severe structural limitations:</w:t>
      </w:r>
    </w:p>
    <w:p>
      <w:pPr>
        <w:spacing w:after="120" w:line="276" w:lineRule="auto"/>
      </w:pPr>
      <w:r>
        <w:rPr>
          <w:i w:val="0"/>
        </w:rPr>
        <w:t>1. Legacy Learning Management Systems (LMS) provide passive dashboards showing test scores weeks after tests occur, failing to provide proactive early warning before disengagement sets in.</w:t>
      </w:r>
    </w:p>
    <w:p>
      <w:pPr>
        <w:spacing w:after="120" w:line="276" w:lineRule="auto"/>
      </w:pPr>
      <w:r>
        <w:rPr>
          <w:i w:val="0"/>
        </w:rPr>
        <w:t>2. Screen-time restriction and parental control software (e.g., Apple Screen Time, Google Family Link) act as blunt surveillance instruments. They lock devices punitive-style, triggering resentment, evasion techniques, and family discord.</w:t>
      </w:r>
    </w:p>
    <w:p>
      <w:pPr>
        <w:spacing w:after="120" w:line="276" w:lineRule="auto"/>
      </w:pPr>
      <w:r>
        <w:rPr>
          <w:i w:val="0"/>
        </w:rPr>
        <w:t>3. Automated CRM nudges in EdTech typically consist of impersonal, robotic SMS messages ('Student X has been inactive for 4 days!'). This directly incites parent panic, leading parents to interrogate their children, which inevitably leads to the parent canceling the service to stop the conflict.</w:t>
      </w:r>
    </w:p>
    <w:p>
      <w:pPr>
        <w:spacing w:after="120" w:line="276" w:lineRule="auto"/>
      </w:pPr>
      <w:r>
        <w:rPr>
          <w:b/>
          <w:color w:val="1A365D"/>
        </w:rPr>
        <w:t xml:space="preserve">The AI Opportunity: </w:t>
      </w:r>
      <w:r>
        <w:rPr>
          <w:i w:val="0"/>
        </w:rPr>
        <w:t>Why AI Adds Transformative Value:</w:t>
      </w:r>
    </w:p>
    <w:p>
      <w:pPr>
        <w:spacing w:after="120" w:line="276" w:lineRule="auto"/>
      </w:pPr>
      <w:r>
        <w:rPr>
          <w:i w:val="0"/>
        </w:rPr>
        <w:t>Predictive Machine Learning (LightGBM) identifies subtle, early leading indicators of withdrawal (declining session frequency, rising inactive days, increased short-interval distractions) weeks before academic grades reflect failure. Concurrently, Generative AI (LLMs) bridges the psychological chasm between data and human dialogue. Guided by Deci &amp; Ryan's Self-Determination Theory (2000), our LLM personalization layer reframes raw behavioral telemetry into constructive, non-accusatory parental conversation guides. By turning parental anxiety into proactive support, AI Personal Coach secures subscription loyalty at its emotional root.</w:t>
      </w:r>
    </w:p>
    <w:p>
      <w:pPr>
        <w:spacing w:before="320" w:after="120"/>
      </w:pPr>
      <w:r>
        <w:rPr>
          <w:b/>
          <w:color w:val="2B6CB0"/>
          <w:sz w:val="30"/>
        </w:rPr>
        <w:t xml:space="preserve">4. </w:t>
      </w:r>
      <w:r>
        <w:rPr>
          <w:b/>
          <w:color w:val="1A365D"/>
          <w:sz w:val="30"/>
        </w:rPr>
        <w:t>Proposed AI Methodology</w:t>
      </w:r>
    </w:p>
    <w:p>
      <w:pPr>
        <w:spacing w:after="120" w:line="276" w:lineRule="auto"/>
      </w:pPr>
      <w:r>
        <w:rPr>
          <w:i w:val="0"/>
        </w:rPr>
        <w:t>To ensure high reliability, sub-second latency, zero hallucination of student metrics, and cost-efficient scaling, AI Personal Coach implements a three-tier hybrid methodology:</w:t>
      </w:r>
    </w:p>
    <w:p>
      <w:pPr>
        <w:spacing w:before="240" w:after="80"/>
      </w:pPr>
      <w:r>
        <w:rPr>
          <w:b/>
          <w:color w:val="3182CE"/>
          <w:sz w:val="25"/>
        </w:rPr>
        <w:t xml:space="preserve">4.1 </w:t>
      </w:r>
      <w:r>
        <w:rPr>
          <w:b/>
          <w:color w:val="2D3748"/>
          <w:sz w:val="25"/>
        </w:rPr>
        <w:t>Tier 1: Predictive Risk Engine (LightGBM + TreeSHAP)</w:t>
      </w:r>
    </w:p>
    <w:p>
      <w:pPr>
        <w:spacing w:after="120" w:line="276" w:lineRule="auto"/>
      </w:pPr>
      <w:r>
        <w:rPr>
          <w:i w:val="0"/>
        </w:rPr>
        <w:t>The foundational layer uses a Light Gradient Boosting Machine (LightGBM) binary classifier trained on historical VLE engagement time series and synthesized Turkish exam behavioral attributes. LightGBM predicts the probability of student disengagement/churn. Crucially, raw risk scores are passed to a TreeSHAP explainer that decomposes each prediction into exact feature contributions (e.g., days_inactive contributed +0.32, assessment_score_mean contributed -0.15). In production, our cost-sensitive threshold tuning (calibrated at 0.40 instead of 0.50) achieves an 82.35% Recall on at-risk students, ensuring that struggling learners are rarely overlooked.</w:t>
      </w:r>
    </w:p>
    <w:p>
      <w:pPr>
        <w:spacing w:before="240" w:after="80"/>
      </w:pPr>
      <w:r>
        <w:rPr>
          <w:b/>
          <w:color w:val="3182CE"/>
          <w:sz w:val="25"/>
        </w:rPr>
        <w:t xml:space="preserve">4.2 </w:t>
      </w:r>
      <w:r>
        <w:rPr>
          <w:b/>
          <w:color w:val="2D3748"/>
          <w:sz w:val="25"/>
        </w:rPr>
        <w:t>Tier 2: Deterministic Rule Engine &amp; Safety Filter</w:t>
      </w:r>
    </w:p>
    <w:p>
      <w:pPr>
        <w:spacing w:after="120" w:line="276" w:lineRule="auto"/>
      </w:pPr>
      <w:r>
        <w:rPr>
          <w:i w:val="0"/>
        </w:rPr>
        <w:t>Machine learning predictions are governed by deterministic guardrails. The Rule Engine enforces a 10-minute focus break threshold: distractions during planned study blocks only trigger intervention candidates when consecutive off-task behavior reaches or exceeds 600 seconds. Furthermore, the engine enforces notification frequency caps (maximum 1 notification per 24 hours per parent) and a nocturnal cool-off window (22:00 to 09:00), completely eliminating notification fatigue and maintaining brand safety.</w:t>
      </w:r>
    </w:p>
    <w:p>
      <w:pPr>
        <w:spacing w:before="240" w:after="80"/>
      </w:pPr>
      <w:r>
        <w:rPr>
          <w:b/>
          <w:color w:val="3182CE"/>
          <w:sz w:val="25"/>
        </w:rPr>
        <w:t xml:space="preserve">4.3 </w:t>
      </w:r>
      <w:r>
        <w:rPr>
          <w:b/>
          <w:color w:val="2D3748"/>
          <w:sz w:val="25"/>
        </w:rPr>
        <w:t>Tier 3: Autonomy-Supportive LLM Nudging Layer</w:t>
      </w:r>
    </w:p>
    <w:p>
      <w:pPr>
        <w:spacing w:after="120" w:line="276" w:lineRule="auto"/>
      </w:pPr>
      <w:r>
        <w:rPr>
          <w:i w:val="0"/>
        </w:rPr>
        <w:t>When risk and rule criteria are met, the student's behavioral profile, behavioral segment (e.g., 'Telefonla Dağılan' / Phone-Distracted), and SHAP drivers are synthesized into a structured prompt for OpenAI GPT-3.5 Turbo (temperature = 0.2). The LLM is strictly constrained by prompt engineering to generate: (1) an empathetic situation summary, (2) an autonomy-supportive dialogue script for the parent, and (3) a concrete 10-minute micro-action for the student. If the LLM API is unavailable, a deterministic fallback template engine instantly provides pre-vetted coaching messages with zero downtime.</w:t>
      </w:r>
    </w:p>
    <w:p>
      <w:pPr>
        <w:spacing w:before="320" w:after="120"/>
      </w:pPr>
      <w:r>
        <w:rPr>
          <w:b/>
          <w:color w:val="2B6CB0"/>
          <w:sz w:val="30"/>
        </w:rPr>
        <w:t xml:space="preserve">5. </w:t>
      </w:r>
      <w:r>
        <w:rPr>
          <w:b/>
          <w:color w:val="1A365D"/>
          <w:sz w:val="30"/>
        </w:rPr>
        <w:t>Architecture / Workflow Design Diagram</w:t>
      </w:r>
    </w:p>
    <w:p>
      <w:pPr>
        <w:spacing w:after="120" w:line="276" w:lineRule="auto"/>
      </w:pPr>
      <w:r>
        <w:rPr>
          <w:i w:val="0"/>
        </w:rPr>
        <w:t>The end-to-end data and decision pipeline follows a disciplined six-stage flow, connecting student digital activity directly to parent retention touchpoints:</w:t>
      </w:r>
    </w:p>
    <w:tbl>
      <w:tblPr>
        <w:tblW w:type="auto" w:w="0"/>
        <w:jc w:val="center"/>
        <w:tblLayout w:type="fixed"/>
        <w:tblLook w:firstColumn="1" w:firstRow="1" w:lastColumn="0" w:lastRow="0" w:noHBand="0" w:noVBand="1" w:val="04A0"/>
      </w:tblPr>
      <w:tblGrid>
        <w:gridCol w:w="9936"/>
      </w:tblGrid>
      <w:tr>
        <w:tc>
          <w:tcPr>
            <w:tcW w:type="dxa" w:w="9792"/>
            <w:shd w:fill="2D3748"/>
            <w:tcMar>
              <w:top w:w="140" w:type="dxa"/>
              <w:bottom w:w="140" w:type="dxa"/>
              <w:left w:w="180" w:type="dxa"/>
              <w:right w:w="180" w:type="dxa"/>
            </w:tcMar>
          </w:tcPr>
          <w:p>
            <w:pPr>
              <w:spacing w:line="276" w:lineRule="auto"/>
            </w:pPr>
            <w:r>
              <w:rPr>
                <w:rFonts w:ascii="Consolas" w:hAnsi="Consolas"/>
                <w:color w:val="63B3ED"/>
                <w:sz w:val="17"/>
              </w:rPr>
              <w:t>[STAGE 1: DATA INGESTION &amp; FOCUS TELEMETRY]</w:t>
              <w:br/>
              <w:t xml:space="preserve">  - Opt-in Focus Block Clicks, Session Lengths, Inactive Days, Whitelisted App Usage</w:t>
              <w:br/>
              <w:t xml:space="preserve">                     |</w:t>
              <w:br/>
              <w:t xml:space="preserve">                     v</w:t>
              <w:br/>
              <w:t>[STAGE 2: PREPROCESSING &amp; FEATURE ENGINEERING PIPELINE]</w:t>
              <w:br/>
              <w:t xml:space="preserve">  - Feature Assembly: total_clicks, days_inactive, studied_credits, distraction_10min_count</w:t>
              <w:br/>
              <w:t xml:space="preserve">                     |</w:t>
              <w:br/>
              <w:t xml:space="preserve">                     v</w:t>
              <w:br/>
              <w:t>[STAGE 3: TIER 1 - LIGHTGBM RISK MODEL &amp; TREESHAP EXPLAINER]</w:t>
              <w:br/>
              <w:t xml:space="preserve">  - Churn Probability Prediction (Threshold = 0.40 -&gt; 82.35% Recall)</w:t>
              <w:br/>
              <w:t xml:space="preserve">  - SHAP Factor Attribution (+days_inactive, -studied_credits)</w:t>
              <w:br/>
              <w:t xml:space="preserve">                     |</w:t>
              <w:br/>
              <w:t xml:space="preserve">                     v</w:t>
              <w:br/>
              <w:t>[STAGE 4: TIER 2 - DETERMINISTIC RULE &amp; SAFETY ENGINE]</w:t>
              <w:br/>
              <w:t xml:space="preserve">  - 10-Min Inactivity Check | Daily Notification Frequency Cap (Max 1) | Cool-off (22:00-09:00)</w:t>
              <w:br/>
              <w:t xml:space="preserve">                     |</w:t>
              <w:br/>
              <w:t xml:space="preserve">                     v</w:t>
              <w:br/>
              <w:t>[STAGE 5: TIER 3 - LLM AUTONOMY-SUPPORTIVE PERSONALIZATION]</w:t>
              <w:br/>
              <w:t xml:space="preserve">  - OpenAI GPT-3.5 Turbo (Temp 0.2) + Non-Accusatory Tone Reframing</w:t>
              <w:br/>
              <w:t xml:space="preserve">  - Deterministic Zero-Downtime Rule Template Fallback</w:t>
              <w:br/>
              <w:t xml:space="preserve">                     |</w:t>
              <w:br/>
              <w:t xml:space="preserve">                     v</w:t>
              <w:br/>
              <w:t>[STAGE 6: MULTI-CHANNEL PARENT TOUCHPOINTS &amp; FEEDBACK LOOP]</w:t>
              <w:br/>
              <w:t xml:space="preserve">  - Parent Mobile App / WhatsApp Push / Weekly Progress Summary Card / Streamlit Portal</w:t>
              <w:br/>
              <w:t xml:space="preserve">  - Human Review &amp; Parent Action Tracking -&gt; 90-Day Retention Feedback</w:t>
            </w:r>
          </w:p>
        </w:tc>
      </w:tr>
    </w:tbl>
    <w:p>
      <w:pPr>
        <w:spacing w:after="160"/>
      </w:pPr>
    </w:p>
    <w:p>
      <w:pPr>
        <w:spacing w:before="320" w:after="120"/>
      </w:pPr>
      <w:r>
        <w:rPr>
          <w:b/>
          <w:color w:val="2B6CB0"/>
          <w:sz w:val="30"/>
        </w:rPr>
        <w:t xml:space="preserve">6. </w:t>
      </w:r>
      <w:r>
        <w:rPr>
          <w:b/>
          <w:color w:val="1A365D"/>
          <w:sz w:val="30"/>
        </w:rPr>
        <w:t>Data Sources</w:t>
      </w:r>
    </w:p>
    <w:p>
      <w:pPr>
        <w:spacing w:after="120" w:line="276" w:lineRule="auto"/>
      </w:pPr>
      <w:r>
        <w:rPr>
          <w:i w:val="0"/>
        </w:rPr>
        <w:t>The project employs a dual-source data architecture integrating real open-access academic benchmarks with rigorously governed synthetic behavioral cohorts. First, the Open University Learning Analytics Dataset (OULAD) provides 32,593 student records, 10.6 million virtual learning environment (VLE) interaction logs, and course withdrawal timestamps, serving as an empirical benchmark for learning fatigue and early dropouts. Second, because OULAD lacks smartphone distraction telemetry, parental communication preferences, and Turkish national curriculum nuances (LGS/YKS), we developed a fully reproducible synthetic cohort generator (Python 3.12, fixed seed 42) producing 1,000 student records and 15 validated PoC benchmark fixture profiles across five distinct behavioral segments ('Başlayamayan', 'Yarıda Bırakan', 'Telefonla Dağılan', 'Kaygıyla Erteleyen', 'Geceye Kayan'). All synthetic and fixture data contain strictly zero real personally identifiable information (PII). Under our data governance protocol, digital monitoring is strictly restricted to active, student-initiated study blocks; educational applications are whitelisted to prevent false alerts, and parent/student consent complies with KVKK and GDPR guidelines.</w:t>
      </w:r>
    </w:p>
    <w:p>
      <w:pPr>
        <w:spacing w:before="320" w:after="120"/>
      </w:pPr>
      <w:r>
        <w:rPr>
          <w:b/>
          <w:color w:val="2B6CB0"/>
          <w:sz w:val="30"/>
        </w:rPr>
        <w:t xml:space="preserve">7. </w:t>
      </w:r>
      <w:r>
        <w:rPr>
          <w:b/>
          <w:color w:val="1A365D"/>
          <w:sz w:val="30"/>
        </w:rPr>
        <w:t>Literature and Industry Review</w:t>
      </w:r>
    </w:p>
    <w:p>
      <w:pPr>
        <w:spacing w:after="120" w:line="276" w:lineRule="auto"/>
      </w:pPr>
      <w:r>
        <w:rPr>
          <w:i w:val="0"/>
        </w:rPr>
        <w:t>A synthesis of contemporary academic literature and leading commercial EdTech implementations demonstrates that student retention depends on emotional-social support as much as cognitive mastery. In psychology, Deci &amp; Ryan's Self-Determination Theory (2000) proves that external surveillance and punitive reprimands actively undermine intrinsic study motivation, whereas autonomy-supportive feedback enhances persistence. In behavioral economics, BJ Fogg's Behavior Model (2009) establishes that behavioral change occurs only when Motivation, Ability, and a Prompt (B=MAP) converge at an opportune moment. In machine learning, Kuzilek et al. (2017) demonstrated that VLE clickstream recency is the single strongest predictor of academic withdrawal, while Lundberg &amp; Lee (2017) showed that SHAP values provide locally accurate feature attributions essential for stakeholder trust. Commercially, while Duolingo excels at micro-nudges and gamified streak loops, and Khan Academy provides mastery dashboards, no current EdTech platform bridges the gap between student telemetry and parent communication. AI Personal Coach occupies this unserved gap, transforming algorithmic predictions into constructive family coaching.</w:t>
      </w:r>
    </w:p>
    <w:p>
      <w:r>
        <w:br w:type="page"/>
      </w:r>
    </w:p>
    <w:p>
      <w:pPr>
        <w:spacing w:before="200" w:after="160"/>
      </w:pPr>
      <w:r>
        <w:rPr>
          <w:b/>
          <w:color w:val="1A365D"/>
          <w:sz w:val="32"/>
        </w:rPr>
        <w:t>PART II: IMPLEMENTATION PLAN</w:t>
      </w:r>
    </w:p>
    <w:p>
      <w:pPr>
        <w:spacing w:before="320" w:after="120"/>
      </w:pPr>
      <w:r>
        <w:rPr>
          <w:b/>
          <w:color w:val="2B6CB0"/>
          <w:sz w:val="30"/>
        </w:rPr>
        <w:t xml:space="preserve">1. </w:t>
      </w:r>
      <w:r>
        <w:rPr>
          <w:b/>
          <w:color w:val="1A365D"/>
          <w:sz w:val="30"/>
        </w:rPr>
        <w:t>Technology Stack</w:t>
      </w:r>
    </w:p>
    <w:p>
      <w:pPr>
        <w:spacing w:after="120" w:line="276" w:lineRule="auto"/>
      </w:pPr>
      <w:r>
        <w:rPr>
          <w:i w:val="0"/>
        </w:rPr>
        <w:t>The production stack is engineered for enterprise maintainability, low latency, reproducible execution, and minimal operational cost:</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2B6CB0"/>
            <w:tcMar>
              <w:top w:w="100" w:type="dxa"/>
              <w:bottom w:w="100" w:type="dxa"/>
              <w:left w:w="100" w:type="dxa"/>
              <w:right w:w="100" w:type="dxa"/>
            </w:tcMar>
          </w:tcPr>
          <w:p>
            <w:r>
              <w:rPr>
                <w:b/>
                <w:color w:val="FFFFFF"/>
                <w:sz w:val="19"/>
              </w:rPr>
              <w:t>Layer / Component</w:t>
            </w:r>
          </w:p>
        </w:tc>
        <w:tc>
          <w:tcPr>
            <w:tcW w:type="dxa" w:w="3312"/>
            <w:shd w:fill="2B6CB0"/>
            <w:tcMar>
              <w:top w:w="100" w:type="dxa"/>
              <w:bottom w:w="100" w:type="dxa"/>
              <w:left w:w="100" w:type="dxa"/>
              <w:right w:w="100" w:type="dxa"/>
            </w:tcMar>
          </w:tcPr>
          <w:p>
            <w:r>
              <w:rPr>
                <w:b/>
                <w:color w:val="FFFFFF"/>
                <w:sz w:val="19"/>
              </w:rPr>
              <w:t>Technology / Framework</w:t>
            </w:r>
          </w:p>
        </w:tc>
        <w:tc>
          <w:tcPr>
            <w:tcW w:type="dxa" w:w="3312"/>
            <w:shd w:fill="2B6CB0"/>
            <w:tcMar>
              <w:top w:w="100" w:type="dxa"/>
              <w:bottom w:w="100" w:type="dxa"/>
              <w:left w:w="100" w:type="dxa"/>
              <w:right w:w="100" w:type="dxa"/>
            </w:tcMar>
          </w:tcPr>
          <w:p>
            <w:r>
              <w:rPr>
                <w:b/>
                <w:color w:val="FFFFFF"/>
                <w:sz w:val="19"/>
              </w:rPr>
              <w:t>Role &amp; Justification in Workflow</w:t>
            </w:r>
          </w:p>
        </w:tc>
      </w:tr>
      <w:tr>
        <w:tc>
          <w:tcPr>
            <w:tcW w:type="dxa" w:w="3312"/>
            <w:shd w:fill="F7FAFC"/>
            <w:tcMar>
              <w:top w:w="80" w:type="dxa"/>
              <w:bottom w:w="80" w:type="dxa"/>
              <w:left w:w="100" w:type="dxa"/>
              <w:right w:w="100" w:type="dxa"/>
            </w:tcMar>
          </w:tcPr>
          <w:p>
            <w:r>
              <w:rPr>
                <w:b/>
                <w:sz w:val="18"/>
              </w:rPr>
              <w:t>Core Language &amp; Dev</w:t>
            </w:r>
          </w:p>
        </w:tc>
        <w:tc>
          <w:tcPr>
            <w:tcW w:type="dxa" w:w="3312"/>
            <w:shd w:fill="F7FAFC"/>
            <w:tcMar>
              <w:top w:w="80" w:type="dxa"/>
              <w:bottom w:w="80" w:type="dxa"/>
              <w:left w:w="100" w:type="dxa"/>
              <w:right w:w="100" w:type="dxa"/>
            </w:tcMar>
          </w:tcPr>
          <w:p>
            <w:r>
              <w:rPr>
                <w:sz w:val="18"/>
              </w:rPr>
              <w:t>Python 3.12 (Windows / Anaconda)</w:t>
            </w:r>
          </w:p>
        </w:tc>
        <w:tc>
          <w:tcPr>
            <w:tcW w:type="dxa" w:w="3312"/>
            <w:shd w:fill="F7FAFC"/>
            <w:tcMar>
              <w:top w:w="80" w:type="dxa"/>
              <w:bottom w:w="80" w:type="dxa"/>
              <w:left w:w="100" w:type="dxa"/>
              <w:right w:w="100" w:type="dxa"/>
            </w:tcMar>
          </w:tcPr>
          <w:p>
            <w:r>
              <w:rPr>
                <w:sz w:val="18"/>
              </w:rPr>
              <w:t>High-performance ecosystem, strict type hinting, native cross-platform support.</w:t>
            </w:r>
          </w:p>
        </w:tc>
      </w:tr>
      <w:tr>
        <w:tc>
          <w:tcPr>
            <w:tcW w:type="dxa" w:w="3312"/>
            <w:shd w:fill="FFFFFF"/>
            <w:tcMar>
              <w:top w:w="80" w:type="dxa"/>
              <w:bottom w:w="80" w:type="dxa"/>
              <w:left w:w="100" w:type="dxa"/>
              <w:right w:w="100" w:type="dxa"/>
            </w:tcMar>
          </w:tcPr>
          <w:p>
            <w:r>
              <w:rPr>
                <w:b/>
                <w:sz w:val="18"/>
              </w:rPr>
              <w:t>Machine Learning &amp; XAI</w:t>
            </w:r>
          </w:p>
        </w:tc>
        <w:tc>
          <w:tcPr>
            <w:tcW w:type="dxa" w:w="3312"/>
            <w:shd w:fill="FFFFFF"/>
            <w:tcMar>
              <w:top w:w="80" w:type="dxa"/>
              <w:bottom w:w="80" w:type="dxa"/>
              <w:left w:w="100" w:type="dxa"/>
              <w:right w:w="100" w:type="dxa"/>
            </w:tcMar>
          </w:tcPr>
          <w:p>
            <w:r>
              <w:rPr>
                <w:sz w:val="18"/>
              </w:rPr>
              <w:t>LightGBM 4.6, Scikit-Learn 1.6, SHAP 0.46</w:t>
            </w:r>
          </w:p>
        </w:tc>
        <w:tc>
          <w:tcPr>
            <w:tcW w:type="dxa" w:w="3312"/>
            <w:shd w:fill="FFFFFF"/>
            <w:tcMar>
              <w:top w:w="80" w:type="dxa"/>
              <w:bottom w:w="80" w:type="dxa"/>
              <w:left w:w="100" w:type="dxa"/>
              <w:right w:w="100" w:type="dxa"/>
            </w:tcMar>
          </w:tcPr>
          <w:p>
            <w:r>
              <w:rPr>
                <w:sz w:val="18"/>
              </w:rPr>
              <w:t>Gradient boosting for tabular data, sub-5ms inference, TreeSHAP explainability.</w:t>
            </w:r>
          </w:p>
        </w:tc>
      </w:tr>
      <w:tr>
        <w:tc>
          <w:tcPr>
            <w:tcW w:type="dxa" w:w="3312"/>
            <w:shd w:fill="F7FAFC"/>
            <w:tcMar>
              <w:top w:w="80" w:type="dxa"/>
              <w:bottom w:w="80" w:type="dxa"/>
              <w:left w:w="100" w:type="dxa"/>
              <w:right w:w="100" w:type="dxa"/>
            </w:tcMar>
          </w:tcPr>
          <w:p>
            <w:r>
              <w:rPr>
                <w:b/>
                <w:sz w:val="18"/>
              </w:rPr>
              <w:t>Microservice API</w:t>
            </w:r>
          </w:p>
        </w:tc>
        <w:tc>
          <w:tcPr>
            <w:tcW w:type="dxa" w:w="3312"/>
            <w:shd w:fill="F7FAFC"/>
            <w:tcMar>
              <w:top w:w="80" w:type="dxa"/>
              <w:bottom w:w="80" w:type="dxa"/>
              <w:left w:w="100" w:type="dxa"/>
              <w:right w:w="100" w:type="dxa"/>
            </w:tcMar>
          </w:tcPr>
          <w:p>
            <w:r>
              <w:rPr>
                <w:sz w:val="18"/>
              </w:rPr>
              <w:t>FastAPI 0.141, Pydantic v2, Uvicorn</w:t>
            </w:r>
          </w:p>
        </w:tc>
        <w:tc>
          <w:tcPr>
            <w:tcW w:type="dxa" w:w="3312"/>
            <w:shd w:fill="F7FAFC"/>
            <w:tcMar>
              <w:top w:w="80" w:type="dxa"/>
              <w:bottom w:w="80" w:type="dxa"/>
              <w:left w:w="100" w:type="dxa"/>
              <w:right w:w="100" w:type="dxa"/>
            </w:tcMar>
          </w:tcPr>
          <w:p>
            <w:r>
              <w:rPr>
                <w:sz w:val="18"/>
              </w:rPr>
              <w:t>Asynchronous, typed REST endpoints (/predict, /explain, /evaluate, /students).</w:t>
            </w:r>
          </w:p>
        </w:tc>
      </w:tr>
      <w:tr>
        <w:tc>
          <w:tcPr>
            <w:tcW w:type="dxa" w:w="3312"/>
            <w:shd w:fill="FFFFFF"/>
            <w:tcMar>
              <w:top w:w="80" w:type="dxa"/>
              <w:bottom w:w="80" w:type="dxa"/>
              <w:left w:w="100" w:type="dxa"/>
              <w:right w:w="100" w:type="dxa"/>
            </w:tcMar>
          </w:tcPr>
          <w:p>
            <w:r>
              <w:rPr>
                <w:b/>
                <w:sz w:val="18"/>
              </w:rPr>
              <w:t>Parent Portal &amp; UI</w:t>
            </w:r>
          </w:p>
        </w:tc>
        <w:tc>
          <w:tcPr>
            <w:tcW w:type="dxa" w:w="3312"/>
            <w:shd w:fill="FFFFFF"/>
            <w:tcMar>
              <w:top w:w="80" w:type="dxa"/>
              <w:bottom w:w="80" w:type="dxa"/>
              <w:left w:w="100" w:type="dxa"/>
              <w:right w:w="100" w:type="dxa"/>
            </w:tcMar>
          </w:tcPr>
          <w:p>
            <w:r>
              <w:rPr>
                <w:sz w:val="18"/>
              </w:rPr>
              <w:t>Streamlit 1.42, Altair, HTML5/CSS3 Glassmorphism</w:t>
            </w:r>
          </w:p>
        </w:tc>
        <w:tc>
          <w:tcPr>
            <w:tcW w:type="dxa" w:w="3312"/>
            <w:shd w:fill="FFFFFF"/>
            <w:tcMar>
              <w:top w:w="80" w:type="dxa"/>
              <w:bottom w:w="80" w:type="dxa"/>
              <w:left w:w="100" w:type="dxa"/>
              <w:right w:w="100" w:type="dxa"/>
            </w:tcMar>
          </w:tcPr>
          <w:p>
            <w:r>
              <w:rPr>
                <w:sz w:val="18"/>
              </w:rPr>
              <w:t>Student/teacher friendly dashboard, iPhone 16 mockup, What-If simulator.</w:t>
            </w:r>
          </w:p>
        </w:tc>
      </w:tr>
      <w:tr>
        <w:tc>
          <w:tcPr>
            <w:tcW w:type="dxa" w:w="3312"/>
            <w:shd w:fill="F7FAFC"/>
            <w:tcMar>
              <w:top w:w="80" w:type="dxa"/>
              <w:bottom w:w="80" w:type="dxa"/>
              <w:left w:w="100" w:type="dxa"/>
              <w:right w:w="100" w:type="dxa"/>
            </w:tcMar>
          </w:tcPr>
          <w:p>
            <w:r>
              <w:rPr>
                <w:b/>
                <w:sz w:val="18"/>
              </w:rPr>
              <w:t>Generative AI &amp; Fallback</w:t>
            </w:r>
          </w:p>
        </w:tc>
        <w:tc>
          <w:tcPr>
            <w:tcW w:type="dxa" w:w="3312"/>
            <w:shd w:fill="F7FAFC"/>
            <w:tcMar>
              <w:top w:w="80" w:type="dxa"/>
              <w:bottom w:w="80" w:type="dxa"/>
              <w:left w:w="100" w:type="dxa"/>
              <w:right w:w="100" w:type="dxa"/>
            </w:tcMar>
          </w:tcPr>
          <w:p>
            <w:r>
              <w:rPr>
                <w:sz w:val="18"/>
              </w:rPr>
              <w:t>OpenAI GPT-3.5 Turbo + Rule Template Engine</w:t>
            </w:r>
          </w:p>
        </w:tc>
        <w:tc>
          <w:tcPr>
            <w:tcW w:type="dxa" w:w="3312"/>
            <w:shd w:fill="F7FAFC"/>
            <w:tcMar>
              <w:top w:w="80" w:type="dxa"/>
              <w:bottom w:w="80" w:type="dxa"/>
              <w:left w:w="100" w:type="dxa"/>
              <w:right w:w="100" w:type="dxa"/>
            </w:tcMar>
          </w:tcPr>
          <w:p>
            <w:r>
              <w:rPr>
                <w:sz w:val="18"/>
              </w:rPr>
              <w:t>Autonomy-supportive tone conversion with zero-downtime offline fallback.</w:t>
            </w:r>
          </w:p>
        </w:tc>
      </w:tr>
    </w:tbl>
    <w:p>
      <w:pPr>
        <w:spacing w:after="160"/>
      </w:pPr>
    </w:p>
    <w:p>
      <w:pPr>
        <w:spacing w:before="320" w:after="120"/>
      </w:pPr>
      <w:r>
        <w:rPr>
          <w:b/>
          <w:color w:val="2B6CB0"/>
          <w:sz w:val="30"/>
        </w:rPr>
        <w:t xml:space="preserve">2. </w:t>
      </w:r>
      <w:r>
        <w:rPr>
          <w:b/>
          <w:color w:val="1A365D"/>
          <w:sz w:val="30"/>
        </w:rPr>
        <w:t>Timeline and Task Distribution</w:t>
      </w:r>
    </w:p>
    <w:p>
      <w:pPr>
        <w:spacing w:after="120" w:line="276" w:lineRule="auto"/>
      </w:pPr>
      <w:r>
        <w:rPr>
          <w:i w:val="0"/>
        </w:rPr>
        <w:t>The capstone was executed across five sequential phases over eight development weeks, culminating in a fully verified production PoC on August 30, 2026:</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2B6CB0"/>
            <w:tcMar>
              <w:top w:w="100" w:type="dxa"/>
              <w:bottom w:w="100" w:type="dxa"/>
              <w:left w:w="100" w:type="dxa"/>
              <w:right w:w="100" w:type="dxa"/>
            </w:tcMar>
          </w:tcPr>
          <w:p>
            <w:r>
              <w:rPr>
                <w:b/>
                <w:color w:val="FFFFFF"/>
                <w:sz w:val="19"/>
              </w:rPr>
              <w:t>Phase &amp; Period</w:t>
            </w:r>
          </w:p>
        </w:tc>
        <w:tc>
          <w:tcPr>
            <w:tcW w:type="dxa" w:w="2484"/>
            <w:shd w:fill="2B6CB0"/>
            <w:tcMar>
              <w:top w:w="100" w:type="dxa"/>
              <w:bottom w:w="100" w:type="dxa"/>
              <w:left w:w="100" w:type="dxa"/>
              <w:right w:w="100" w:type="dxa"/>
            </w:tcMar>
          </w:tcPr>
          <w:p>
            <w:r>
              <w:rPr>
                <w:b/>
                <w:color w:val="FFFFFF"/>
                <w:sz w:val="19"/>
              </w:rPr>
              <w:t>Key Activities &amp; Milestones</w:t>
            </w:r>
          </w:p>
        </w:tc>
        <w:tc>
          <w:tcPr>
            <w:tcW w:type="dxa" w:w="2484"/>
            <w:shd w:fill="2B6CB0"/>
            <w:tcMar>
              <w:top w:w="100" w:type="dxa"/>
              <w:bottom w:w="100" w:type="dxa"/>
              <w:left w:w="100" w:type="dxa"/>
              <w:right w:w="100" w:type="dxa"/>
            </w:tcMar>
          </w:tcPr>
          <w:p>
            <w:r>
              <w:rPr>
                <w:b/>
                <w:color w:val="FFFFFF"/>
                <w:sz w:val="19"/>
              </w:rPr>
              <w:t>Primary Deliverable Artifacts</w:t>
            </w:r>
          </w:p>
        </w:tc>
        <w:tc>
          <w:tcPr>
            <w:tcW w:type="dxa" w:w="2484"/>
            <w:shd w:fill="2B6CB0"/>
            <w:tcMar>
              <w:top w:w="100" w:type="dxa"/>
              <w:bottom w:w="100" w:type="dxa"/>
              <w:left w:w="100" w:type="dxa"/>
              <w:right w:w="100" w:type="dxa"/>
            </w:tcMar>
          </w:tcPr>
          <w:p>
            <w:r>
              <w:rPr>
                <w:b/>
                <w:color w:val="FFFFFF"/>
                <w:sz w:val="19"/>
              </w:rPr>
              <w:t>Lead Role</w:t>
            </w:r>
          </w:p>
        </w:tc>
      </w:tr>
      <w:tr>
        <w:tc>
          <w:tcPr>
            <w:tcW w:type="dxa" w:w="2484"/>
            <w:shd w:fill="F7FAFC"/>
            <w:tcMar>
              <w:top w:w="80" w:type="dxa"/>
              <w:bottom w:w="80" w:type="dxa"/>
              <w:left w:w="100" w:type="dxa"/>
              <w:right w:w="100" w:type="dxa"/>
            </w:tcMar>
          </w:tcPr>
          <w:p>
            <w:r>
              <w:rPr>
                <w:b/>
                <w:sz w:val="18"/>
              </w:rPr>
              <w:t>Weeks 1-2 (Aug 1-14)</w:t>
            </w:r>
          </w:p>
        </w:tc>
        <w:tc>
          <w:tcPr>
            <w:tcW w:type="dxa" w:w="2484"/>
            <w:shd w:fill="F7FAFC"/>
            <w:tcMar>
              <w:top w:w="80" w:type="dxa"/>
              <w:bottom w:w="80" w:type="dxa"/>
              <w:left w:w="100" w:type="dxa"/>
              <w:right w:w="100" w:type="dxa"/>
            </w:tcMar>
          </w:tcPr>
          <w:p>
            <w:r>
              <w:rPr>
                <w:sz w:val="18"/>
              </w:rPr>
              <w:t>Problem Framing, Marketing Brief, Literature &amp; Governance</w:t>
            </w:r>
          </w:p>
        </w:tc>
        <w:tc>
          <w:tcPr>
            <w:tcW w:type="dxa" w:w="2484"/>
            <w:shd w:fill="F7FAFC"/>
            <w:tcMar>
              <w:top w:w="80" w:type="dxa"/>
              <w:bottom w:w="80" w:type="dxa"/>
              <w:left w:w="100" w:type="dxa"/>
              <w:right w:w="100" w:type="dxa"/>
            </w:tcMar>
          </w:tcPr>
          <w:p>
            <w:r>
              <w:rPr>
                <w:sz w:val="18"/>
              </w:rPr>
              <w:t>00_project_brief.md, 02_governance.md, lit-review/</w:t>
            </w:r>
          </w:p>
        </w:tc>
        <w:tc>
          <w:tcPr>
            <w:tcW w:type="dxa" w:w="2484"/>
            <w:shd w:fill="F7FAFC"/>
            <w:tcMar>
              <w:top w:w="80" w:type="dxa"/>
              <w:bottom w:w="80" w:type="dxa"/>
              <w:left w:w="100" w:type="dxa"/>
              <w:right w:w="100" w:type="dxa"/>
            </w:tcMar>
          </w:tcPr>
          <w:p>
            <w:r>
              <w:rPr>
                <w:sz w:val="18"/>
              </w:rPr>
              <w:t>K1, K2, K4</w:t>
            </w:r>
          </w:p>
        </w:tc>
      </w:tr>
      <w:tr>
        <w:tc>
          <w:tcPr>
            <w:tcW w:type="dxa" w:w="2484"/>
            <w:shd w:fill="FFFFFF"/>
            <w:tcMar>
              <w:top w:w="80" w:type="dxa"/>
              <w:bottom w:w="80" w:type="dxa"/>
              <w:left w:w="100" w:type="dxa"/>
              <w:right w:w="100" w:type="dxa"/>
            </w:tcMar>
          </w:tcPr>
          <w:p>
            <w:r>
              <w:rPr>
                <w:b/>
                <w:sz w:val="18"/>
              </w:rPr>
              <w:t>Weeks 3-4 (Aug 15-21)</w:t>
            </w:r>
          </w:p>
        </w:tc>
        <w:tc>
          <w:tcPr>
            <w:tcW w:type="dxa" w:w="2484"/>
            <w:shd w:fill="FFFFFF"/>
            <w:tcMar>
              <w:top w:w="80" w:type="dxa"/>
              <w:bottom w:w="80" w:type="dxa"/>
              <w:left w:w="100" w:type="dxa"/>
              <w:right w:w="100" w:type="dxa"/>
            </w:tcMar>
          </w:tcPr>
          <w:p>
            <w:r>
              <w:rPr>
                <w:sz w:val="18"/>
              </w:rPr>
              <w:t>Data Prep, OULAD Preprocessing, Synthetic Cohort Gen</w:t>
            </w:r>
          </w:p>
        </w:tc>
        <w:tc>
          <w:tcPr>
            <w:tcW w:type="dxa" w:w="2484"/>
            <w:shd w:fill="FFFFFF"/>
            <w:tcMar>
              <w:top w:w="80" w:type="dxa"/>
              <w:bottom w:w="80" w:type="dxa"/>
              <w:left w:w="100" w:type="dxa"/>
              <w:right w:w="100" w:type="dxa"/>
            </w:tcMar>
          </w:tcPr>
          <w:p>
            <w:r>
              <w:rPr>
                <w:sz w:val="18"/>
              </w:rPr>
              <w:t>oulad_synthetic_processed.csv, synthetic_data.py</w:t>
            </w:r>
          </w:p>
        </w:tc>
        <w:tc>
          <w:tcPr>
            <w:tcW w:type="dxa" w:w="2484"/>
            <w:shd w:fill="FFFFFF"/>
            <w:tcMar>
              <w:top w:w="80" w:type="dxa"/>
              <w:bottom w:w="80" w:type="dxa"/>
              <w:left w:w="100" w:type="dxa"/>
              <w:right w:w="100" w:type="dxa"/>
            </w:tcMar>
          </w:tcPr>
          <w:p>
            <w:r>
              <w:rPr>
                <w:sz w:val="18"/>
              </w:rPr>
              <w:t>K3, K4</w:t>
            </w:r>
          </w:p>
        </w:tc>
      </w:tr>
      <w:tr>
        <w:tc>
          <w:tcPr>
            <w:tcW w:type="dxa" w:w="2484"/>
            <w:shd w:fill="F7FAFC"/>
            <w:tcMar>
              <w:top w:w="80" w:type="dxa"/>
              <w:bottom w:w="80" w:type="dxa"/>
              <w:left w:w="100" w:type="dxa"/>
              <w:right w:w="100" w:type="dxa"/>
            </w:tcMar>
          </w:tcPr>
          <w:p>
            <w:r>
              <w:rPr>
                <w:b/>
                <w:sz w:val="18"/>
              </w:rPr>
              <w:t>Weeks 5-6 (Aug 22-26)</w:t>
            </w:r>
          </w:p>
        </w:tc>
        <w:tc>
          <w:tcPr>
            <w:tcW w:type="dxa" w:w="2484"/>
            <w:shd w:fill="F7FAFC"/>
            <w:tcMar>
              <w:top w:w="80" w:type="dxa"/>
              <w:bottom w:w="80" w:type="dxa"/>
              <w:left w:w="100" w:type="dxa"/>
              <w:right w:w="100" w:type="dxa"/>
            </w:tcMar>
          </w:tcPr>
          <w:p>
            <w:r>
              <w:rPr>
                <w:sz w:val="18"/>
              </w:rPr>
              <w:t>Baseline ML Training, Threshold Tuning, SHAP Integration</w:t>
            </w:r>
          </w:p>
        </w:tc>
        <w:tc>
          <w:tcPr>
            <w:tcW w:type="dxa" w:w="2484"/>
            <w:shd w:fill="F7FAFC"/>
            <w:tcMar>
              <w:top w:w="80" w:type="dxa"/>
              <w:bottom w:w="80" w:type="dxa"/>
              <w:left w:w="100" w:type="dxa"/>
              <w:right w:w="100" w:type="dxa"/>
            </w:tcMar>
          </w:tcPr>
          <w:p>
            <w:r>
              <w:rPr>
                <w:sz w:val="18"/>
              </w:rPr>
              <w:t>baseline_models.py, threshold tuning (0.40), shap_explainer</w:t>
            </w:r>
          </w:p>
        </w:tc>
        <w:tc>
          <w:tcPr>
            <w:tcW w:type="dxa" w:w="2484"/>
            <w:shd w:fill="F7FAFC"/>
            <w:tcMar>
              <w:top w:w="80" w:type="dxa"/>
              <w:bottom w:w="80" w:type="dxa"/>
              <w:left w:w="100" w:type="dxa"/>
              <w:right w:w="100" w:type="dxa"/>
            </w:tcMar>
          </w:tcPr>
          <w:p>
            <w:r>
              <w:rPr>
                <w:sz w:val="18"/>
              </w:rPr>
              <w:t>K3, K5</w:t>
            </w:r>
          </w:p>
        </w:tc>
      </w:tr>
      <w:tr>
        <w:tc>
          <w:tcPr>
            <w:tcW w:type="dxa" w:w="2484"/>
            <w:shd w:fill="FFFFFF"/>
            <w:tcMar>
              <w:top w:w="80" w:type="dxa"/>
              <w:bottom w:w="80" w:type="dxa"/>
              <w:left w:w="100" w:type="dxa"/>
              <w:right w:w="100" w:type="dxa"/>
            </w:tcMar>
          </w:tcPr>
          <w:p>
            <w:r>
              <w:rPr>
                <w:b/>
                <w:sz w:val="18"/>
              </w:rPr>
              <w:t>Week 7 (Aug 27-28)</w:t>
            </w:r>
          </w:p>
        </w:tc>
        <w:tc>
          <w:tcPr>
            <w:tcW w:type="dxa" w:w="2484"/>
            <w:shd w:fill="FFFFFF"/>
            <w:tcMar>
              <w:top w:w="80" w:type="dxa"/>
              <w:bottom w:w="80" w:type="dxa"/>
              <w:left w:w="100" w:type="dxa"/>
              <w:right w:w="100" w:type="dxa"/>
            </w:tcMar>
          </w:tcPr>
          <w:p>
            <w:r>
              <w:rPr>
                <w:sz w:val="18"/>
              </w:rPr>
              <w:t>PoC Pipeline, Hybrid LLM Layer, Rule Engine, CLI</w:t>
            </w:r>
          </w:p>
        </w:tc>
        <w:tc>
          <w:tcPr>
            <w:tcW w:type="dxa" w:w="2484"/>
            <w:shd w:fill="FFFFFF"/>
            <w:tcMar>
              <w:top w:w="80" w:type="dxa"/>
              <w:bottom w:w="80" w:type="dxa"/>
              <w:left w:w="100" w:type="dxa"/>
              <w:right w:w="100" w:type="dxa"/>
            </w:tcMar>
          </w:tcPr>
          <w:p>
            <w:r>
              <w:rPr>
                <w:sz w:val="18"/>
              </w:rPr>
              <w:t>poc_pipeline.py, test_poc_pipeline.py (100% pass)</w:t>
            </w:r>
          </w:p>
        </w:tc>
        <w:tc>
          <w:tcPr>
            <w:tcW w:type="dxa" w:w="2484"/>
            <w:shd w:fill="FFFFFF"/>
            <w:tcMar>
              <w:top w:w="80" w:type="dxa"/>
              <w:bottom w:w="80" w:type="dxa"/>
              <w:left w:w="100" w:type="dxa"/>
              <w:right w:w="100" w:type="dxa"/>
            </w:tcMar>
          </w:tcPr>
          <w:p>
            <w:r>
              <w:rPr>
                <w:sz w:val="18"/>
              </w:rPr>
              <w:t>K5, K1</w:t>
            </w:r>
          </w:p>
        </w:tc>
      </w:tr>
      <w:tr>
        <w:tc>
          <w:tcPr>
            <w:tcW w:type="dxa" w:w="2484"/>
            <w:shd w:fill="F7FAFC"/>
            <w:tcMar>
              <w:top w:w="80" w:type="dxa"/>
              <w:bottom w:w="80" w:type="dxa"/>
              <w:left w:w="100" w:type="dxa"/>
              <w:right w:w="100" w:type="dxa"/>
            </w:tcMar>
          </w:tcPr>
          <w:p>
            <w:r>
              <w:rPr>
                <w:b/>
                <w:sz w:val="18"/>
              </w:rPr>
              <w:t>Week 8 (Aug 29-30)</w:t>
            </w:r>
          </w:p>
        </w:tc>
        <w:tc>
          <w:tcPr>
            <w:tcW w:type="dxa" w:w="2484"/>
            <w:shd w:fill="F7FAFC"/>
            <w:tcMar>
              <w:top w:w="80" w:type="dxa"/>
              <w:bottom w:w="80" w:type="dxa"/>
              <w:left w:w="100" w:type="dxa"/>
              <w:right w:w="100" w:type="dxa"/>
            </w:tcMar>
          </w:tcPr>
          <w:p>
            <w:r>
              <w:rPr>
                <w:sz w:val="18"/>
              </w:rPr>
              <w:t>FastAPI Microservice, Streamlit UX Portal, Capstone Dossier</w:t>
            </w:r>
          </w:p>
        </w:tc>
        <w:tc>
          <w:tcPr>
            <w:tcW w:type="dxa" w:w="2484"/>
            <w:shd w:fill="F7FAFC"/>
            <w:tcMar>
              <w:top w:w="80" w:type="dxa"/>
              <w:bottom w:w="80" w:type="dxa"/>
              <w:left w:w="100" w:type="dxa"/>
              <w:right w:w="100" w:type="dxa"/>
            </w:tcMar>
          </w:tcPr>
          <w:p>
            <w:r>
              <w:rPr>
                <w:sz w:val="18"/>
              </w:rPr>
              <w:t>api.py, app.py, Deployment &amp; Milestone Submissions</w:t>
            </w:r>
          </w:p>
        </w:tc>
        <w:tc>
          <w:tcPr>
            <w:tcW w:type="dxa" w:w="2484"/>
            <w:shd w:fill="F7FAFC"/>
            <w:tcMar>
              <w:top w:w="80" w:type="dxa"/>
              <w:bottom w:w="80" w:type="dxa"/>
              <w:left w:w="100" w:type="dxa"/>
              <w:right w:w="100" w:type="dxa"/>
            </w:tcMar>
          </w:tcPr>
          <w:p>
            <w:r>
              <w:rPr>
                <w:sz w:val="18"/>
              </w:rPr>
              <w:t>All Team</w:t>
            </w:r>
          </w:p>
        </w:tc>
      </w:tr>
    </w:tbl>
    <w:p>
      <w:pPr>
        <w:spacing w:after="160"/>
      </w:pPr>
    </w:p>
    <w:p>
      <w:pPr>
        <w:spacing w:before="240" w:after="80"/>
      </w:pPr>
      <w:r>
        <w:rPr>
          <w:b/>
          <w:color w:val="3182CE"/>
          <w:sz w:val="25"/>
        </w:rPr>
        <w:t xml:space="preserve">2.1 </w:t>
      </w:r>
      <w:r>
        <w:rPr>
          <w:b/>
          <w:color w:val="2D3748"/>
          <w:sz w:val="25"/>
        </w:rPr>
        <w:t>Task Distribution Matrix (RACI)</w:t>
      </w:r>
    </w:p>
    <w:p>
      <w:pPr>
        <w:spacing w:after="120" w:line="276" w:lineRule="auto"/>
      </w:pPr>
      <w:r>
        <w:rPr>
          <w:i w:val="0"/>
        </w:rPr>
        <w:t>Responsibilities were allocated across the five interdisciplinary team roles:</w:t>
      </w:r>
    </w:p>
    <w:p>
      <w:pPr>
        <w:spacing w:after="120" w:line="276" w:lineRule="auto"/>
      </w:pPr>
      <w:r>
        <w:rPr>
          <w:i w:val="0"/>
        </w:rPr>
        <w:t>K1 (Marketing Strategy &amp; Product Lead): Project scoping, marketing KPI definitions (retention, CAC/LTV), parent-student persona journeys, final concept note synthesis.</w:t>
      </w:r>
    </w:p>
    <w:p>
      <w:pPr>
        <w:spacing w:after="120" w:line="276" w:lineRule="auto"/>
      </w:pPr>
      <w:r>
        <w:rPr>
          <w:i w:val="0"/>
        </w:rPr>
        <w:t>K2 (Literature &amp; UX Researcher): Educational psychology review (Self-Determination Theory, Fogg Model), benchmark UX analysis, parent portal interface design.</w:t>
      </w:r>
    </w:p>
    <w:p>
      <w:pPr>
        <w:spacing w:after="120" w:line="276" w:lineRule="auto"/>
      </w:pPr>
      <w:r>
        <w:rPr>
          <w:i w:val="0"/>
        </w:rPr>
        <w:t>K3 (Data Scientist &amp; ML Engineer): OULAD exploratory data analysis, feature engineering pipeline, LightGBM/Logistic Regression training, threshold tuning (0.40), SHAP integration.</w:t>
      </w:r>
    </w:p>
    <w:p>
      <w:pPr>
        <w:spacing w:after="120" w:line="276" w:lineRule="auto"/>
      </w:pPr>
      <w:r>
        <w:rPr>
          <w:i w:val="0"/>
        </w:rPr>
        <w:t>K4 (Data Governance &amp; Ethics Lead): KVKK/GDPR ethical compliance protocols, synthetic Turkish data generation, whitelisting specifications, bias and privacy mitigation.</w:t>
      </w:r>
    </w:p>
    <w:p>
      <w:pPr>
        <w:spacing w:after="120" w:line="276" w:lineRule="auto"/>
      </w:pPr>
      <w:r>
        <w:rPr>
          <w:i w:val="0"/>
        </w:rPr>
        <w:t>K5 (System Architect &amp; AI Engineer): End-to-end pipeline implementation (poc_pipeline.py), FastAPI microservice (api.py), Streamlit web UI (app.py), automated test suite.</w:t>
      </w:r>
    </w:p>
    <w:p>
      <w:pPr>
        <w:spacing w:before="320" w:after="120"/>
      </w:pPr>
      <w:r>
        <w:rPr>
          <w:b/>
          <w:color w:val="2B6CB0"/>
          <w:sz w:val="30"/>
        </w:rPr>
        <w:t xml:space="preserve">3. </w:t>
      </w:r>
      <w:r>
        <w:rPr>
          <w:b/>
          <w:color w:val="1A365D"/>
          <w:sz w:val="30"/>
        </w:rPr>
        <w:t>Milestones and Deliverables</w:t>
      </w:r>
    </w:p>
    <w:p>
      <w:pPr>
        <w:spacing w:after="120" w:line="276" w:lineRule="auto"/>
      </w:pPr>
      <w:r>
        <w:rPr>
          <w:i w:val="0"/>
        </w:rPr>
        <w:t>Concrete verification criteria were established and fulfilled for each capstone milestone:</w:t>
      </w:r>
    </w:p>
    <w:p>
      <w:pPr>
        <w:spacing w:after="120" w:line="276" w:lineRule="auto"/>
      </w:pPr>
      <w:r>
        <w:rPr>
          <w:i w:val="0"/>
        </w:rPr>
        <w:t>Milestone 1 (Governance &amp; EDA Validated): Delivery of clean data schemas and governance protocols with zero real PII risk. Verified via 02_governance.md and exploratory figures.</w:t>
      </w:r>
    </w:p>
    <w:p>
      <w:pPr>
        <w:spacing w:after="120" w:line="276" w:lineRule="auto"/>
      </w:pPr>
      <w:r>
        <w:rPr>
          <w:i w:val="0"/>
        </w:rPr>
        <w:t>Milestone 2 (Predictive Model Benchmark): Operational LightGBM model achieving 82.35% Recall on dropout prediction at tuned 0.40 threshold. Verified via baseline_results.csv and ROC curves.</w:t>
      </w:r>
    </w:p>
    <w:p>
      <w:pPr>
        <w:spacing w:after="120" w:line="276" w:lineRule="auto"/>
      </w:pPr>
      <w:r>
        <w:rPr>
          <w:i w:val="0"/>
        </w:rPr>
        <w:t>Milestone 3 (Explainable PoC Pipeline): 5-layer pipeline generating joint predictions, SHAP attributions, behavioral segmentation, and LLM nudges. Verified via 10 automated unit tests (test_poc_pipeline.py).</w:t>
      </w:r>
    </w:p>
    <w:p>
      <w:pPr>
        <w:spacing w:after="120" w:line="276" w:lineRule="auto"/>
      </w:pPr>
      <w:r>
        <w:rPr>
          <w:i w:val="0"/>
        </w:rPr>
        <w:t>Milestone 4 (Interactive Web App &amp; API): High-usability Streamlit dashboard with iPhone 16 mockup and production FastAPI microservice with Swagger docs. Verified via test_api.py (6 passing tests).</w:t>
      </w:r>
    </w:p>
    <w:p>
      <w:pPr>
        <w:spacing w:after="120" w:line="276" w:lineRule="auto"/>
      </w:pPr>
      <w:r>
        <w:rPr>
          <w:i w:val="0"/>
        </w:rPr>
        <w:t>Milestone 5 (Capstone Deployment Package): Complete submission documentation covering concept, data preparation, modeling, and deployment rubrics.</w:t>
      </w:r>
    </w:p>
    <w:p>
      <w:pPr>
        <w:spacing w:before="320" w:after="120"/>
      </w:pPr>
      <w:r>
        <w:rPr>
          <w:b/>
          <w:color w:val="2B6CB0"/>
          <w:sz w:val="30"/>
        </w:rPr>
        <w:t xml:space="preserve">4. </w:t>
      </w:r>
      <w:r>
        <w:rPr>
          <w:b/>
          <w:color w:val="1A365D"/>
          <w:sz w:val="30"/>
        </w:rPr>
        <w:t>Challenges and Mitigation Strategies</w:t>
      </w:r>
    </w:p>
    <w:p>
      <w:pPr>
        <w:spacing w:after="120" w:line="276" w:lineRule="auto"/>
      </w:pPr>
      <w:r>
        <w:rPr>
          <w:i w:val="0"/>
        </w:rPr>
        <w:t>Key operational risks were identified and actively mitigated through technical and architectural design:</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2B6CB0"/>
            <w:tcMar>
              <w:top w:w="100" w:type="dxa"/>
              <w:bottom w:w="100" w:type="dxa"/>
              <w:left w:w="100" w:type="dxa"/>
              <w:right w:w="100" w:type="dxa"/>
            </w:tcMar>
          </w:tcPr>
          <w:p>
            <w:r>
              <w:rPr>
                <w:b/>
                <w:color w:val="FFFFFF"/>
                <w:sz w:val="19"/>
              </w:rPr>
              <w:t>Identified Risk</w:t>
            </w:r>
          </w:p>
        </w:tc>
        <w:tc>
          <w:tcPr>
            <w:tcW w:type="dxa" w:w="3312"/>
            <w:shd w:fill="2B6CB0"/>
            <w:tcMar>
              <w:top w:w="100" w:type="dxa"/>
              <w:bottom w:w="100" w:type="dxa"/>
              <w:left w:w="100" w:type="dxa"/>
              <w:right w:w="100" w:type="dxa"/>
            </w:tcMar>
          </w:tcPr>
          <w:p>
            <w:r>
              <w:rPr>
                <w:b/>
                <w:color w:val="FFFFFF"/>
                <w:sz w:val="19"/>
              </w:rPr>
              <w:t>Potential Business / Technical Impact</w:t>
            </w:r>
          </w:p>
        </w:tc>
        <w:tc>
          <w:tcPr>
            <w:tcW w:type="dxa" w:w="3312"/>
            <w:shd w:fill="2B6CB0"/>
            <w:tcMar>
              <w:top w:w="100" w:type="dxa"/>
              <w:bottom w:w="100" w:type="dxa"/>
              <w:left w:w="100" w:type="dxa"/>
              <w:right w:w="100" w:type="dxa"/>
            </w:tcMar>
          </w:tcPr>
          <w:p>
            <w:r>
              <w:rPr>
                <w:b/>
                <w:color w:val="FFFFFF"/>
                <w:sz w:val="19"/>
              </w:rPr>
              <w:t>Engineered Mitigation &amp; Fallback</w:t>
            </w:r>
          </w:p>
        </w:tc>
      </w:tr>
      <w:tr>
        <w:tc>
          <w:tcPr>
            <w:tcW w:type="dxa" w:w="3312"/>
            <w:shd w:fill="F7FAFC"/>
            <w:tcMar>
              <w:top w:w="80" w:type="dxa"/>
              <w:bottom w:w="80" w:type="dxa"/>
              <w:left w:w="100" w:type="dxa"/>
              <w:right w:w="100" w:type="dxa"/>
            </w:tcMar>
          </w:tcPr>
          <w:p>
            <w:r>
              <w:rPr>
                <w:b/>
                <w:sz w:val="18"/>
              </w:rPr>
              <w:t>Class Imbalance in Dropout</w:t>
            </w:r>
          </w:p>
        </w:tc>
        <w:tc>
          <w:tcPr>
            <w:tcW w:type="dxa" w:w="3312"/>
            <w:shd w:fill="F7FAFC"/>
            <w:tcMar>
              <w:top w:w="80" w:type="dxa"/>
              <w:bottom w:w="80" w:type="dxa"/>
              <w:left w:w="100" w:type="dxa"/>
              <w:right w:w="100" w:type="dxa"/>
            </w:tcMar>
          </w:tcPr>
          <w:p>
            <w:r>
              <w:rPr>
                <w:sz w:val="18"/>
              </w:rPr>
              <w:t>Model defaults to predicting non-churn, missing critical at-risk students.</w:t>
            </w:r>
          </w:p>
        </w:tc>
        <w:tc>
          <w:tcPr>
            <w:tcW w:type="dxa" w:w="3312"/>
            <w:shd w:fill="F7FAFC"/>
            <w:tcMar>
              <w:top w:w="80" w:type="dxa"/>
              <w:bottom w:w="80" w:type="dxa"/>
              <w:left w:w="100" w:type="dxa"/>
              <w:right w:w="100" w:type="dxa"/>
            </w:tcMar>
          </w:tcPr>
          <w:p>
            <w:r>
              <w:rPr>
                <w:sz w:val="18"/>
              </w:rPr>
              <w:t>Balanced class weighting + Cost-sensitive threshold tuning (threshold shifted to 0.40, achieving 82.35% recall).</w:t>
            </w:r>
          </w:p>
        </w:tc>
      </w:tr>
      <w:tr>
        <w:tc>
          <w:tcPr>
            <w:tcW w:type="dxa" w:w="3312"/>
            <w:shd w:fill="FFFFFF"/>
            <w:tcMar>
              <w:top w:w="80" w:type="dxa"/>
              <w:bottom w:w="80" w:type="dxa"/>
              <w:left w:w="100" w:type="dxa"/>
              <w:right w:w="100" w:type="dxa"/>
            </w:tcMar>
          </w:tcPr>
          <w:p>
            <w:r>
              <w:rPr>
                <w:b/>
                <w:sz w:val="18"/>
              </w:rPr>
              <w:t>Cold Start on New Students</w:t>
            </w:r>
          </w:p>
        </w:tc>
        <w:tc>
          <w:tcPr>
            <w:tcW w:type="dxa" w:w="3312"/>
            <w:shd w:fill="FFFFFF"/>
            <w:tcMar>
              <w:top w:w="80" w:type="dxa"/>
              <w:bottom w:w="80" w:type="dxa"/>
              <w:left w:w="100" w:type="dxa"/>
              <w:right w:w="100" w:type="dxa"/>
            </w:tcMar>
          </w:tcPr>
          <w:p>
            <w:r>
              <w:rPr>
                <w:sz w:val="18"/>
              </w:rPr>
              <w:t>Lack of historical study logs during first 14 days causes inaccurate predictions.</w:t>
            </w:r>
          </w:p>
        </w:tc>
        <w:tc>
          <w:tcPr>
            <w:tcW w:type="dxa" w:w="3312"/>
            <w:shd w:fill="FFFFFF"/>
            <w:tcMar>
              <w:top w:w="80" w:type="dxa"/>
              <w:bottom w:w="80" w:type="dxa"/>
              <w:left w:w="100" w:type="dxa"/>
              <w:right w:w="100" w:type="dxa"/>
            </w:tcMar>
          </w:tcPr>
          <w:p>
            <w:r>
              <w:rPr>
                <w:sz w:val="18"/>
              </w:rPr>
              <w:t>Initial onboarding diagnostic survey + rule-based default persona assignment until 10 study sessions are recorded.</w:t>
            </w:r>
          </w:p>
        </w:tc>
      </w:tr>
      <w:tr>
        <w:tc>
          <w:tcPr>
            <w:tcW w:type="dxa" w:w="3312"/>
            <w:shd w:fill="F7FAFC"/>
            <w:tcMar>
              <w:top w:w="80" w:type="dxa"/>
              <w:bottom w:w="80" w:type="dxa"/>
              <w:left w:w="100" w:type="dxa"/>
              <w:right w:w="100" w:type="dxa"/>
            </w:tcMar>
          </w:tcPr>
          <w:p>
            <w:r>
              <w:rPr>
                <w:b/>
                <w:sz w:val="18"/>
              </w:rPr>
              <w:t>LLM Hallucination / Tone Drift</w:t>
            </w:r>
          </w:p>
        </w:tc>
        <w:tc>
          <w:tcPr>
            <w:tcW w:type="dxa" w:w="3312"/>
            <w:shd w:fill="F7FAFC"/>
            <w:tcMar>
              <w:top w:w="80" w:type="dxa"/>
              <w:bottom w:w="80" w:type="dxa"/>
              <w:left w:w="100" w:type="dxa"/>
              <w:right w:w="100" w:type="dxa"/>
            </w:tcMar>
          </w:tcPr>
          <w:p>
            <w:r>
              <w:rPr>
                <w:sz w:val="18"/>
              </w:rPr>
              <w:t>Accusatory or misleading language generates parent panic, worsening churn.</w:t>
            </w:r>
          </w:p>
        </w:tc>
        <w:tc>
          <w:tcPr>
            <w:tcW w:type="dxa" w:w="3312"/>
            <w:shd w:fill="F7FAFC"/>
            <w:tcMar>
              <w:top w:w="80" w:type="dxa"/>
              <w:bottom w:w="80" w:type="dxa"/>
              <w:left w:w="100" w:type="dxa"/>
              <w:right w:w="100" w:type="dxa"/>
            </w:tcMar>
          </w:tcPr>
          <w:p>
            <w:r>
              <w:rPr>
                <w:sz w:val="18"/>
              </w:rPr>
              <w:t>Strict system prompting with zero-blame constraints + deterministic fallback templates that bypass LLMs if API fails.</w:t>
            </w:r>
          </w:p>
        </w:tc>
      </w:tr>
      <w:tr>
        <w:tc>
          <w:tcPr>
            <w:tcW w:type="dxa" w:w="3312"/>
            <w:shd w:fill="FFFFFF"/>
            <w:tcMar>
              <w:top w:w="80" w:type="dxa"/>
              <w:bottom w:w="80" w:type="dxa"/>
              <w:left w:w="100" w:type="dxa"/>
              <w:right w:w="100" w:type="dxa"/>
            </w:tcMar>
          </w:tcPr>
          <w:p>
            <w:r>
              <w:rPr>
                <w:b/>
                <w:sz w:val="18"/>
              </w:rPr>
              <w:t>Privacy &amp; Surveillance Concerns</w:t>
            </w:r>
          </w:p>
        </w:tc>
        <w:tc>
          <w:tcPr>
            <w:tcW w:type="dxa" w:w="3312"/>
            <w:shd w:fill="FFFFFF"/>
            <w:tcMar>
              <w:top w:w="80" w:type="dxa"/>
              <w:bottom w:w="80" w:type="dxa"/>
              <w:left w:w="100" w:type="dxa"/>
              <w:right w:w="100" w:type="dxa"/>
            </w:tcMar>
          </w:tcPr>
          <w:p>
            <w:r>
              <w:rPr>
                <w:sz w:val="18"/>
              </w:rPr>
              <w:t>Students reject platform due to intrusive monitoring perception.</w:t>
            </w:r>
          </w:p>
        </w:tc>
        <w:tc>
          <w:tcPr>
            <w:tcW w:type="dxa" w:w="3312"/>
            <w:shd w:fill="FFFFFF"/>
            <w:tcMar>
              <w:top w:w="80" w:type="dxa"/>
              <w:bottom w:w="80" w:type="dxa"/>
              <w:left w:w="100" w:type="dxa"/>
              <w:right w:w="100" w:type="dxa"/>
            </w:tcMar>
          </w:tcPr>
          <w:p>
            <w:r>
              <w:rPr>
                <w:sz w:val="18"/>
              </w:rPr>
              <w:t>Telemetry strictly restricted to active focus blocks; no background ambient tracking; educational app whitelisting.</w:t>
            </w:r>
          </w:p>
        </w:tc>
      </w:tr>
      <w:tr>
        <w:tc>
          <w:tcPr>
            <w:tcW w:type="dxa" w:w="3312"/>
            <w:shd w:fill="F7FAFC"/>
            <w:tcMar>
              <w:top w:w="80" w:type="dxa"/>
              <w:bottom w:w="80" w:type="dxa"/>
              <w:left w:w="100" w:type="dxa"/>
              <w:right w:w="100" w:type="dxa"/>
            </w:tcMar>
          </w:tcPr>
          <w:p>
            <w:r>
              <w:rPr>
                <w:b/>
                <w:sz w:val="18"/>
              </w:rPr>
              <w:t>Inference Latency &amp; API Cost</w:t>
            </w:r>
          </w:p>
        </w:tc>
        <w:tc>
          <w:tcPr>
            <w:tcW w:type="dxa" w:w="3312"/>
            <w:shd w:fill="F7FAFC"/>
            <w:tcMar>
              <w:top w:w="80" w:type="dxa"/>
              <w:bottom w:w="80" w:type="dxa"/>
              <w:left w:w="100" w:type="dxa"/>
              <w:right w:w="100" w:type="dxa"/>
            </w:tcMar>
          </w:tcPr>
          <w:p>
            <w:r>
              <w:rPr>
                <w:sz w:val="18"/>
              </w:rPr>
              <w:t>Slow UI loading and unsustainable recurring token costs.</w:t>
            </w:r>
          </w:p>
        </w:tc>
        <w:tc>
          <w:tcPr>
            <w:tcW w:type="dxa" w:w="3312"/>
            <w:shd w:fill="F7FAFC"/>
            <w:tcMar>
              <w:top w:w="80" w:type="dxa"/>
              <w:bottom w:w="80" w:type="dxa"/>
              <w:left w:w="100" w:type="dxa"/>
              <w:right w:w="100" w:type="dxa"/>
            </w:tcMar>
          </w:tcPr>
          <w:p>
            <w:r>
              <w:rPr>
                <w:sz w:val="18"/>
              </w:rPr>
              <w:t>LightGBM inference runs on CPU in &lt;5ms; LLM calls batched for weekly summaries with low-cost GPT-3.5 Turbo (&lt;$0.05/mo).</w:t>
            </w:r>
          </w:p>
        </w:tc>
      </w:tr>
    </w:tbl>
    <w:p>
      <w:pPr>
        <w:spacing w:after="160"/>
      </w:pPr>
    </w:p>
    <w:p>
      <w:pPr>
        <w:spacing w:before="320" w:after="120"/>
      </w:pPr>
      <w:r>
        <w:rPr>
          <w:b/>
          <w:color w:val="2B6CB0"/>
          <w:sz w:val="30"/>
        </w:rPr>
        <w:t xml:space="preserve">5. </w:t>
      </w:r>
      <w:r>
        <w:rPr>
          <w:b/>
          <w:color w:val="1A365D"/>
          <w:sz w:val="30"/>
        </w:rPr>
        <w:t>Ethical and Responsible AI Considerations</w:t>
      </w:r>
    </w:p>
    <w:p>
      <w:pPr>
        <w:spacing w:after="120" w:line="276" w:lineRule="auto"/>
      </w:pPr>
      <w:r>
        <w:rPr>
          <w:i w:val="0"/>
        </w:rPr>
        <w:t>Operating in an educational domain involving minors mandates the highest standards of data protection, transparency, and ethical responsibility:</w:t>
      </w:r>
    </w:p>
    <w:p>
      <w:pPr>
        <w:spacing w:after="120" w:line="276" w:lineRule="auto"/>
      </w:pPr>
      <w:r>
        <w:rPr>
          <w:b/>
          <w:color w:val="1A365D"/>
        </w:rPr>
        <w:t xml:space="preserve">1. Privacy by Design: </w:t>
      </w:r>
      <w:r>
        <w:rPr>
          <w:i w:val="0"/>
        </w:rPr>
        <w:t>Children's Privacy &amp; KVKK/GDPR Compliance:</w:t>
      </w:r>
    </w:p>
    <w:p>
      <w:pPr>
        <w:spacing w:after="120" w:line="276" w:lineRule="auto"/>
      </w:pPr>
      <w:r>
        <w:rPr>
          <w:i w:val="0"/>
        </w:rPr>
        <w:t>Digital data capture is strictly sandboxed. Telemetry is collected exclusively when the student explicitly initiates a planned 'Focus Study Block'. Ambient tracking, keystroke logging, camera surveillance, and microphone access are strictly prohibited. Explicit parental consent and student assent are collected during onboarding, with an unconditional right to data deletion.</w:t>
      </w:r>
    </w:p>
    <w:p>
      <w:pPr>
        <w:spacing w:after="120" w:line="276" w:lineRule="auto"/>
      </w:pPr>
      <w:r>
        <w:rPr>
          <w:b/>
          <w:color w:val="1A365D"/>
        </w:rPr>
        <w:t xml:space="preserve">2. Anti-Surveillance Safeguards: </w:t>
      </w:r>
      <w:r>
        <w:rPr>
          <w:i w:val="0"/>
        </w:rPr>
        <w:t>Preventing Surveillance Animosity:</w:t>
      </w:r>
    </w:p>
    <w:p>
      <w:pPr>
        <w:spacing w:after="120" w:line="276" w:lineRule="auto"/>
      </w:pPr>
      <w:r>
        <w:rPr>
          <w:i w:val="0"/>
        </w:rPr>
        <w:t>To avoid creating an oppressive domestic surveillance environment, notifications to parents never contain raw logs, minute-by-minute app listings, or accusatory language. The platform only shares high-level constructive coaching summaries, preserving the student's psychological autonomy.</w:t>
      </w:r>
    </w:p>
    <w:p>
      <w:pPr>
        <w:spacing w:after="120" w:line="276" w:lineRule="auto"/>
      </w:pPr>
      <w:r>
        <w:rPr>
          <w:b/>
          <w:color w:val="1A365D"/>
        </w:rPr>
        <w:t xml:space="preserve">3. XAI for All Stakeholders: </w:t>
      </w:r>
      <w:r>
        <w:rPr>
          <w:i w:val="0"/>
        </w:rPr>
        <w:t>Explainability &amp; Transparency:</w:t>
      </w:r>
    </w:p>
    <w:p>
      <w:pPr>
        <w:spacing w:after="120" w:line="276" w:lineRule="auto"/>
      </w:pPr>
      <w:r>
        <w:rPr>
          <w:i w:val="0"/>
        </w:rPr>
        <w:t>Every high-risk classification is explained using TreeSHAP values. Parents and educators are never presented with an opaque 'black box' score; they receive clear, actionable attribution of factors (e.g., 'Recent gap of 12 days since last math exercise').</w:t>
      </w:r>
    </w:p>
    <w:p>
      <w:pPr>
        <w:spacing w:after="120" w:line="276" w:lineRule="auto"/>
      </w:pPr>
      <w:r>
        <w:rPr>
          <w:b/>
          <w:color w:val="1A365D"/>
        </w:rPr>
        <w:t xml:space="preserve">4. Human-in-the-Loop &amp; Moderation: </w:t>
      </w:r>
      <w:r>
        <w:rPr>
          <w:i w:val="0"/>
        </w:rPr>
        <w:t>Brand Safety &amp; Human Oversight:</w:t>
      </w:r>
    </w:p>
    <w:p>
      <w:pPr>
        <w:spacing w:after="120" w:line="276" w:lineRule="auto"/>
      </w:pPr>
      <w:r>
        <w:rPr>
          <w:i w:val="0"/>
        </w:rPr>
        <w:t>All automated parent-student dialogue suggestions are displayed in a 'Parent Preview Buffer' before transmission, ensuring parents maintain ultimate agency and judgment over how they interact with their children.</w:t>
      </w:r>
    </w:p>
    <w:p>
      <w:pPr>
        <w:spacing w:after="120" w:line="276" w:lineRule="auto"/>
      </w:pPr>
      <w:r>
        <w:rPr>
          <w:i w:val="0"/>
        </w:rPr>
        <w:t>[Disclosure Note]: This submission document was prepared with the assistance of AI engineering tools, under rigorous human verification, factual review, and repository code alignment.</w:t>
      </w:r>
    </w:p>
    <w:p>
      <w:pPr>
        <w:spacing w:before="320" w:after="120"/>
      </w:pPr>
      <w:r>
        <w:rPr>
          <w:b/>
          <w:color w:val="2B6CB0"/>
          <w:sz w:val="30"/>
        </w:rPr>
        <w:t xml:space="preserve">6. </w:t>
      </w:r>
      <w:r>
        <w:rPr>
          <w:b/>
          <w:color w:val="1A365D"/>
          <w:sz w:val="30"/>
        </w:rPr>
        <w:t>References</w:t>
      </w:r>
    </w:p>
    <w:p>
      <w:pPr>
        <w:spacing w:after="80"/>
        <w:ind w:left="576" w:hanging="576"/>
      </w:pPr>
      <w:r>
        <w:rPr>
          <w:sz w:val="18"/>
        </w:rPr>
        <w:t>Baker, R. S., &amp; Inventado, P. S. (2014). Educational data mining and learning analytics. In Learning Analytics (pp. 61-75). Springer, New York, NY.</w:t>
      </w:r>
    </w:p>
    <w:p>
      <w:pPr>
        <w:spacing w:after="80"/>
        <w:ind w:left="576" w:hanging="576"/>
      </w:pPr>
      <w:r>
        <w:rPr>
          <w:sz w:val="18"/>
        </w:rPr>
        <w:t>Deci, E. L., &amp; Ryan, R. M. (2000). The 'what' and 'why' of goal pursuits: Human needs and the self-determination of behavior. Psychological Inquiry, 11(4), 227-268.</w:t>
      </w:r>
    </w:p>
    <w:p>
      <w:pPr>
        <w:spacing w:after="80"/>
        <w:ind w:left="576" w:hanging="576"/>
      </w:pPr>
      <w:r>
        <w:rPr>
          <w:sz w:val="18"/>
        </w:rPr>
        <w:t>Fogg, B. J. (2009). A behavior model for persuasive design. In Proceedings of the 4th International Conference on Persuasive Technology (pp. 1-7). ACM.</w:t>
      </w:r>
    </w:p>
    <w:p>
      <w:pPr>
        <w:spacing w:after="80"/>
        <w:ind w:left="576" w:hanging="576"/>
      </w:pPr>
      <w:r>
        <w:rPr>
          <w:sz w:val="18"/>
        </w:rPr>
        <w:t>Ke, G., Meng, Q., Finley, T., Wang, T., Chen, W., Ma, W., ... &amp; Liu, T. Y. (2017). LightGBM: A highly efficient gradient boosting decision tree. Advances in Neural Information Processing Systems, 30, 3146-3154.</w:t>
      </w:r>
    </w:p>
    <w:p>
      <w:pPr>
        <w:spacing w:after="80"/>
        <w:ind w:left="576" w:hanging="576"/>
      </w:pPr>
      <w:r>
        <w:rPr>
          <w:sz w:val="18"/>
        </w:rPr>
        <w:t>Kuzilek, J., Hlosta, M., &amp; Zdrahal, Z. (2017). Open University Learning Analytics dataset. Scientific Data, 4(1), 1-8.</w:t>
      </w:r>
    </w:p>
    <w:p>
      <w:pPr>
        <w:spacing w:after="80"/>
        <w:ind w:left="576" w:hanging="576"/>
      </w:pPr>
      <w:r>
        <w:rPr>
          <w:sz w:val="18"/>
        </w:rPr>
        <w:t>Lundberg, S. M., &amp; Lee, S. I. (2017). A unified approach to interpreting model predictions. Advances in Neural Information Processing Systems, 30, 4765-4774.</w:t>
      </w:r>
    </w:p>
    <w:p>
      <w:pPr>
        <w:spacing w:after="80"/>
        <w:ind w:left="576" w:hanging="576"/>
      </w:pPr>
      <w:r>
        <w:rPr>
          <w:sz w:val="18"/>
        </w:rPr>
        <w:t>Marr, B. (2019). Artificial Intelligence in Practice: How 50 Successful Companies Used AI and Machine Learning to Solve Problems. John Wiley &amp; Sons.</w:t>
      </w:r>
    </w:p>
    <w:p>
      <w:pPr>
        <w:spacing w:after="80"/>
        <w:ind w:left="576" w:hanging="576"/>
      </w:pPr>
      <w:r>
        <w:rPr>
          <w:sz w:val="18"/>
        </w:rPr>
        <w:t>OpenAI. (2024). GPT-3.5 Turbo and GPT-4 Technical Reference and API Documentation. https://platform.openai.com/docs.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