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Machine Learning Project Documentation</w:t>
      </w:r>
    </w:p>
    <w:p>
      <w:pPr>
        <w:spacing w:after="360"/>
      </w:pPr>
      <w:r>
        <w:rPr>
          <w:color w:val="6366F1"/>
          <w:sz w:val="28"/>
        </w:rPr>
        <w:t>Deployment Phase — AI Personal Coach (Capstone Group 1)</w:t>
      </w:r>
    </w:p>
    <w:p>
      <w:pPr>
        <w:pStyle w:val="Heading1"/>
        <w:spacing w:before="280" w:after="120"/>
      </w:pPr>
      <w:r>
        <w:t>1. Overview</w:t>
      </w:r>
    </w:p>
    <w:p>
      <w:pPr>
        <w:spacing w:after="160" w:line="276" w:lineRule="auto"/>
      </w:pPr>
      <w:r>
        <w:t>The deployment phase of the AI Personal Coach project operationalizes a multi-stage machine learning system designed to solve customer churn in dual-user EdTech subscription models (LGS and YKS exam preparation in Turkey).</w:t>
      </w:r>
    </w:p>
    <w:p>
      <w:pPr>
        <w:spacing w:after="160" w:line="276" w:lineRule="auto"/>
      </w:pPr>
      <w:r>
        <w:t>In this architecture, the student generates behavioral telemetry (focus duration, distraction signals, LMS engagement), while the parent is the economic buyer who decides whether to maintain or cancel the subscription. The deployment phase bridges real-time behavioral data analysis with proactive, constructive parent coaching interventions before customer disengagement leads to churn.</w:t>
      </w:r>
    </w:p>
    <w:p>
      <w:pPr>
        <w:spacing w:after="160" w:line="276" w:lineRule="auto"/>
      </w:pPr>
      <w:r>
        <w:t>Deployment Architecture:</w:t>
        <w:br/>
        <w:t>1. Model Serving REST Microservice (api.py): High-throughput, low-latency FastAPI ASGI microservice exposing prediction, SHAP explanation, and end-to-end decision endpoints for integration with mobile applications, backend LMS platforms, and CRM systems.</w:t>
        <w:br/>
        <w:t>2. Interactive Educator &amp; Guidance Decision Portal (app.py): Enterprise-grade Streamlit web application providing teachers and educational counselors with live student risk cards, SHAP waterfall charts, mobile message previews, and real-time What-If simulation capabilities.</w:t>
        <w:br/>
        <w:t>3. Automated Batch Intervention Pipeline (poc_pipeline.py): Command-line batch execution engine for scheduled overnight evaluation of entire student cohorts, generating localized intervention packets and escalating high-risk cases to human counselors.</w:t>
      </w:r>
    </w:p>
    <w:p>
      <w:pPr>
        <w:pStyle w:val="Heading1"/>
        <w:spacing w:before="280" w:after="120"/>
      </w:pPr>
      <w:r>
        <w:t>2. Model Serialization</w:t>
      </w:r>
    </w:p>
    <w:p>
      <w:pPr>
        <w:spacing w:after="160" w:line="276" w:lineRule="auto"/>
      </w:pPr>
      <w:r>
        <w:t>Serialization Process &amp; Format:</w:t>
        <w:br/>
        <w:t>The machine learning models are trained and serialized in Python using joblib with zlib compression:</w:t>
        <w:br/>
        <w:t>• Primary Inference Model: data-research/modeling/lightgbm_model.joblib (Trained LightGBM Gradient Boosting Classifier).</w:t>
        <w:br/>
        <w:t>• Linear Benchmark Model: data-research/modeling/logistic_model.joblib (Calibrated Logistic Regression baseline).</w:t>
        <w:br/>
        <w:t>• Explainable AI Engine: data-research/modeling/shap_explainer.joblib (Pre-computed shap.TreeExplainer instance optimized for tree-based ensemble decomposition).</w:t>
      </w:r>
    </w:p>
    <w:p>
      <w:pPr>
        <w:spacing w:after="160" w:line="276" w:lineRule="auto"/>
      </w:pPr>
      <w:r>
        <w:t>Efficiency and Storage Considerations:</w:t>
        <w:br/>
        <w:t>1. Lightweight Footprint: The serialized LightGBM binary model occupies less than 150 KB of disk space, enabling rapid cold-start container initialization in serverless and containerized environments (&lt; 4 seconds).</w:t>
        <w:br/>
        <w:t>2. Zero GPU Dependency: LightGBM operates purely on CPU architectures, eliminating high-cost GPU infrastructure and ensuring inference costs remain under .02 per user per month.</w:t>
        <w:br/>
        <w:t>3. In-Memory Loading Speed: Model loading via joblib.load() takes &lt; 5 milliseconds, allowing stateless microservice instances to warm up instantly.</w:t>
        <w:br/>
        <w:t>4. Reproducibility &amp; Versioning: Every model serialization artifact is pinned with exact dependency versions (lightgbm==4.6.0, scikit-learn==1.6.1, joblib==1.4.2) and logged alongside its training commit hash.</w:t>
      </w:r>
    </w:p>
    <w:p>
      <w:pPr>
        <w:pStyle w:val="Heading1"/>
        <w:spacing w:before="280" w:after="120"/>
      </w:pPr>
      <w:r>
        <w:t>3. Model Serving</w:t>
      </w:r>
    </w:p>
    <w:p>
      <w:pPr>
        <w:spacing w:after="160" w:line="276" w:lineRule="auto"/>
      </w:pPr>
      <w:r>
        <w:t>Serving Architecture:</w:t>
        <w:br/>
        <w:t>The serialized models are served using a FastAPI web framework executed by the high-performance Uvicorn ASGI server.</w:t>
        <w:br/>
        <w:t>• Process Model: Asynchronous non-blocking I/O process model handling concurrent requests.</w:t>
        <w:br/>
        <w:t>• Latency Profile: Individual model inference latency is &lt; 4 ms on standard CPU; full end-to-end pipeline evaluation (including SHAP feature attribution and rule execution) executes within 12 to 18 ms.</w:t>
        <w:br/>
        <w:t>• Memory Footprint: The complete serving container requires approximately 85 MB RAM, allowing cost-efficient multi-container deployment on micro-instances.</w:t>
      </w:r>
    </w:p>
    <w:p>
      <w:pPr>
        <w:spacing w:after="160" w:line="276" w:lineRule="auto"/>
      </w:pPr>
      <w:r>
        <w:t>Deployment Platform Options:</w:t>
        <w:br/>
        <w:t>1. Cloud Container Services (Recommended Production Target): AWS ECS / Fargate or Google Cloud Run running the FastAPI microservice with horizontal autoscaling based on CPU utilization and request queue depth.</w:t>
        <w:br/>
        <w:t>2. Serverless Function Serving: Standalone deployment as AWS Lambda or Google Cloud Functions behind an API Gateway for scheduled nightly cohort evaluation.</w:t>
        <w:br/>
        <w:t>3. On-Premises / Private Cloud Deployment: Kubernetes (EKS/GKE/K3s) deployment for enterprise educational institutions requiring on-premises data locality to comply with local educational hosting regulations.</w:t>
      </w:r>
    </w:p>
    <w:p>
      <w:pPr>
        <w:pStyle w:val="Heading1"/>
        <w:spacing w:before="280" w:after="120"/>
      </w:pPr>
      <w:r>
        <w:t>4. API Integration</w:t>
      </w:r>
    </w:p>
    <w:p>
      <w:pPr>
        <w:spacing w:after="160" w:line="276" w:lineRule="auto"/>
      </w:pPr>
      <w:r>
        <w:t>The model serving layer is fully integrated into an OpenAPI 3.1-compliant REST API (api.py), automatically exposing interactive Swagger documentation at /docs and ReDoc at /redoc.</w:t>
        <w:br/>
        <w:br/>
        <w:t>Core Endpoints:</w:t>
        <w:br/>
        <w:t>• GET /health: Liveness &amp; Readiness check for orchestrators. Returns model status and operational threshold.</w:t>
        <w:br/>
        <w:t>• POST /predict: Rapid churn risk scoring. Accepts StudentFeaturesInput, returns risk_score, risk_level, is_at_risk.</w:t>
        <w:br/>
        <w:t>• POST /explain: SHAP feature contribution decomposition. Returns top_risk_drivers and top_protective_factors.</w:t>
        <w:br/>
        <w:t>• POST /evaluate: Full end-to-end pipeline execution. Returns risk, segment, rule trigger, delivery window, escalation status, and personalized parent message.</w:t>
        <w:br/>
        <w:t>• GET /students: Benchmark fixture cohort listing (15 sample student profiles).</w:t>
        <w:br/>
        <w:br/>
        <w:t>Input &amp; Output Formats:</w:t>
        <w:br/>
        <w:t>Inputs and outputs are strictly validated using Pydantic v2 schemas with comprehensive field descriptions, boundary constraints, and realistic educational examples. Standardized JSON responses include millisecond inference latency headers (X-Inference-Latency-Ms).</w:t>
      </w:r>
    </w:p>
    <w:p>
      <w:pPr>
        <w:pStyle w:val="Heading1"/>
        <w:spacing w:before="280" w:after="120"/>
      </w:pPr>
      <w:r>
        <w:t>5. Security Considerations</w:t>
      </w:r>
    </w:p>
    <w:p>
      <w:pPr>
        <w:spacing w:after="160" w:line="276" w:lineRule="auto"/>
      </w:pPr>
      <w:r>
        <w:t>KVKK &amp; Underage Data Protection:</w:t>
        <w:br/>
        <w:t>1. Zero Real PII: In strict accordance with Turkish Personal Data Protection Law (KVKK No. 6698) and comparative international standards (GDPR Art. 8), the system never processes national IDs, phone numbers, email addresses, or biometric data in the machine learning layer. Identifiers are strictly anonymized tokens (STU_XXXX).</w:t>
        <w:br/>
        <w:t>2. Explicit Parental Consent: Telemetry processing and AI message delivery operate exclusively on explicitly granted, revocable parental consent.</w:t>
        <w:br/>
        <w:t>3. Data Minimization: Only aggregated behavioral features (e.g. distraction counts, focus minutes) are captured; raw device telemetry, browsing history, and camera/screen recordings are strictly prohibited by system design.</w:t>
      </w:r>
    </w:p>
    <w:p>
      <w:pPr>
        <w:spacing w:after="160" w:line="276" w:lineRule="auto"/>
      </w:pPr>
      <w:r>
        <w:t>Authentication &amp; Authorization:</w:t>
        <w:br/>
        <w:t>• API Security: All REST endpoints are protected via an API Key authentication mechanism (X-API-Key header) with token enforcement.</w:t>
        <w:br/>
        <w:t>• Transport Layer Security: All communications enforce HTTPS over TLS 1.3, mitigating man-in-the-middle risks.</w:t>
      </w:r>
    </w:p>
    <w:p>
      <w:pPr>
        <w:spacing w:after="160" w:line="276" w:lineRule="auto"/>
      </w:pPr>
      <w:r>
        <w:t>Responsible AI Guardrails:</w:t>
        <w:br/>
        <w:t>• Notification Frequency Capping: The deterministic rule engine enforces a hard cap of maximum 3 messages per 48-hour window, eliminating notification fatigue and parental anxiety.</w:t>
        <w:br/>
        <w:t>• Human-in-the-Loop Escalation: Students with critical risk (&gt;0.65) and 3+ consecutive unread notifications trigger a counselor escalation flag, transferring communication from automated AI to a licensed guidance professional.</w:t>
      </w:r>
    </w:p>
    <w:p>
      <w:pPr>
        <w:pStyle w:val="Heading1"/>
        <w:spacing w:before="280" w:after="120"/>
      </w:pPr>
      <w:r>
        <w:t>6. Monitoring and Logging</w:t>
      </w:r>
    </w:p>
    <w:p>
      <w:pPr>
        <w:spacing w:after="160" w:line="276" w:lineRule="auto"/>
      </w:pPr>
      <w:r>
        <w:t>Real-Time Telemetry &amp; Request Logging:</w:t>
        <w:br/>
        <w:t>The FastAPI deployment includes custom middleware logging every incoming request with structured attributes: HTTP Method, URL path, client status code, response payload size, and exact execution latency in milliseconds.</w:t>
      </w:r>
    </w:p>
    <w:p>
      <w:pPr>
        <w:spacing w:after="160" w:line="276" w:lineRule="auto"/>
      </w:pPr>
      <w:r>
        <w:t>Data &amp; Model Drift Tracking:</w:t>
        <w:br/>
        <w:t>1. Feature Drift Monitoring: The system tracks rolling distribution metrics (mean, variance, quartiles) for key predictive features (avg_focus_duration_mins, phone_distraction_10min_count). If the population Kolmogorov-Smirnov test diverges from the baseline training distribution (p &lt; 0.05), a retraining alert is raised.</w:t>
        <w:br/>
        <w:t>2. Prediction Drift Monitoring: The daily average predicted risk score and the proportion of students categorized into each of the 5 behavioral segments are logged to detect seasonal shifts (e.g., examination week behavioral spikes).</w:t>
      </w:r>
    </w:p>
    <w:p>
      <w:pPr>
        <w:spacing w:after="160" w:line="276" w:lineRule="auto"/>
      </w:pPr>
      <w:r>
        <w:t>Alerting Mechanisms:</w:t>
        <w:br/>
        <w:t>• Operational Health Alerts: Health-check failures (/health returning non-200) trigger automated container restarts.</w:t>
        <w:br/>
        <w:t>• High-Risk Cohort Alerts: Webhook notifications to school guidance teams when more than 35% of a cohort enters the Critical Risk category in a single evaluation cycle.</w:t>
        <w:br/>
        <w:t>• Latency Alerts: P99 inference latency exceeding 50 ms triggers automated horizontal container scale-out.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