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for Food Waste Reduction Model Refinement and Test Submission</w:t>
      </w:r>
    </w:p>
    <w:p>
      <w:pPr>
        <w:jc w:val="center"/>
      </w:pPr>
      <w:r>
        <w:rPr>
          <w:rFonts w:ascii="Aptos" w:hAnsi="Aptos"/>
          <w:b/>
          <w:color w:val="000000"/>
          <w:sz w:val="26"/>
        </w:rPr>
        <w:t>Samsung Innovation Campus AI 17 Capstone Group 11</w:t>
      </w:r>
    </w:p>
    <w:p>
      <w:pPr>
        <w:jc w:val="center"/>
      </w:pPr>
      <w:r>
        <w:rPr>
          <w:rFonts w:ascii="Aptos" w:hAnsi="Aptos"/>
          <w:color w:val="555555"/>
          <w:sz w:val="19"/>
        </w:rPr>
        <w:t>Osman Furkan Erkan  |  Nermin Kılıçarslan  |  Dilara Kuyar  |  Ahsen Nisa Sarıkaya</w:t>
      </w:r>
    </w:p>
    <w:p>
      <w:pPr>
        <w:jc w:val="center"/>
      </w:pPr>
      <w:r>
        <w:rPr>
          <w:rFonts w:ascii="Aptos" w:hAnsi="Aptos"/>
          <w:color w:val="555555"/>
          <w:sz w:val="19"/>
        </w:rPr>
        <w:t>Final submission 17 September 2026</w:t>
      </w:r>
    </w:p>
    <w:p>
      <w:pPr>
        <w:pStyle w:val="Heading1"/>
      </w:pPr>
      <w:r>
        <w:t>Executive Summary</w:t>
      </w:r>
    </w:p>
    <w:p>
      <w:r>
        <w:rPr>
          <w:rFonts w:ascii="Aptos" w:hAnsi="Aptos"/>
          <w:color w:val="000000"/>
        </w:rPr>
        <w:t>Bu rapor, LightGBM talep tahmini modelinin son iyileştirme ve test submission aşamalarını belgeler. Optuna ile ayarlanan model tek holdout döneminde RMSLE değerini 0.47628'den 0.47534'e indirdi. Kalibre P8-P92 quantile bandı %80 hedefi için %80.59 coverage üretti. Üç fold recursive walk-forward doğrulamasında ortalama RMSLE 0.49833 oldu ve persistence baseline'a göre ortalama %38.32 iyileşme sağlandı. Son model haftalar 1-145 üzerindeki 456.548 satırla eğitildi ve hedef içermeyen haftalar 146-155 için 32.573 satırlık submission oluşturdu.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tblHeader w:val="true"/>
        </w:trPr>
        <w:tc>
          <w:tcPr>
            <w:tcW w:type="dxa" w:w="3024"/>
            <w:vAlign w:val="center"/>
            <w:shd w:fill="24556A"/>
            <w:tcMar>
              <w:top w:w="90" w:type="dxa"/>
              <w:start w:w="110" w:type="dxa"/>
              <w:bottom w:w="90" w:type="dxa"/>
              <w:end w:w="110" w:type="dxa"/>
            </w:tcMar>
          </w:tcPr>
          <w:p>
            <w:pPr>
              <w:jc w:val="center"/>
            </w:pPr>
            <w:r>
              <w:rPr>
                <w:rFonts w:ascii="Aptos" w:hAnsi="Aptos"/>
                <w:b/>
                <w:color w:val="FFFFFF"/>
                <w:sz w:val="18"/>
              </w:rPr>
              <w:t>Final evidence</w:t>
            </w:r>
          </w:p>
        </w:tc>
        <w:tc>
          <w:tcPr>
            <w:tcW w:type="dxa" w:w="2088"/>
            <w:vAlign w:val="center"/>
            <w:shd w:fill="24556A"/>
            <w:tcMar>
              <w:top w:w="90" w:type="dxa"/>
              <w:start w:w="110" w:type="dxa"/>
              <w:bottom w:w="90" w:type="dxa"/>
              <w:end w:w="110" w:type="dxa"/>
            </w:tcMar>
          </w:tcPr>
          <w:p>
            <w:pPr>
              <w:jc w:val="center"/>
            </w:pPr>
            <w:r>
              <w:rPr>
                <w:rFonts w:ascii="Aptos" w:hAnsi="Aptos"/>
                <w:b/>
                <w:color w:val="FFFFFF"/>
                <w:sz w:val="18"/>
              </w:rPr>
              <w:t>Result</w:t>
            </w:r>
          </w:p>
        </w:tc>
        <w:tc>
          <w:tcPr>
            <w:tcW w:type="dxa" w:w="3816"/>
            <w:vAlign w:val="center"/>
            <w:shd w:fill="24556A"/>
            <w:tcMar>
              <w:top w:w="90" w:type="dxa"/>
              <w:start w:w="110" w:type="dxa"/>
              <w:bottom w:w="90" w:type="dxa"/>
              <w:end w:w="110" w:type="dxa"/>
            </w:tcMar>
          </w:tcPr>
          <w:p>
            <w:pPr>
              <w:jc w:val="center"/>
            </w:pPr>
            <w:r>
              <w:rPr>
                <w:rFonts w:ascii="Aptos" w:hAnsi="Aptos"/>
                <w:b/>
                <w:color w:val="FFFFFF"/>
                <w:sz w:val="18"/>
              </w:rPr>
              <w:t>Artifact</w:t>
            </w:r>
          </w:p>
        </w:tc>
      </w:tr>
      <w:tr>
        <w:tc>
          <w:tcPr>
            <w:tcW w:type="dxa" w:w="3024"/>
            <w:vAlign w:val="center"/>
            <w:tcMar>
              <w:top w:w="90" w:type="dxa"/>
              <w:start w:w="110" w:type="dxa"/>
              <w:bottom w:w="90" w:type="dxa"/>
              <w:end w:w="110" w:type="dxa"/>
            </w:tcMar>
          </w:tcPr>
          <w:p>
            <w:pPr>
              <w:jc w:val="left"/>
            </w:pPr>
            <w:r>
              <w:rPr>
                <w:rFonts w:ascii="Aptos" w:hAnsi="Aptos"/>
                <w:color w:val="000000"/>
                <w:sz w:val="18"/>
              </w:rPr>
              <w:t>Tuned holdout evaluation</w:t>
            </w:r>
          </w:p>
        </w:tc>
        <w:tc>
          <w:tcPr>
            <w:tcW w:type="dxa" w:w="2088"/>
            <w:vAlign w:val="center"/>
            <w:tcMar>
              <w:top w:w="90" w:type="dxa"/>
              <w:start w:w="110" w:type="dxa"/>
              <w:bottom w:w="90" w:type="dxa"/>
              <w:end w:w="110" w:type="dxa"/>
            </w:tcMar>
          </w:tcPr>
          <w:p>
            <w:pPr>
              <w:jc w:val="center"/>
            </w:pPr>
            <w:r>
              <w:rPr>
                <w:rFonts w:ascii="Aptos" w:hAnsi="Aptos"/>
                <w:color w:val="000000"/>
                <w:sz w:val="18"/>
              </w:rPr>
              <w:t>RMSLE 0.47534</w:t>
            </w:r>
          </w:p>
        </w:tc>
        <w:tc>
          <w:tcPr>
            <w:tcW w:type="dxa" w:w="3816"/>
            <w:vAlign w:val="center"/>
            <w:tcMar>
              <w:top w:w="90" w:type="dxa"/>
              <w:start w:w="110" w:type="dxa"/>
              <w:bottom w:w="90" w:type="dxa"/>
              <w:end w:w="110" w:type="dxa"/>
            </w:tcMar>
          </w:tcPr>
          <w:p>
            <w:pPr>
              <w:jc w:val="center"/>
            </w:pPr>
            <w:r>
              <w:rPr>
                <w:rFonts w:ascii="Aptos" w:hAnsi="Aptos"/>
                <w:color w:val="000000"/>
                <w:sz w:val="18"/>
              </w:rPr>
              <w:t>data/hpo_final_comparison.json</w:t>
            </w:r>
          </w:p>
        </w:tc>
      </w:tr>
      <w:tr>
        <w:tc>
          <w:tcPr>
            <w:tcW w:type="dxa" w:w="3024"/>
            <w:vAlign w:val="center"/>
            <w:tcMar>
              <w:top w:w="90" w:type="dxa"/>
              <w:start w:w="110" w:type="dxa"/>
              <w:bottom w:w="90" w:type="dxa"/>
              <w:end w:w="110" w:type="dxa"/>
            </w:tcMar>
            <w:shd w:fill="EAF1F4"/>
          </w:tcPr>
          <w:p>
            <w:pPr>
              <w:jc w:val="left"/>
            </w:pPr>
            <w:r>
              <w:rPr>
                <w:rFonts w:ascii="Aptos" w:hAnsi="Aptos"/>
                <w:color w:val="000000"/>
                <w:sz w:val="18"/>
              </w:rPr>
              <w:t>Calibrated uncertainty band</w:t>
            </w:r>
          </w:p>
        </w:tc>
        <w:tc>
          <w:tcPr>
            <w:tcW w:type="dxa" w:w="2088"/>
            <w:vAlign w:val="center"/>
            <w:tcMar>
              <w:top w:w="90" w:type="dxa"/>
              <w:start w:w="110" w:type="dxa"/>
              <w:bottom w:w="90" w:type="dxa"/>
              <w:end w:w="110" w:type="dxa"/>
            </w:tcMar>
            <w:shd w:fill="EAF1F4"/>
          </w:tcPr>
          <w:p>
            <w:pPr>
              <w:jc w:val="center"/>
            </w:pPr>
            <w:r>
              <w:rPr>
                <w:rFonts w:ascii="Aptos" w:hAnsi="Aptos"/>
                <w:color w:val="000000"/>
                <w:sz w:val="18"/>
              </w:rPr>
              <w:t>Coverage %80.59</w:t>
            </w:r>
          </w:p>
        </w:tc>
        <w:tc>
          <w:tcPr>
            <w:tcW w:type="dxa" w:w="3816"/>
            <w:vAlign w:val="center"/>
            <w:tcMar>
              <w:top w:w="90" w:type="dxa"/>
              <w:start w:w="110" w:type="dxa"/>
              <w:bottom w:w="90" w:type="dxa"/>
              <w:end w:w="110" w:type="dxa"/>
            </w:tcMar>
            <w:shd w:fill="EAF1F4"/>
          </w:tcPr>
          <w:p>
            <w:pPr>
              <w:jc w:val="center"/>
            </w:pPr>
            <w:r>
              <w:rPr>
                <w:rFonts w:ascii="Aptos" w:hAnsi="Aptos"/>
                <w:color w:val="000000"/>
                <w:sz w:val="18"/>
              </w:rPr>
              <w:t>data/quantile_final_calibrated.json</w:t>
            </w:r>
          </w:p>
        </w:tc>
      </w:tr>
      <w:tr>
        <w:tc>
          <w:tcPr>
            <w:tcW w:type="dxa" w:w="3024"/>
            <w:vAlign w:val="center"/>
            <w:tcMar>
              <w:top w:w="90" w:type="dxa"/>
              <w:start w:w="110" w:type="dxa"/>
              <w:bottom w:w="90" w:type="dxa"/>
              <w:end w:w="110" w:type="dxa"/>
            </w:tcMar>
          </w:tcPr>
          <w:p>
            <w:pPr>
              <w:jc w:val="left"/>
            </w:pPr>
            <w:r>
              <w:rPr>
                <w:rFonts w:ascii="Aptos" w:hAnsi="Aptos"/>
                <w:color w:val="000000"/>
                <w:sz w:val="18"/>
              </w:rPr>
              <w:t>Recursive walk-forward</w:t>
            </w:r>
          </w:p>
        </w:tc>
        <w:tc>
          <w:tcPr>
            <w:tcW w:type="dxa" w:w="2088"/>
            <w:vAlign w:val="center"/>
            <w:tcMar>
              <w:top w:w="90" w:type="dxa"/>
              <w:start w:w="110" w:type="dxa"/>
              <w:bottom w:w="90" w:type="dxa"/>
              <w:end w:w="110" w:type="dxa"/>
            </w:tcMar>
          </w:tcPr>
          <w:p>
            <w:pPr>
              <w:jc w:val="center"/>
            </w:pPr>
            <w:r>
              <w:rPr>
                <w:rFonts w:ascii="Aptos" w:hAnsi="Aptos"/>
                <w:color w:val="000000"/>
                <w:sz w:val="18"/>
              </w:rPr>
              <w:t>Mean RMSLE 0.49833</w:t>
            </w:r>
          </w:p>
        </w:tc>
        <w:tc>
          <w:tcPr>
            <w:tcW w:type="dxa" w:w="3816"/>
            <w:vAlign w:val="center"/>
            <w:tcMar>
              <w:top w:w="90" w:type="dxa"/>
              <w:start w:w="110" w:type="dxa"/>
              <w:bottom w:w="90" w:type="dxa"/>
              <w:end w:w="110" w:type="dxa"/>
            </w:tcMar>
          </w:tcPr>
          <w:p>
            <w:pPr>
              <w:jc w:val="center"/>
            </w:pPr>
            <w:r>
              <w:rPr>
                <w:rFonts w:ascii="Aptos" w:hAnsi="Aptos"/>
                <w:color w:val="000000"/>
                <w:sz w:val="18"/>
              </w:rPr>
              <w:t>reports/results/walk_forward_metrics.json</w:t>
            </w:r>
          </w:p>
        </w:tc>
      </w:tr>
      <w:tr>
        <w:tc>
          <w:tcPr>
            <w:tcW w:type="dxa" w:w="3024"/>
            <w:vAlign w:val="center"/>
            <w:tcMar>
              <w:top w:w="90" w:type="dxa"/>
              <w:start w:w="110" w:type="dxa"/>
              <w:bottom w:w="90" w:type="dxa"/>
              <w:end w:w="110" w:type="dxa"/>
            </w:tcMar>
            <w:shd w:fill="EAF1F4"/>
          </w:tcPr>
          <w:p>
            <w:pPr>
              <w:jc w:val="left"/>
            </w:pPr>
            <w:r>
              <w:rPr>
                <w:rFonts w:ascii="Aptos" w:hAnsi="Aptos"/>
                <w:color w:val="000000"/>
                <w:sz w:val="18"/>
              </w:rPr>
              <w:t>Real Kaggle test submission</w:t>
            </w:r>
          </w:p>
        </w:tc>
        <w:tc>
          <w:tcPr>
            <w:tcW w:type="dxa" w:w="2088"/>
            <w:vAlign w:val="center"/>
            <w:tcMar>
              <w:top w:w="90" w:type="dxa"/>
              <w:start w:w="110" w:type="dxa"/>
              <w:bottom w:w="90" w:type="dxa"/>
              <w:end w:w="110" w:type="dxa"/>
            </w:tcMar>
            <w:shd w:fill="EAF1F4"/>
          </w:tcPr>
          <w:p>
            <w:pPr>
              <w:jc w:val="center"/>
            </w:pPr>
            <w:r>
              <w:rPr>
                <w:rFonts w:ascii="Aptos" w:hAnsi="Aptos"/>
                <w:color w:val="000000"/>
                <w:sz w:val="18"/>
              </w:rPr>
              <w:t>32,573 rows</w:t>
            </w:r>
          </w:p>
        </w:tc>
        <w:tc>
          <w:tcPr>
            <w:tcW w:type="dxa" w:w="3816"/>
            <w:vAlign w:val="center"/>
            <w:tcMar>
              <w:top w:w="90" w:type="dxa"/>
              <w:start w:w="110" w:type="dxa"/>
              <w:bottom w:w="90" w:type="dxa"/>
              <w:end w:w="110" w:type="dxa"/>
            </w:tcMar>
            <w:shd w:fill="EAF1F4"/>
          </w:tcPr>
          <w:p>
            <w:pPr>
              <w:jc w:val="center"/>
            </w:pPr>
            <w:r>
              <w:rPr>
                <w:rFonts w:ascii="Aptos" w:hAnsi="Aptos"/>
                <w:color w:val="000000"/>
                <w:sz w:val="18"/>
              </w:rPr>
              <w:t>submissions/final_submission.csv</w:t>
            </w:r>
          </w:p>
        </w:tc>
      </w:tr>
    </w:tbl>
    <w:p>
      <w:pPr>
        <w:spacing w:after="20"/>
      </w:pPr>
    </w:p>
    <w:p>
      <w:r>
        <w:br w:type="page"/>
      </w:r>
    </w:p>
    <w:p>
      <w:pPr>
        <w:pStyle w:val="Heading1"/>
      </w:pPr>
      <w:r>
        <w:t>Model Refinement</w:t>
      </w:r>
    </w:p>
    <w:p>
      <w:pPr>
        <w:pStyle w:val="Heading2"/>
      </w:pPr>
      <w:r>
        <w:t>1 Overview</w:t>
      </w:r>
    </w:p>
    <w:p>
      <w:r>
        <w:rPr>
          <w:rFonts w:ascii="Aptos" w:hAnsi="Aptos"/>
          <w:color w:val="000000"/>
        </w:rPr>
        <w:t>Refinement çalışması dört katmandan oluşur: mevcut LightGBM modelinin yeniden üretilmesi, sızıntısız Optuna hiperparametre araması, quantile tahmin aralığının coverage kalibrasyonu ve gerçek submission koşullarını taklit eden recursive walk-forward doğrulaması. Tüm model seçimleri zaman sırasını korur. Hedef içermeyen Kaggle test kümesi hiçbir seçim metriğinde kullanılmaz.</w:t>
      </w:r>
    </w:p>
    <w:p>
      <w:r>
        <w:rPr>
          <w:rFonts w:ascii="Aptos" w:hAnsi="Aptos"/>
          <w:color w:val="000000"/>
        </w:rPr>
        <w:t>Nihai nokta tahmin modeli mevcut feature setini korur. Promotion etkileşimleri, uzun geçmiş özellikleri ve hybrid blend adayları ayrı deneylerde değerlendirildi. Önceden tanımlanan genel performans ve düşük talep guardrail'lerini birlikte geçemeyen adaylar final modele alınmadı.</w:t>
      </w:r>
    </w:p>
    <w:p>
      <w:pPr>
        <w:pStyle w:val="Heading2"/>
      </w:pPr>
      <w:r>
        <w:t>2 Model Evaluation</w:t>
      </w:r>
    </w:p>
    <w:p>
      <w:r>
        <w:rPr>
          <w:rFonts w:ascii="Aptos" w:hAnsi="Aptos"/>
          <w:color w:val="000000"/>
        </w:rPr>
        <w:t>Baseline model aynı veri hazırlama ve zaman ayrımıyla yeniden çalıştırıldı. Sonuçlar önceki fazdaki değerlerle eşleşti. Optuna ile bulunan ayarlar holdout RMSLE'de %0.20, MAE'de %0.50 iyileşme sağladı. Kazanç sınırlıdır; ancak test dönemi hiperparametre seçimi sırasında kullanılmadığı için sonuç tarafsızdır.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6"/>
        <w:gridCol w:w="2416"/>
        <w:gridCol w:w="2416"/>
        <w:gridCol w:w="2416"/>
      </w:tblGrid>
      <w:tr>
        <w:trPr>
          <w:tblHeader w:val="true"/>
        </w:trPr>
        <w:tc>
          <w:tcPr>
            <w:tcW w:type="dxa" w:w="2592"/>
            <w:vAlign w:val="center"/>
            <w:shd w:fill="24556A"/>
            <w:tcMar>
              <w:top w:w="90" w:type="dxa"/>
              <w:start w:w="110" w:type="dxa"/>
              <w:bottom w:w="90" w:type="dxa"/>
              <w:end w:w="110" w:type="dxa"/>
            </w:tcMar>
          </w:tcPr>
          <w:p>
            <w:pPr>
              <w:jc w:val="center"/>
            </w:pPr>
            <w:r>
              <w:rPr>
                <w:rFonts w:ascii="Aptos" w:hAnsi="Aptos"/>
                <w:b/>
                <w:color w:val="FFFFFF"/>
                <w:sz w:val="18"/>
              </w:rPr>
              <w:t>Metric</w:t>
            </w:r>
          </w:p>
        </w:tc>
        <w:tc>
          <w:tcPr>
            <w:tcW w:type="dxa" w:w="2088"/>
            <w:vAlign w:val="center"/>
            <w:shd w:fill="24556A"/>
            <w:tcMar>
              <w:top w:w="90" w:type="dxa"/>
              <w:start w:w="110" w:type="dxa"/>
              <w:bottom w:w="90" w:type="dxa"/>
              <w:end w:w="110" w:type="dxa"/>
            </w:tcMar>
          </w:tcPr>
          <w:p>
            <w:pPr>
              <w:jc w:val="center"/>
            </w:pPr>
            <w:r>
              <w:rPr>
                <w:rFonts w:ascii="Aptos" w:hAnsi="Aptos"/>
                <w:b/>
                <w:color w:val="FFFFFF"/>
                <w:sz w:val="18"/>
              </w:rPr>
              <w:t>Baseline</w:t>
            </w:r>
          </w:p>
        </w:tc>
        <w:tc>
          <w:tcPr>
            <w:tcW w:type="dxa" w:w="2088"/>
            <w:vAlign w:val="center"/>
            <w:shd w:fill="24556A"/>
            <w:tcMar>
              <w:top w:w="90" w:type="dxa"/>
              <w:start w:w="110" w:type="dxa"/>
              <w:bottom w:w="90" w:type="dxa"/>
              <w:end w:w="110" w:type="dxa"/>
            </w:tcMar>
          </w:tcPr>
          <w:p>
            <w:pPr>
              <w:jc w:val="center"/>
            </w:pPr>
            <w:r>
              <w:rPr>
                <w:rFonts w:ascii="Aptos" w:hAnsi="Aptos"/>
                <w:b/>
                <w:color w:val="FFFFFF"/>
                <w:sz w:val="18"/>
              </w:rPr>
              <w:t>Tuned</w:t>
            </w:r>
          </w:p>
        </w:tc>
        <w:tc>
          <w:tcPr>
            <w:tcW w:type="dxa" w:w="2232"/>
            <w:vAlign w:val="center"/>
            <w:shd w:fill="24556A"/>
            <w:tcMar>
              <w:top w:w="90" w:type="dxa"/>
              <w:start w:w="110" w:type="dxa"/>
              <w:bottom w:w="90" w:type="dxa"/>
              <w:end w:w="110" w:type="dxa"/>
            </w:tcMar>
          </w:tcPr>
          <w:p>
            <w:pPr>
              <w:jc w:val="center"/>
            </w:pPr>
            <w:r>
              <w:rPr>
                <w:rFonts w:ascii="Aptos" w:hAnsi="Aptos"/>
                <w:b/>
                <w:color w:val="FFFFFF"/>
                <w:sz w:val="18"/>
              </w:rPr>
              <w:t>Change</w:t>
            </w:r>
          </w:p>
        </w:tc>
      </w:tr>
      <w:tr>
        <w:tc>
          <w:tcPr>
            <w:tcW w:type="dxa" w:w="2592"/>
            <w:vAlign w:val="center"/>
            <w:tcMar>
              <w:top w:w="90" w:type="dxa"/>
              <w:start w:w="110" w:type="dxa"/>
              <w:bottom w:w="90" w:type="dxa"/>
              <w:end w:w="110" w:type="dxa"/>
            </w:tcMar>
          </w:tcPr>
          <w:p>
            <w:pPr>
              <w:jc w:val="left"/>
            </w:pPr>
            <w:r>
              <w:rPr>
                <w:rFonts w:ascii="Aptos" w:hAnsi="Aptos"/>
                <w:color w:val="000000"/>
                <w:sz w:val="18"/>
              </w:rPr>
              <w:t>Holdout RMSLE</w:t>
            </w:r>
          </w:p>
        </w:tc>
        <w:tc>
          <w:tcPr>
            <w:tcW w:type="dxa" w:w="2088"/>
            <w:vAlign w:val="center"/>
            <w:tcMar>
              <w:top w:w="90" w:type="dxa"/>
              <w:start w:w="110" w:type="dxa"/>
              <w:bottom w:w="90" w:type="dxa"/>
              <w:end w:w="110" w:type="dxa"/>
            </w:tcMar>
          </w:tcPr>
          <w:p>
            <w:pPr>
              <w:jc w:val="center"/>
            </w:pPr>
            <w:r>
              <w:rPr>
                <w:rFonts w:ascii="Aptos" w:hAnsi="Aptos"/>
                <w:color w:val="000000"/>
                <w:sz w:val="18"/>
              </w:rPr>
              <w:t>0.47628</w:t>
            </w:r>
          </w:p>
        </w:tc>
        <w:tc>
          <w:tcPr>
            <w:tcW w:type="dxa" w:w="2088"/>
            <w:vAlign w:val="center"/>
            <w:tcMar>
              <w:top w:w="90" w:type="dxa"/>
              <w:start w:w="110" w:type="dxa"/>
              <w:bottom w:w="90" w:type="dxa"/>
              <w:end w:w="110" w:type="dxa"/>
            </w:tcMar>
          </w:tcPr>
          <w:p>
            <w:pPr>
              <w:jc w:val="center"/>
            </w:pPr>
            <w:r>
              <w:rPr>
                <w:rFonts w:ascii="Aptos" w:hAnsi="Aptos"/>
                <w:color w:val="000000"/>
                <w:sz w:val="18"/>
              </w:rPr>
              <w:t>0.47534</w:t>
            </w:r>
          </w:p>
        </w:tc>
        <w:tc>
          <w:tcPr>
            <w:tcW w:type="dxa" w:w="2232"/>
            <w:vAlign w:val="center"/>
            <w:tcMar>
              <w:top w:w="90" w:type="dxa"/>
              <w:start w:w="110" w:type="dxa"/>
              <w:bottom w:w="90" w:type="dxa"/>
              <w:end w:w="110" w:type="dxa"/>
            </w:tcMar>
          </w:tcPr>
          <w:p>
            <w:pPr>
              <w:jc w:val="center"/>
            </w:pPr>
            <w:r>
              <w:rPr>
                <w:rFonts w:ascii="Aptos" w:hAnsi="Aptos"/>
                <w:color w:val="000000"/>
                <w:sz w:val="18"/>
              </w:rPr>
              <w:t>%0.20 better</w:t>
            </w:r>
          </w:p>
        </w:tc>
      </w:tr>
      <w:tr>
        <w:tc>
          <w:tcPr>
            <w:tcW w:type="dxa" w:w="2592"/>
            <w:vAlign w:val="center"/>
            <w:tcMar>
              <w:top w:w="90" w:type="dxa"/>
              <w:start w:w="110" w:type="dxa"/>
              <w:bottom w:w="90" w:type="dxa"/>
              <w:end w:w="110" w:type="dxa"/>
            </w:tcMar>
            <w:shd w:fill="EAF1F4"/>
          </w:tcPr>
          <w:p>
            <w:pPr>
              <w:jc w:val="left"/>
            </w:pPr>
            <w:r>
              <w:rPr>
                <w:rFonts w:ascii="Aptos" w:hAnsi="Aptos"/>
                <w:color w:val="000000"/>
                <w:sz w:val="18"/>
              </w:rPr>
              <w:t>Holdout MAE</w:t>
            </w:r>
          </w:p>
        </w:tc>
        <w:tc>
          <w:tcPr>
            <w:tcW w:type="dxa" w:w="2088"/>
            <w:vAlign w:val="center"/>
            <w:tcMar>
              <w:top w:w="90" w:type="dxa"/>
              <w:start w:w="110" w:type="dxa"/>
              <w:bottom w:w="90" w:type="dxa"/>
              <w:end w:w="110" w:type="dxa"/>
            </w:tcMar>
            <w:shd w:fill="EAF1F4"/>
          </w:tcPr>
          <w:p>
            <w:pPr>
              <w:jc w:val="center"/>
            </w:pPr>
            <w:r>
              <w:rPr>
                <w:rFonts w:ascii="Aptos" w:hAnsi="Aptos"/>
                <w:color w:val="000000"/>
                <w:sz w:val="18"/>
              </w:rPr>
              <w:t>62.12</w:t>
            </w:r>
          </w:p>
        </w:tc>
        <w:tc>
          <w:tcPr>
            <w:tcW w:type="dxa" w:w="2088"/>
            <w:vAlign w:val="center"/>
            <w:tcMar>
              <w:top w:w="90" w:type="dxa"/>
              <w:start w:w="110" w:type="dxa"/>
              <w:bottom w:w="90" w:type="dxa"/>
              <w:end w:w="110" w:type="dxa"/>
            </w:tcMar>
            <w:shd w:fill="EAF1F4"/>
          </w:tcPr>
          <w:p>
            <w:pPr>
              <w:jc w:val="center"/>
            </w:pPr>
            <w:r>
              <w:rPr>
                <w:rFonts w:ascii="Aptos" w:hAnsi="Aptos"/>
                <w:color w:val="000000"/>
                <w:sz w:val="18"/>
              </w:rPr>
              <w:t>61.80</w:t>
            </w:r>
          </w:p>
        </w:tc>
        <w:tc>
          <w:tcPr>
            <w:tcW w:type="dxa" w:w="2232"/>
            <w:vAlign w:val="center"/>
            <w:tcMar>
              <w:top w:w="90" w:type="dxa"/>
              <w:start w:w="110" w:type="dxa"/>
              <w:bottom w:w="90" w:type="dxa"/>
              <w:end w:w="110" w:type="dxa"/>
            </w:tcMar>
            <w:shd w:fill="EAF1F4"/>
          </w:tcPr>
          <w:p>
            <w:pPr>
              <w:jc w:val="center"/>
            </w:pPr>
            <w:r>
              <w:rPr>
                <w:rFonts w:ascii="Aptos" w:hAnsi="Aptos"/>
                <w:color w:val="000000"/>
                <w:sz w:val="18"/>
              </w:rPr>
              <w:t>%0.50 better</w:t>
            </w:r>
          </w:p>
        </w:tc>
      </w:tr>
      <w:tr>
        <w:tc>
          <w:tcPr>
            <w:tcW w:type="dxa" w:w="2592"/>
            <w:vAlign w:val="center"/>
            <w:tcMar>
              <w:top w:w="90" w:type="dxa"/>
              <w:start w:w="110" w:type="dxa"/>
              <w:bottom w:w="90" w:type="dxa"/>
              <w:end w:w="110" w:type="dxa"/>
            </w:tcMar>
          </w:tcPr>
          <w:p>
            <w:pPr>
              <w:jc w:val="left"/>
            </w:pPr>
            <w:r>
              <w:rPr>
                <w:rFonts w:ascii="Aptos" w:hAnsi="Aptos"/>
                <w:color w:val="000000"/>
                <w:sz w:val="18"/>
              </w:rPr>
              <w:t>Best iteration</w:t>
            </w:r>
          </w:p>
        </w:tc>
        <w:tc>
          <w:tcPr>
            <w:tcW w:type="dxa" w:w="2088"/>
            <w:vAlign w:val="center"/>
            <w:tcMar>
              <w:top w:w="90" w:type="dxa"/>
              <w:start w:w="110" w:type="dxa"/>
              <w:bottom w:w="90" w:type="dxa"/>
              <w:end w:w="110" w:type="dxa"/>
            </w:tcMar>
          </w:tcPr>
          <w:p>
            <w:pPr>
              <w:jc w:val="center"/>
            </w:pPr>
            <w:r>
              <w:rPr>
                <w:rFonts w:ascii="Aptos" w:hAnsi="Aptos"/>
                <w:color w:val="000000"/>
                <w:sz w:val="18"/>
              </w:rPr>
              <w:t>594</w:t>
            </w:r>
          </w:p>
        </w:tc>
        <w:tc>
          <w:tcPr>
            <w:tcW w:type="dxa" w:w="2088"/>
            <w:vAlign w:val="center"/>
            <w:tcMar>
              <w:top w:w="90" w:type="dxa"/>
              <w:start w:w="110" w:type="dxa"/>
              <w:bottom w:w="90" w:type="dxa"/>
              <w:end w:w="110" w:type="dxa"/>
            </w:tcMar>
          </w:tcPr>
          <w:p>
            <w:pPr>
              <w:jc w:val="center"/>
            </w:pPr>
            <w:r>
              <w:rPr>
                <w:rFonts w:ascii="Aptos" w:hAnsi="Aptos"/>
                <w:color w:val="000000"/>
                <w:sz w:val="18"/>
              </w:rPr>
              <w:t>1360</w:t>
            </w:r>
          </w:p>
        </w:tc>
        <w:tc>
          <w:tcPr>
            <w:tcW w:type="dxa" w:w="2232"/>
            <w:vAlign w:val="center"/>
            <w:tcMar>
              <w:top w:w="90" w:type="dxa"/>
              <w:start w:w="110" w:type="dxa"/>
              <w:bottom w:w="90" w:type="dxa"/>
              <w:end w:w="110" w:type="dxa"/>
            </w:tcMar>
          </w:tcPr>
          <w:p>
            <w:pPr>
              <w:jc w:val="center"/>
            </w:pPr>
            <w:r>
              <w:rPr>
                <w:rFonts w:ascii="Aptos" w:hAnsi="Aptos"/>
                <w:color w:val="000000"/>
                <w:sz w:val="18"/>
              </w:rPr>
              <w:t>Lower learning rate</w:t>
            </w:r>
          </w:p>
        </w:tc>
      </w:tr>
    </w:tbl>
    <w:p>
      <w:pPr>
        <w:spacing w:after="20"/>
      </w:pPr>
    </w:p>
    <w:p>
      <w:pPr>
        <w:keepNext/>
        <w:jc w:val="center"/>
      </w:pPr>
      <w:r>
        <w:drawing>
          <wp:inline xmlns:a="http://schemas.openxmlformats.org/drawingml/2006/main" xmlns:pic="http://schemas.openxmlformats.org/drawingml/2006/picture">
            <wp:extent cx="5806440" cy="2322576"/>
            <wp:docPr id="1" name="Picture 1" descr="Bar charts comparing baseline and tuned LightGBM RMSLE and MAE"/>
            <wp:cNvGraphicFramePr>
              <a:graphicFrameLocks noChangeAspect="1"/>
            </wp:cNvGraphicFramePr>
            <a:graphic>
              <a:graphicData uri="http://schemas.openxmlformats.org/drawingml/2006/picture">
                <pic:pic>
                  <pic:nvPicPr>
                    <pic:cNvPr id="0" name="refine_hpo_comparison.png"/>
                    <pic:cNvPicPr/>
                  </pic:nvPicPr>
                  <pic:blipFill>
                    <a:blip r:embed="rId10"/>
                    <a:stretch>
                      <a:fillRect/>
                    </a:stretch>
                  </pic:blipFill>
                  <pic:spPr>
                    <a:xfrm>
                      <a:off x="0" y="0"/>
                      <a:ext cx="5806440" cy="2322576"/>
                    </a:xfrm>
                    <a:prstGeom prst="rect"/>
                  </pic:spPr>
                </pic:pic>
              </a:graphicData>
            </a:graphic>
          </wp:inline>
        </w:drawing>
      </w:r>
    </w:p>
    <w:p>
      <w:pPr>
        <w:spacing w:after="140"/>
        <w:jc w:val="center"/>
      </w:pPr>
      <w:r>
        <w:rPr>
          <w:rFonts w:ascii="Aptos" w:hAnsi="Aptos"/>
          <w:i/>
          <w:color w:val="555555"/>
          <w:sz w:val="17"/>
        </w:rPr>
        <w:t>Figure 1  Baseline and Optuna tuned holdout performance</w:t>
      </w:r>
    </w:p>
    <w:p>
      <w:pPr>
        <w:pStyle w:val="Heading2"/>
      </w:pPr>
      <w:r>
        <w:t>3 Refinement Techniques</w:t>
      </w:r>
    </w:p>
    <w:p>
      <w:pPr>
        <w:pStyle w:val="ListBullet"/>
        <w:spacing w:after="60"/>
      </w:pPr>
      <w:r>
        <w:rPr>
          <w:rFonts w:ascii="Aptos" w:hAnsi="Aptos"/>
          <w:color w:val="000000"/>
        </w:rPr>
        <w:t>Optuna TPE sampler ile 40 denemelik iç-validasyon araması yapıldı.</w:t>
      </w:r>
    </w:p>
    <w:p>
      <w:pPr>
        <w:pStyle w:val="ListBullet"/>
        <w:spacing w:after="60"/>
      </w:pPr>
      <w:r>
        <w:rPr>
          <w:rFonts w:ascii="Aptos" w:hAnsi="Aptos"/>
          <w:color w:val="000000"/>
        </w:rPr>
        <w:t>P10-P90, P5-P95 ve P8-P92 quantile bantları coverage ve pinball loss ile karşılaştırıldı.</w:t>
      </w:r>
    </w:p>
    <w:p>
      <w:pPr>
        <w:pStyle w:val="ListBullet"/>
        <w:spacing w:after="60"/>
      </w:pPr>
      <w:r>
        <w:rPr>
          <w:rFonts w:ascii="Aptos" w:hAnsi="Aptos"/>
          <w:color w:val="000000"/>
        </w:rPr>
        <w:t>Üç expanding-window fold, 10 haftalık recursive tahminle değerlendirildi.</w:t>
      </w:r>
    </w:p>
    <w:p>
      <w:pPr>
        <w:pStyle w:val="ListBullet"/>
        <w:spacing w:after="60"/>
      </w:pPr>
      <w:r>
        <w:rPr>
          <w:rFonts w:ascii="Aptos" w:hAnsi="Aptos"/>
          <w:color w:val="000000"/>
        </w:rPr>
        <w:t>Promotion, uzun geçmiş ve hybrid adayları düşük talep performansını koruyan guardrail'lerle test edildi.</w:t>
      </w:r>
    </w:p>
    <w:p>
      <w:r>
        <w:rPr>
          <w:rFonts w:ascii="Aptos" w:hAnsi="Aptos"/>
          <w:color w:val="000000"/>
        </w:rPr>
        <w:t>Uzun geçmiş adayının ortalama RMSLE'si %1.20 iyileşmesine rağmen son fold düşük talep RMSLE'si %1.99 kötüleşti. Hybrid aday genel RMSLE'yi %1.78 iyileştirdi; ancak düşük talep RMSLE'sindeki %0.65 gerileme %0.50 sınırını aştı. Bu nedenle iki aday da final submission'a alınmadı.</w:t>
      </w:r>
    </w:p>
    <w:p>
      <w:pPr>
        <w:pStyle w:val="Heading2"/>
      </w:pPr>
      <w:r>
        <w:t>4 Hyperparameter Tuning</w:t>
      </w:r>
    </w:p>
    <w:p>
      <w:r>
        <w:rPr>
          <w:rFonts w:ascii="Aptos" w:hAnsi="Aptos"/>
          <w:color w:val="000000"/>
        </w:rPr>
        <w:t>Optuna araması haftalar 1-125 üzerinde eğitildi ve haftalar 126-135 üzerinde seçildi. Haftalar 136-145 arama boyunca kapalı tutuldu. Tuned model daha düşük learning rate ve daha fazla boosting iteration kullanarak daha kademeli bir öğrenme düzeni oluşturdu.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tblHeader w:val="true"/>
        </w:trPr>
        <w:tc>
          <w:tcPr>
            <w:tcW w:type="dxa" w:w="3456"/>
            <w:vAlign w:val="center"/>
            <w:shd w:fill="24556A"/>
            <w:tcMar>
              <w:top w:w="90" w:type="dxa"/>
              <w:start w:w="110" w:type="dxa"/>
              <w:bottom w:w="90" w:type="dxa"/>
              <w:end w:w="110" w:type="dxa"/>
            </w:tcMar>
          </w:tcPr>
          <w:p>
            <w:pPr>
              <w:jc w:val="center"/>
            </w:pPr>
            <w:r>
              <w:rPr>
                <w:rFonts w:ascii="Aptos" w:hAnsi="Aptos"/>
                <w:b/>
                <w:color w:val="FFFFFF"/>
                <w:sz w:val="18"/>
              </w:rPr>
              <w:t>Parameter</w:t>
            </w:r>
          </w:p>
        </w:tc>
        <w:tc>
          <w:tcPr>
            <w:tcW w:type="dxa" w:w="2592"/>
            <w:vAlign w:val="center"/>
            <w:shd w:fill="24556A"/>
            <w:tcMar>
              <w:top w:w="90" w:type="dxa"/>
              <w:start w:w="110" w:type="dxa"/>
              <w:bottom w:w="90" w:type="dxa"/>
              <w:end w:w="110" w:type="dxa"/>
            </w:tcMar>
          </w:tcPr>
          <w:p>
            <w:pPr>
              <w:jc w:val="center"/>
            </w:pPr>
            <w:r>
              <w:rPr>
                <w:rFonts w:ascii="Aptos" w:hAnsi="Aptos"/>
                <w:b/>
                <w:color w:val="FFFFFF"/>
                <w:sz w:val="18"/>
              </w:rPr>
              <w:t>Baseline</w:t>
            </w:r>
          </w:p>
        </w:tc>
        <w:tc>
          <w:tcPr>
            <w:tcW w:type="dxa" w:w="2592"/>
            <w:vAlign w:val="center"/>
            <w:shd w:fill="24556A"/>
            <w:tcMar>
              <w:top w:w="90" w:type="dxa"/>
              <w:start w:w="110" w:type="dxa"/>
              <w:bottom w:w="90" w:type="dxa"/>
              <w:end w:w="110" w:type="dxa"/>
            </w:tcMar>
          </w:tcPr>
          <w:p>
            <w:pPr>
              <w:jc w:val="center"/>
            </w:pPr>
            <w:r>
              <w:rPr>
                <w:rFonts w:ascii="Aptos" w:hAnsi="Aptos"/>
                <w:b/>
                <w:color w:val="FFFFFF"/>
                <w:sz w:val="18"/>
              </w:rPr>
              <w:t>Tuned</w:t>
            </w:r>
          </w:p>
        </w:tc>
      </w:tr>
      <w:tr>
        <w:tc>
          <w:tcPr>
            <w:tcW w:type="dxa" w:w="3456"/>
            <w:vAlign w:val="center"/>
            <w:tcMar>
              <w:top w:w="90" w:type="dxa"/>
              <w:start w:w="110" w:type="dxa"/>
              <w:bottom w:w="90" w:type="dxa"/>
              <w:end w:w="110" w:type="dxa"/>
            </w:tcMar>
          </w:tcPr>
          <w:p>
            <w:pPr>
              <w:jc w:val="left"/>
            </w:pPr>
            <w:r>
              <w:rPr>
                <w:rFonts w:ascii="Aptos" w:hAnsi="Aptos"/>
                <w:color w:val="000000"/>
                <w:sz w:val="18"/>
              </w:rPr>
              <w:t>learning_rate</w:t>
            </w:r>
          </w:p>
        </w:tc>
        <w:tc>
          <w:tcPr>
            <w:tcW w:type="dxa" w:w="2592"/>
            <w:vAlign w:val="center"/>
            <w:tcMar>
              <w:top w:w="90" w:type="dxa"/>
              <w:start w:w="110" w:type="dxa"/>
              <w:bottom w:w="90" w:type="dxa"/>
              <w:end w:w="110" w:type="dxa"/>
            </w:tcMar>
          </w:tcPr>
          <w:p>
            <w:pPr>
              <w:jc w:val="center"/>
            </w:pPr>
            <w:r>
              <w:rPr>
                <w:rFonts w:ascii="Aptos" w:hAnsi="Aptos"/>
                <w:color w:val="000000"/>
                <w:sz w:val="18"/>
              </w:rPr>
              <w:t>0.05</w:t>
            </w:r>
          </w:p>
        </w:tc>
        <w:tc>
          <w:tcPr>
            <w:tcW w:type="dxa" w:w="2592"/>
            <w:vAlign w:val="center"/>
            <w:tcMar>
              <w:top w:w="90" w:type="dxa"/>
              <w:start w:w="110" w:type="dxa"/>
              <w:bottom w:w="90" w:type="dxa"/>
              <w:end w:w="110" w:type="dxa"/>
            </w:tcMar>
          </w:tcPr>
          <w:p>
            <w:pPr>
              <w:jc w:val="center"/>
            </w:pPr>
            <w:r>
              <w:rPr>
                <w:rFonts w:ascii="Aptos" w:hAnsi="Aptos"/>
                <w:color w:val="000000"/>
                <w:sz w:val="18"/>
              </w:rPr>
              <w:t>0.02692</w:t>
            </w:r>
          </w:p>
        </w:tc>
      </w:tr>
      <w:tr>
        <w:tc>
          <w:tcPr>
            <w:tcW w:type="dxa" w:w="3456"/>
            <w:vAlign w:val="center"/>
            <w:tcMar>
              <w:top w:w="90" w:type="dxa"/>
              <w:start w:w="110" w:type="dxa"/>
              <w:bottom w:w="90" w:type="dxa"/>
              <w:end w:w="110" w:type="dxa"/>
            </w:tcMar>
            <w:shd w:fill="EAF1F4"/>
          </w:tcPr>
          <w:p>
            <w:pPr>
              <w:jc w:val="left"/>
            </w:pPr>
            <w:r>
              <w:rPr>
                <w:rFonts w:ascii="Aptos" w:hAnsi="Aptos"/>
                <w:color w:val="000000"/>
                <w:sz w:val="18"/>
              </w:rPr>
              <w:t>num_leaves</w:t>
            </w:r>
          </w:p>
        </w:tc>
        <w:tc>
          <w:tcPr>
            <w:tcW w:type="dxa" w:w="2592"/>
            <w:vAlign w:val="center"/>
            <w:tcMar>
              <w:top w:w="90" w:type="dxa"/>
              <w:start w:w="110" w:type="dxa"/>
              <w:bottom w:w="90" w:type="dxa"/>
              <w:end w:w="110" w:type="dxa"/>
            </w:tcMar>
            <w:shd w:fill="EAF1F4"/>
          </w:tcPr>
          <w:p>
            <w:pPr>
              <w:jc w:val="center"/>
            </w:pPr>
            <w:r>
              <w:rPr>
                <w:rFonts w:ascii="Aptos" w:hAnsi="Aptos"/>
                <w:color w:val="000000"/>
                <w:sz w:val="18"/>
              </w:rPr>
              <w:t>63</w:t>
            </w:r>
          </w:p>
        </w:tc>
        <w:tc>
          <w:tcPr>
            <w:tcW w:type="dxa" w:w="2592"/>
            <w:vAlign w:val="center"/>
            <w:tcMar>
              <w:top w:w="90" w:type="dxa"/>
              <w:start w:w="110" w:type="dxa"/>
              <w:bottom w:w="90" w:type="dxa"/>
              <w:end w:w="110" w:type="dxa"/>
            </w:tcMar>
            <w:shd w:fill="EAF1F4"/>
          </w:tcPr>
          <w:p>
            <w:pPr>
              <w:jc w:val="center"/>
            </w:pPr>
            <w:r>
              <w:rPr>
                <w:rFonts w:ascii="Aptos" w:hAnsi="Aptos"/>
                <w:color w:val="000000"/>
                <w:sz w:val="18"/>
              </w:rPr>
              <w:t>64</w:t>
            </w:r>
          </w:p>
        </w:tc>
      </w:tr>
      <w:tr>
        <w:tc>
          <w:tcPr>
            <w:tcW w:type="dxa" w:w="3456"/>
            <w:vAlign w:val="center"/>
            <w:tcMar>
              <w:top w:w="90" w:type="dxa"/>
              <w:start w:w="110" w:type="dxa"/>
              <w:bottom w:w="90" w:type="dxa"/>
              <w:end w:w="110" w:type="dxa"/>
            </w:tcMar>
          </w:tcPr>
          <w:p>
            <w:pPr>
              <w:jc w:val="left"/>
            </w:pPr>
            <w:r>
              <w:rPr>
                <w:rFonts w:ascii="Aptos" w:hAnsi="Aptos"/>
                <w:color w:val="000000"/>
                <w:sz w:val="18"/>
              </w:rPr>
              <w:t>min_data_in_leaf</w:t>
            </w:r>
          </w:p>
        </w:tc>
        <w:tc>
          <w:tcPr>
            <w:tcW w:type="dxa" w:w="2592"/>
            <w:vAlign w:val="center"/>
            <w:tcMar>
              <w:top w:w="90" w:type="dxa"/>
              <w:start w:w="110" w:type="dxa"/>
              <w:bottom w:w="90" w:type="dxa"/>
              <w:end w:w="110" w:type="dxa"/>
            </w:tcMar>
          </w:tcPr>
          <w:p>
            <w:pPr>
              <w:jc w:val="center"/>
            </w:pPr>
            <w:r>
              <w:rPr>
                <w:rFonts w:ascii="Aptos" w:hAnsi="Aptos"/>
                <w:color w:val="000000"/>
                <w:sz w:val="18"/>
              </w:rPr>
              <w:t>30</w:t>
            </w:r>
          </w:p>
        </w:tc>
        <w:tc>
          <w:tcPr>
            <w:tcW w:type="dxa" w:w="2592"/>
            <w:vAlign w:val="center"/>
            <w:tcMar>
              <w:top w:w="90" w:type="dxa"/>
              <w:start w:w="110" w:type="dxa"/>
              <w:bottom w:w="90" w:type="dxa"/>
              <w:end w:w="110" w:type="dxa"/>
            </w:tcMar>
          </w:tcPr>
          <w:p>
            <w:pPr>
              <w:jc w:val="center"/>
            </w:pPr>
            <w:r>
              <w:rPr>
                <w:rFonts w:ascii="Aptos" w:hAnsi="Aptos"/>
                <w:color w:val="000000"/>
                <w:sz w:val="18"/>
              </w:rPr>
              <w:t>48</w:t>
            </w:r>
          </w:p>
        </w:tc>
      </w:tr>
      <w:tr>
        <w:tc>
          <w:tcPr>
            <w:tcW w:type="dxa" w:w="3456"/>
            <w:vAlign w:val="center"/>
            <w:tcMar>
              <w:top w:w="90" w:type="dxa"/>
              <w:start w:w="110" w:type="dxa"/>
              <w:bottom w:w="90" w:type="dxa"/>
              <w:end w:w="110" w:type="dxa"/>
            </w:tcMar>
            <w:shd w:fill="EAF1F4"/>
          </w:tcPr>
          <w:p>
            <w:pPr>
              <w:jc w:val="left"/>
            </w:pPr>
            <w:r>
              <w:rPr>
                <w:rFonts w:ascii="Aptos" w:hAnsi="Aptos"/>
                <w:color w:val="000000"/>
                <w:sz w:val="18"/>
              </w:rPr>
              <w:t>feature_fraction</w:t>
            </w:r>
          </w:p>
        </w:tc>
        <w:tc>
          <w:tcPr>
            <w:tcW w:type="dxa" w:w="2592"/>
            <w:vAlign w:val="center"/>
            <w:tcMar>
              <w:top w:w="90" w:type="dxa"/>
              <w:start w:w="110" w:type="dxa"/>
              <w:bottom w:w="90" w:type="dxa"/>
              <w:end w:w="110" w:type="dxa"/>
            </w:tcMar>
            <w:shd w:fill="EAF1F4"/>
          </w:tcPr>
          <w:p>
            <w:pPr>
              <w:jc w:val="center"/>
            </w:pPr>
            <w:r>
              <w:rPr>
                <w:rFonts w:ascii="Aptos" w:hAnsi="Aptos"/>
                <w:color w:val="000000"/>
                <w:sz w:val="18"/>
              </w:rPr>
              <w:t>0.90</w:t>
            </w:r>
          </w:p>
        </w:tc>
        <w:tc>
          <w:tcPr>
            <w:tcW w:type="dxa" w:w="2592"/>
            <w:vAlign w:val="center"/>
            <w:tcMar>
              <w:top w:w="90" w:type="dxa"/>
              <w:start w:w="110" w:type="dxa"/>
              <w:bottom w:w="90" w:type="dxa"/>
              <w:end w:w="110" w:type="dxa"/>
            </w:tcMar>
            <w:shd w:fill="EAF1F4"/>
          </w:tcPr>
          <w:p>
            <w:pPr>
              <w:jc w:val="center"/>
            </w:pPr>
            <w:r>
              <w:rPr>
                <w:rFonts w:ascii="Aptos" w:hAnsi="Aptos"/>
                <w:color w:val="000000"/>
                <w:sz w:val="18"/>
              </w:rPr>
              <w:t>0.70831</w:t>
            </w:r>
          </w:p>
        </w:tc>
      </w:tr>
      <w:tr>
        <w:tc>
          <w:tcPr>
            <w:tcW w:type="dxa" w:w="3456"/>
            <w:vAlign w:val="center"/>
            <w:tcMar>
              <w:top w:w="90" w:type="dxa"/>
              <w:start w:w="110" w:type="dxa"/>
              <w:bottom w:w="90" w:type="dxa"/>
              <w:end w:w="110" w:type="dxa"/>
            </w:tcMar>
          </w:tcPr>
          <w:p>
            <w:pPr>
              <w:jc w:val="left"/>
            </w:pPr>
            <w:r>
              <w:rPr>
                <w:rFonts w:ascii="Aptos" w:hAnsi="Aptos"/>
                <w:color w:val="000000"/>
                <w:sz w:val="18"/>
              </w:rPr>
              <w:t>bagging_fraction</w:t>
            </w:r>
          </w:p>
        </w:tc>
        <w:tc>
          <w:tcPr>
            <w:tcW w:type="dxa" w:w="2592"/>
            <w:vAlign w:val="center"/>
            <w:tcMar>
              <w:top w:w="90" w:type="dxa"/>
              <w:start w:w="110" w:type="dxa"/>
              <w:bottom w:w="90" w:type="dxa"/>
              <w:end w:w="110" w:type="dxa"/>
            </w:tcMar>
          </w:tcPr>
          <w:p>
            <w:pPr>
              <w:jc w:val="center"/>
            </w:pPr>
            <w:r>
              <w:rPr>
                <w:rFonts w:ascii="Aptos" w:hAnsi="Aptos"/>
                <w:color w:val="000000"/>
                <w:sz w:val="18"/>
              </w:rPr>
              <w:t>0.90</w:t>
            </w:r>
          </w:p>
        </w:tc>
        <w:tc>
          <w:tcPr>
            <w:tcW w:type="dxa" w:w="2592"/>
            <w:vAlign w:val="center"/>
            <w:tcMar>
              <w:top w:w="90" w:type="dxa"/>
              <w:start w:w="110" w:type="dxa"/>
              <w:bottom w:w="90" w:type="dxa"/>
              <w:end w:w="110" w:type="dxa"/>
            </w:tcMar>
          </w:tcPr>
          <w:p>
            <w:pPr>
              <w:jc w:val="center"/>
            </w:pPr>
            <w:r>
              <w:rPr>
                <w:rFonts w:ascii="Aptos" w:hAnsi="Aptos"/>
                <w:color w:val="000000"/>
                <w:sz w:val="18"/>
              </w:rPr>
              <w:t>0.84549</w:t>
            </w:r>
          </w:p>
        </w:tc>
      </w:tr>
      <w:tr>
        <w:tc>
          <w:tcPr>
            <w:tcW w:type="dxa" w:w="3456"/>
            <w:vAlign w:val="center"/>
            <w:tcMar>
              <w:top w:w="90" w:type="dxa"/>
              <w:start w:w="110" w:type="dxa"/>
              <w:bottom w:w="90" w:type="dxa"/>
              <w:end w:w="110" w:type="dxa"/>
            </w:tcMar>
            <w:shd w:fill="EAF1F4"/>
          </w:tcPr>
          <w:p>
            <w:pPr>
              <w:jc w:val="left"/>
            </w:pPr>
            <w:r>
              <w:rPr>
                <w:rFonts w:ascii="Aptos" w:hAnsi="Aptos"/>
                <w:color w:val="000000"/>
                <w:sz w:val="18"/>
              </w:rPr>
              <w:t>bagging_freq</w:t>
            </w:r>
          </w:p>
        </w:tc>
        <w:tc>
          <w:tcPr>
            <w:tcW w:type="dxa" w:w="2592"/>
            <w:vAlign w:val="center"/>
            <w:tcMar>
              <w:top w:w="90" w:type="dxa"/>
              <w:start w:w="110" w:type="dxa"/>
              <w:bottom w:w="90" w:type="dxa"/>
              <w:end w:w="110" w:type="dxa"/>
            </w:tcMar>
            <w:shd w:fill="EAF1F4"/>
          </w:tcPr>
          <w:p>
            <w:pPr>
              <w:jc w:val="center"/>
            </w:pPr>
            <w:r>
              <w:rPr>
                <w:rFonts w:ascii="Aptos" w:hAnsi="Aptos"/>
                <w:color w:val="000000"/>
                <w:sz w:val="18"/>
              </w:rPr>
              <w:t>1</w:t>
            </w:r>
          </w:p>
        </w:tc>
        <w:tc>
          <w:tcPr>
            <w:tcW w:type="dxa" w:w="2592"/>
            <w:vAlign w:val="center"/>
            <w:tcMar>
              <w:top w:w="90" w:type="dxa"/>
              <w:start w:w="110" w:type="dxa"/>
              <w:bottom w:w="90" w:type="dxa"/>
              <w:end w:w="110" w:type="dxa"/>
            </w:tcMar>
            <w:shd w:fill="EAF1F4"/>
          </w:tcPr>
          <w:p>
            <w:pPr>
              <w:jc w:val="center"/>
            </w:pPr>
            <w:r>
              <w:rPr>
                <w:rFonts w:ascii="Aptos" w:hAnsi="Aptos"/>
                <w:color w:val="000000"/>
                <w:sz w:val="18"/>
              </w:rPr>
              <w:t>4</w:t>
            </w:r>
          </w:p>
        </w:tc>
      </w:tr>
      <w:tr>
        <w:tc>
          <w:tcPr>
            <w:tcW w:type="dxa" w:w="3456"/>
            <w:vAlign w:val="center"/>
            <w:tcMar>
              <w:top w:w="90" w:type="dxa"/>
              <w:start w:w="110" w:type="dxa"/>
              <w:bottom w:w="90" w:type="dxa"/>
              <w:end w:w="110" w:type="dxa"/>
            </w:tcMar>
          </w:tcPr>
          <w:p>
            <w:pPr>
              <w:jc w:val="left"/>
            </w:pPr>
            <w:r>
              <w:rPr>
                <w:rFonts w:ascii="Aptos" w:hAnsi="Aptos"/>
                <w:color w:val="000000"/>
                <w:sz w:val="18"/>
              </w:rPr>
              <w:t>lambda_l1</w:t>
            </w:r>
          </w:p>
        </w:tc>
        <w:tc>
          <w:tcPr>
            <w:tcW w:type="dxa" w:w="2592"/>
            <w:vAlign w:val="center"/>
            <w:tcMar>
              <w:top w:w="90" w:type="dxa"/>
              <w:start w:w="110" w:type="dxa"/>
              <w:bottom w:w="90" w:type="dxa"/>
              <w:end w:w="110" w:type="dxa"/>
            </w:tcMar>
          </w:tcPr>
          <w:p>
            <w:pPr>
              <w:jc w:val="center"/>
            </w:pPr>
            <w:r>
              <w:rPr>
                <w:rFonts w:ascii="Aptos" w:hAnsi="Aptos"/>
                <w:color w:val="000000"/>
                <w:sz w:val="18"/>
              </w:rPr>
              <w:t>0</w:t>
            </w:r>
          </w:p>
        </w:tc>
        <w:tc>
          <w:tcPr>
            <w:tcW w:type="dxa" w:w="2592"/>
            <w:vAlign w:val="center"/>
            <w:tcMar>
              <w:top w:w="90" w:type="dxa"/>
              <w:start w:w="110" w:type="dxa"/>
              <w:bottom w:w="90" w:type="dxa"/>
              <w:end w:w="110" w:type="dxa"/>
            </w:tcMar>
          </w:tcPr>
          <w:p>
            <w:pPr>
              <w:jc w:val="center"/>
            </w:pPr>
            <w:r>
              <w:rPr>
                <w:rFonts w:ascii="Aptos" w:hAnsi="Aptos"/>
                <w:color w:val="000000"/>
                <w:sz w:val="18"/>
              </w:rPr>
              <w:t>0.01920</w:t>
            </w:r>
          </w:p>
        </w:tc>
      </w:tr>
      <w:tr>
        <w:tc>
          <w:tcPr>
            <w:tcW w:type="dxa" w:w="3456"/>
            <w:vAlign w:val="center"/>
            <w:tcMar>
              <w:top w:w="90" w:type="dxa"/>
              <w:start w:w="110" w:type="dxa"/>
              <w:bottom w:w="90" w:type="dxa"/>
              <w:end w:w="110" w:type="dxa"/>
            </w:tcMar>
            <w:shd w:fill="EAF1F4"/>
          </w:tcPr>
          <w:p>
            <w:pPr>
              <w:jc w:val="left"/>
            </w:pPr>
            <w:r>
              <w:rPr>
                <w:rFonts w:ascii="Aptos" w:hAnsi="Aptos"/>
                <w:color w:val="000000"/>
                <w:sz w:val="18"/>
              </w:rPr>
              <w:t>lambda_l2</w:t>
            </w:r>
          </w:p>
        </w:tc>
        <w:tc>
          <w:tcPr>
            <w:tcW w:type="dxa" w:w="2592"/>
            <w:vAlign w:val="center"/>
            <w:tcMar>
              <w:top w:w="90" w:type="dxa"/>
              <w:start w:w="110" w:type="dxa"/>
              <w:bottom w:w="90" w:type="dxa"/>
              <w:end w:w="110" w:type="dxa"/>
            </w:tcMar>
            <w:shd w:fill="EAF1F4"/>
          </w:tcPr>
          <w:p>
            <w:pPr>
              <w:jc w:val="center"/>
            </w:pPr>
            <w:r>
              <w:rPr>
                <w:rFonts w:ascii="Aptos" w:hAnsi="Aptos"/>
                <w:color w:val="000000"/>
                <w:sz w:val="18"/>
              </w:rPr>
              <w:t>0</w:t>
            </w:r>
          </w:p>
        </w:tc>
        <w:tc>
          <w:tcPr>
            <w:tcW w:type="dxa" w:w="2592"/>
            <w:vAlign w:val="center"/>
            <w:tcMar>
              <w:top w:w="90" w:type="dxa"/>
              <w:start w:w="110" w:type="dxa"/>
              <w:bottom w:w="90" w:type="dxa"/>
              <w:end w:w="110" w:type="dxa"/>
            </w:tcMar>
            <w:shd w:fill="EAF1F4"/>
          </w:tcPr>
          <w:p>
            <w:pPr>
              <w:jc w:val="center"/>
            </w:pPr>
            <w:r>
              <w:rPr>
                <w:rFonts w:ascii="Aptos" w:hAnsi="Aptos"/>
                <w:color w:val="000000"/>
                <w:sz w:val="18"/>
              </w:rPr>
              <w:t>0.000055</w:t>
            </w:r>
          </w:p>
        </w:tc>
      </w:tr>
    </w:tbl>
    <w:p>
      <w:pPr>
        <w:spacing w:after="20"/>
      </w:pPr>
    </w:p>
    <w:p>
      <w:pPr>
        <w:spacing w:before="60" w:after="120"/>
        <w:ind w:left="360" w:right="360"/>
      </w:pPr>
      <w:r>
        <w:rPr>
          <w:rFonts w:ascii="Consolas" w:hAnsi="Consolas"/>
          <w:color w:val="000000"/>
          <w:sz w:val="16"/>
        </w:rPr>
        <w:t>inner_train = data[data.week &lt;= 125]</w:t>
        <w:br/>
      </w:r>
      <w:r>
        <w:rPr>
          <w:rFonts w:ascii="Consolas" w:hAnsi="Consolas"/>
          <w:color w:val="000000"/>
          <w:sz w:val="16"/>
        </w:rPr>
        <w:t>inner_valid = data[(data.week &gt;= 126) &amp; (data.week &lt;= 135)]</w:t>
        <w:br/>
      </w:r>
      <w:r>
        <w:rPr>
          <w:rFonts w:ascii="Consolas" w:hAnsi="Consolas"/>
          <w:color w:val="000000"/>
          <w:sz w:val="16"/>
        </w:rPr>
        <w:t>study.optimize(objective, n_trials=40)</w:t>
      </w:r>
    </w:p>
    <w:p>
      <w:pPr>
        <w:pStyle w:val="Heading2"/>
      </w:pPr>
      <w:r>
        <w:t>5 Cross Validation</w:t>
      </w:r>
    </w:p>
    <w:p>
      <w:r>
        <w:rPr>
          <w:rFonts w:ascii="Aptos" w:hAnsi="Aptos"/>
          <w:color w:val="000000"/>
        </w:rPr>
        <w:t>Final doğrulama, eğitim bitiş haftaları 115, 125 ve 135 olan üç expanding-window fold kullanır. Her fold sonraki 10 haftayı tahmin eder. İlk doğrulama haftasının lag değerleri geçmiş gerçek talepten, sonraki haftaların lag değerleri ise önceki model tahminlerinden oluşturulur. Böylece statik 10 haftalık submission koşulu taklit edilir ve gelecekteki hedeflerden sızıntı önlenir.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3"/>
        <w:gridCol w:w="1933"/>
        <w:gridCol w:w="1933"/>
        <w:gridCol w:w="1933"/>
        <w:gridCol w:w="1933"/>
      </w:tblGrid>
      <w:tr>
        <w:trPr>
          <w:tblHeader w:val="true"/>
        </w:trPr>
        <w:tc>
          <w:tcPr>
            <w:tcW w:type="dxa" w:w="1872"/>
            <w:vAlign w:val="center"/>
            <w:shd w:fill="24556A"/>
            <w:tcMar>
              <w:top w:w="90" w:type="dxa"/>
              <w:start w:w="110" w:type="dxa"/>
              <w:bottom w:w="90" w:type="dxa"/>
              <w:end w:w="110" w:type="dxa"/>
            </w:tcMar>
          </w:tcPr>
          <w:p>
            <w:pPr>
              <w:jc w:val="center"/>
            </w:pPr>
            <w:r>
              <w:rPr>
                <w:rFonts w:ascii="Aptos" w:hAnsi="Aptos"/>
                <w:b/>
                <w:color w:val="FFFFFF"/>
                <w:sz w:val="18"/>
              </w:rPr>
              <w:t>Validation weeks</w:t>
            </w:r>
          </w:p>
        </w:tc>
        <w:tc>
          <w:tcPr>
            <w:tcW w:type="dxa" w:w="1728"/>
            <w:vAlign w:val="center"/>
            <w:shd w:fill="24556A"/>
            <w:tcMar>
              <w:top w:w="90" w:type="dxa"/>
              <w:start w:w="110" w:type="dxa"/>
              <w:bottom w:w="90" w:type="dxa"/>
              <w:end w:w="110" w:type="dxa"/>
            </w:tcMar>
          </w:tcPr>
          <w:p>
            <w:pPr>
              <w:jc w:val="center"/>
            </w:pPr>
            <w:r>
              <w:rPr>
                <w:rFonts w:ascii="Aptos" w:hAnsi="Aptos"/>
                <w:b/>
                <w:color w:val="FFFFFF"/>
                <w:sz w:val="18"/>
              </w:rPr>
              <w:t>Model RMSLE</w:t>
            </w:r>
          </w:p>
        </w:tc>
        <w:tc>
          <w:tcPr>
            <w:tcW w:type="dxa" w:w="1512"/>
            <w:vAlign w:val="center"/>
            <w:shd w:fill="24556A"/>
            <w:tcMar>
              <w:top w:w="90" w:type="dxa"/>
              <w:start w:w="110" w:type="dxa"/>
              <w:bottom w:w="90" w:type="dxa"/>
              <w:end w:w="110" w:type="dxa"/>
            </w:tcMar>
          </w:tcPr>
          <w:p>
            <w:pPr>
              <w:jc w:val="center"/>
            </w:pPr>
            <w:r>
              <w:rPr>
                <w:rFonts w:ascii="Aptos" w:hAnsi="Aptos"/>
                <w:b/>
                <w:color w:val="FFFFFF"/>
                <w:sz w:val="18"/>
              </w:rPr>
              <w:t>Model MAE</w:t>
            </w:r>
          </w:p>
        </w:tc>
        <w:tc>
          <w:tcPr>
            <w:tcW w:type="dxa" w:w="2088"/>
            <w:vAlign w:val="center"/>
            <w:shd w:fill="24556A"/>
            <w:tcMar>
              <w:top w:w="90" w:type="dxa"/>
              <w:start w:w="110" w:type="dxa"/>
              <w:bottom w:w="90" w:type="dxa"/>
              <w:end w:w="110" w:type="dxa"/>
            </w:tcMar>
          </w:tcPr>
          <w:p>
            <w:pPr>
              <w:jc w:val="center"/>
            </w:pPr>
            <w:r>
              <w:rPr>
                <w:rFonts w:ascii="Aptos" w:hAnsi="Aptos"/>
                <w:b/>
                <w:color w:val="FFFFFF"/>
                <w:sz w:val="18"/>
              </w:rPr>
              <w:t>Persistence RMSLE</w:t>
            </w:r>
          </w:p>
        </w:tc>
        <w:tc>
          <w:tcPr>
            <w:tcW w:type="dxa" w:w="1728"/>
            <w:vAlign w:val="center"/>
            <w:shd w:fill="24556A"/>
            <w:tcMar>
              <w:top w:w="90" w:type="dxa"/>
              <w:start w:w="110" w:type="dxa"/>
              <w:bottom w:w="90" w:type="dxa"/>
              <w:end w:w="110" w:type="dxa"/>
            </w:tcMar>
          </w:tcPr>
          <w:p>
            <w:pPr>
              <w:jc w:val="center"/>
            </w:pPr>
            <w:r>
              <w:rPr>
                <w:rFonts w:ascii="Aptos" w:hAnsi="Aptos"/>
                <w:b/>
                <w:color w:val="FFFFFF"/>
                <w:sz w:val="18"/>
              </w:rPr>
              <w:t>Improvement</w:t>
            </w:r>
          </w:p>
        </w:tc>
      </w:tr>
      <w:tr>
        <w:tc>
          <w:tcPr>
            <w:tcW w:type="dxa" w:w="1872"/>
            <w:vAlign w:val="center"/>
            <w:tcMar>
              <w:top w:w="90" w:type="dxa"/>
              <w:start w:w="110" w:type="dxa"/>
              <w:bottom w:w="90" w:type="dxa"/>
              <w:end w:w="110" w:type="dxa"/>
            </w:tcMar>
          </w:tcPr>
          <w:p>
            <w:pPr>
              <w:jc w:val="left"/>
            </w:pPr>
            <w:r>
              <w:rPr>
                <w:rFonts w:ascii="Aptos" w:hAnsi="Aptos"/>
                <w:color w:val="000000"/>
                <w:sz w:val="18"/>
              </w:rPr>
              <w:t>116-125</w:t>
            </w:r>
          </w:p>
        </w:tc>
        <w:tc>
          <w:tcPr>
            <w:tcW w:type="dxa" w:w="1728"/>
            <w:vAlign w:val="center"/>
            <w:tcMar>
              <w:top w:w="90" w:type="dxa"/>
              <w:start w:w="110" w:type="dxa"/>
              <w:bottom w:w="90" w:type="dxa"/>
              <w:end w:w="110" w:type="dxa"/>
            </w:tcMar>
          </w:tcPr>
          <w:p>
            <w:pPr>
              <w:jc w:val="center"/>
            </w:pPr>
            <w:r>
              <w:rPr>
                <w:rFonts w:ascii="Aptos" w:hAnsi="Aptos"/>
                <w:color w:val="000000"/>
                <w:sz w:val="18"/>
              </w:rPr>
              <w:t>0.49678</w:t>
            </w:r>
          </w:p>
        </w:tc>
        <w:tc>
          <w:tcPr>
            <w:tcW w:type="dxa" w:w="1512"/>
            <w:vAlign w:val="center"/>
            <w:tcMar>
              <w:top w:w="90" w:type="dxa"/>
              <w:start w:w="110" w:type="dxa"/>
              <w:bottom w:w="90" w:type="dxa"/>
              <w:end w:w="110" w:type="dxa"/>
            </w:tcMar>
          </w:tcPr>
          <w:p>
            <w:pPr>
              <w:jc w:val="center"/>
            </w:pPr>
            <w:r>
              <w:rPr>
                <w:rFonts w:ascii="Aptos" w:hAnsi="Aptos"/>
                <w:color w:val="000000"/>
                <w:sz w:val="18"/>
              </w:rPr>
              <w:t>71.87</w:t>
            </w:r>
          </w:p>
        </w:tc>
        <w:tc>
          <w:tcPr>
            <w:tcW w:type="dxa" w:w="2088"/>
            <w:vAlign w:val="center"/>
            <w:tcMar>
              <w:top w:w="90" w:type="dxa"/>
              <w:start w:w="110" w:type="dxa"/>
              <w:bottom w:w="90" w:type="dxa"/>
              <w:end w:w="110" w:type="dxa"/>
            </w:tcMar>
          </w:tcPr>
          <w:p>
            <w:pPr>
              <w:jc w:val="center"/>
            </w:pPr>
            <w:r>
              <w:rPr>
                <w:rFonts w:ascii="Aptos" w:hAnsi="Aptos"/>
                <w:color w:val="000000"/>
                <w:sz w:val="18"/>
              </w:rPr>
              <w:t>0.82789</w:t>
            </w:r>
          </w:p>
        </w:tc>
        <w:tc>
          <w:tcPr>
            <w:tcW w:type="dxa" w:w="1728"/>
            <w:vAlign w:val="center"/>
            <w:tcMar>
              <w:top w:w="90" w:type="dxa"/>
              <w:start w:w="110" w:type="dxa"/>
              <w:bottom w:w="90" w:type="dxa"/>
              <w:end w:w="110" w:type="dxa"/>
            </w:tcMar>
          </w:tcPr>
          <w:p>
            <w:pPr>
              <w:jc w:val="center"/>
            </w:pPr>
            <w:r>
              <w:rPr>
                <w:rFonts w:ascii="Aptos" w:hAnsi="Aptos"/>
                <w:color w:val="000000"/>
                <w:sz w:val="18"/>
              </w:rPr>
              <w:t>%39.99</w:t>
            </w:r>
          </w:p>
        </w:tc>
      </w:tr>
      <w:tr>
        <w:tc>
          <w:tcPr>
            <w:tcW w:type="dxa" w:w="1872"/>
            <w:vAlign w:val="center"/>
            <w:tcMar>
              <w:top w:w="90" w:type="dxa"/>
              <w:start w:w="110" w:type="dxa"/>
              <w:bottom w:w="90" w:type="dxa"/>
              <w:end w:w="110" w:type="dxa"/>
            </w:tcMar>
            <w:shd w:fill="EAF1F4"/>
          </w:tcPr>
          <w:p>
            <w:pPr>
              <w:jc w:val="left"/>
            </w:pPr>
            <w:r>
              <w:rPr>
                <w:rFonts w:ascii="Aptos" w:hAnsi="Aptos"/>
                <w:color w:val="000000"/>
                <w:sz w:val="18"/>
              </w:rPr>
              <w:t>126-135</w:t>
            </w:r>
          </w:p>
        </w:tc>
        <w:tc>
          <w:tcPr>
            <w:tcW w:type="dxa" w:w="1728"/>
            <w:vAlign w:val="center"/>
            <w:tcMar>
              <w:top w:w="90" w:type="dxa"/>
              <w:start w:w="110" w:type="dxa"/>
              <w:bottom w:w="90" w:type="dxa"/>
              <w:end w:w="110" w:type="dxa"/>
            </w:tcMar>
            <w:shd w:fill="EAF1F4"/>
          </w:tcPr>
          <w:p>
            <w:pPr>
              <w:jc w:val="center"/>
            </w:pPr>
            <w:r>
              <w:rPr>
                <w:rFonts w:ascii="Aptos" w:hAnsi="Aptos"/>
                <w:color w:val="000000"/>
                <w:sz w:val="18"/>
              </w:rPr>
              <w:t>0.49646</w:t>
            </w:r>
          </w:p>
        </w:tc>
        <w:tc>
          <w:tcPr>
            <w:tcW w:type="dxa" w:w="1512"/>
            <w:vAlign w:val="center"/>
            <w:tcMar>
              <w:top w:w="90" w:type="dxa"/>
              <w:start w:w="110" w:type="dxa"/>
              <w:bottom w:w="90" w:type="dxa"/>
              <w:end w:w="110" w:type="dxa"/>
            </w:tcMar>
            <w:shd w:fill="EAF1F4"/>
          </w:tcPr>
          <w:p>
            <w:pPr>
              <w:jc w:val="center"/>
            </w:pPr>
            <w:r>
              <w:rPr>
                <w:rFonts w:ascii="Aptos" w:hAnsi="Aptos"/>
                <w:color w:val="000000"/>
                <w:sz w:val="18"/>
              </w:rPr>
              <w:t>82.70</w:t>
            </w:r>
          </w:p>
        </w:tc>
        <w:tc>
          <w:tcPr>
            <w:tcW w:type="dxa" w:w="2088"/>
            <w:vAlign w:val="center"/>
            <w:tcMar>
              <w:top w:w="90" w:type="dxa"/>
              <w:start w:w="110" w:type="dxa"/>
              <w:bottom w:w="90" w:type="dxa"/>
              <w:end w:w="110" w:type="dxa"/>
            </w:tcMar>
            <w:shd w:fill="EAF1F4"/>
          </w:tcPr>
          <w:p>
            <w:pPr>
              <w:jc w:val="center"/>
            </w:pPr>
            <w:r>
              <w:rPr>
                <w:rFonts w:ascii="Aptos" w:hAnsi="Aptos"/>
                <w:color w:val="000000"/>
                <w:sz w:val="18"/>
              </w:rPr>
              <w:t>0.83344</w:t>
            </w:r>
          </w:p>
        </w:tc>
        <w:tc>
          <w:tcPr>
            <w:tcW w:type="dxa" w:w="1728"/>
            <w:vAlign w:val="center"/>
            <w:tcMar>
              <w:top w:w="90" w:type="dxa"/>
              <w:start w:w="110" w:type="dxa"/>
              <w:bottom w:w="90" w:type="dxa"/>
              <w:end w:w="110" w:type="dxa"/>
            </w:tcMar>
            <w:shd w:fill="EAF1F4"/>
          </w:tcPr>
          <w:p>
            <w:pPr>
              <w:jc w:val="center"/>
            </w:pPr>
            <w:r>
              <w:rPr>
                <w:rFonts w:ascii="Aptos" w:hAnsi="Aptos"/>
                <w:color w:val="000000"/>
                <w:sz w:val="18"/>
              </w:rPr>
              <w:t>%40.43</w:t>
            </w:r>
          </w:p>
        </w:tc>
      </w:tr>
      <w:tr>
        <w:tc>
          <w:tcPr>
            <w:tcW w:type="dxa" w:w="1872"/>
            <w:vAlign w:val="center"/>
            <w:tcMar>
              <w:top w:w="90" w:type="dxa"/>
              <w:start w:w="110" w:type="dxa"/>
              <w:bottom w:w="90" w:type="dxa"/>
              <w:end w:w="110" w:type="dxa"/>
            </w:tcMar>
          </w:tcPr>
          <w:p>
            <w:pPr>
              <w:jc w:val="left"/>
            </w:pPr>
            <w:r>
              <w:rPr>
                <w:rFonts w:ascii="Aptos" w:hAnsi="Aptos"/>
                <w:color w:val="000000"/>
                <w:sz w:val="18"/>
              </w:rPr>
              <w:t>136-145</w:t>
            </w:r>
          </w:p>
        </w:tc>
        <w:tc>
          <w:tcPr>
            <w:tcW w:type="dxa" w:w="1728"/>
            <w:vAlign w:val="center"/>
            <w:tcMar>
              <w:top w:w="90" w:type="dxa"/>
              <w:start w:w="110" w:type="dxa"/>
              <w:bottom w:w="90" w:type="dxa"/>
              <w:end w:w="110" w:type="dxa"/>
            </w:tcMar>
          </w:tcPr>
          <w:p>
            <w:pPr>
              <w:jc w:val="center"/>
            </w:pPr>
            <w:r>
              <w:rPr>
                <w:rFonts w:ascii="Aptos" w:hAnsi="Aptos"/>
                <w:color w:val="000000"/>
                <w:sz w:val="18"/>
              </w:rPr>
              <w:t>0.50176</w:t>
            </w:r>
          </w:p>
        </w:tc>
        <w:tc>
          <w:tcPr>
            <w:tcW w:type="dxa" w:w="1512"/>
            <w:vAlign w:val="center"/>
            <w:tcMar>
              <w:top w:w="90" w:type="dxa"/>
              <w:start w:w="110" w:type="dxa"/>
              <w:bottom w:w="90" w:type="dxa"/>
              <w:end w:w="110" w:type="dxa"/>
            </w:tcMar>
          </w:tcPr>
          <w:p>
            <w:pPr>
              <w:jc w:val="center"/>
            </w:pPr>
            <w:r>
              <w:rPr>
                <w:rFonts w:ascii="Aptos" w:hAnsi="Aptos"/>
                <w:color w:val="000000"/>
                <w:sz w:val="18"/>
              </w:rPr>
              <w:t>70.52</w:t>
            </w:r>
          </w:p>
        </w:tc>
        <w:tc>
          <w:tcPr>
            <w:tcW w:type="dxa" w:w="2088"/>
            <w:vAlign w:val="center"/>
            <w:tcMar>
              <w:top w:w="90" w:type="dxa"/>
              <w:start w:w="110" w:type="dxa"/>
              <w:bottom w:w="90" w:type="dxa"/>
              <w:end w:w="110" w:type="dxa"/>
            </w:tcMar>
          </w:tcPr>
          <w:p>
            <w:pPr>
              <w:jc w:val="center"/>
            </w:pPr>
            <w:r>
              <w:rPr>
                <w:rFonts w:ascii="Aptos" w:hAnsi="Aptos"/>
                <w:color w:val="000000"/>
                <w:sz w:val="18"/>
              </w:rPr>
              <w:t>0.76658</w:t>
            </w:r>
          </w:p>
        </w:tc>
        <w:tc>
          <w:tcPr>
            <w:tcW w:type="dxa" w:w="1728"/>
            <w:vAlign w:val="center"/>
            <w:tcMar>
              <w:top w:w="90" w:type="dxa"/>
              <w:start w:w="110" w:type="dxa"/>
              <w:bottom w:w="90" w:type="dxa"/>
              <w:end w:w="110" w:type="dxa"/>
            </w:tcMar>
          </w:tcPr>
          <w:p>
            <w:pPr>
              <w:jc w:val="center"/>
            </w:pPr>
            <w:r>
              <w:rPr>
                <w:rFonts w:ascii="Aptos" w:hAnsi="Aptos"/>
                <w:color w:val="000000"/>
                <w:sz w:val="18"/>
              </w:rPr>
              <w:t>%34.55</w:t>
            </w:r>
          </w:p>
        </w:tc>
      </w:tr>
      <w:tr>
        <w:tc>
          <w:tcPr>
            <w:tcW w:type="dxa" w:w="1872"/>
            <w:vAlign w:val="center"/>
            <w:tcMar>
              <w:top w:w="90" w:type="dxa"/>
              <w:start w:w="110" w:type="dxa"/>
              <w:bottom w:w="90" w:type="dxa"/>
              <w:end w:w="110" w:type="dxa"/>
            </w:tcMar>
            <w:shd w:fill="EAF1F4"/>
          </w:tcPr>
          <w:p>
            <w:pPr>
              <w:jc w:val="left"/>
            </w:pPr>
            <w:r>
              <w:rPr>
                <w:rFonts w:ascii="Aptos" w:hAnsi="Aptos"/>
                <w:color w:val="000000"/>
                <w:sz w:val="18"/>
              </w:rPr>
              <w:t>Mean</w:t>
            </w:r>
          </w:p>
        </w:tc>
        <w:tc>
          <w:tcPr>
            <w:tcW w:type="dxa" w:w="1728"/>
            <w:vAlign w:val="center"/>
            <w:tcMar>
              <w:top w:w="90" w:type="dxa"/>
              <w:start w:w="110" w:type="dxa"/>
              <w:bottom w:w="90" w:type="dxa"/>
              <w:end w:w="110" w:type="dxa"/>
            </w:tcMar>
            <w:shd w:fill="EAF1F4"/>
          </w:tcPr>
          <w:p>
            <w:pPr>
              <w:jc w:val="center"/>
            </w:pPr>
            <w:r>
              <w:rPr>
                <w:rFonts w:ascii="Aptos" w:hAnsi="Aptos"/>
                <w:color w:val="000000"/>
                <w:sz w:val="18"/>
              </w:rPr>
              <w:t>0.49833</w:t>
            </w:r>
          </w:p>
        </w:tc>
        <w:tc>
          <w:tcPr>
            <w:tcW w:type="dxa" w:w="1512"/>
            <w:vAlign w:val="center"/>
            <w:tcMar>
              <w:top w:w="90" w:type="dxa"/>
              <w:start w:w="110" w:type="dxa"/>
              <w:bottom w:w="90" w:type="dxa"/>
              <w:end w:w="110" w:type="dxa"/>
            </w:tcMar>
            <w:shd w:fill="EAF1F4"/>
          </w:tcPr>
          <w:p>
            <w:pPr>
              <w:jc w:val="center"/>
            </w:pPr>
            <w:r>
              <w:rPr>
                <w:rFonts w:ascii="Aptos" w:hAnsi="Aptos"/>
                <w:color w:val="000000"/>
                <w:sz w:val="18"/>
              </w:rPr>
              <w:t>75.03</w:t>
            </w:r>
          </w:p>
        </w:tc>
        <w:tc>
          <w:tcPr>
            <w:tcW w:type="dxa" w:w="2088"/>
            <w:vAlign w:val="center"/>
            <w:tcMar>
              <w:top w:w="90" w:type="dxa"/>
              <w:start w:w="110" w:type="dxa"/>
              <w:bottom w:w="90" w:type="dxa"/>
              <w:end w:w="110" w:type="dxa"/>
            </w:tcMar>
            <w:shd w:fill="EAF1F4"/>
          </w:tcPr>
          <w:p>
            <w:pPr>
              <w:jc w:val="center"/>
            </w:pPr>
            <w:r>
              <w:rPr>
                <w:rFonts w:ascii="Aptos" w:hAnsi="Aptos"/>
                <w:color w:val="000000"/>
                <w:sz w:val="18"/>
              </w:rPr>
              <w:t>0.80930</w:t>
            </w:r>
          </w:p>
        </w:tc>
        <w:tc>
          <w:tcPr>
            <w:tcW w:type="dxa" w:w="1728"/>
            <w:vAlign w:val="center"/>
            <w:tcMar>
              <w:top w:w="90" w:type="dxa"/>
              <w:start w:w="110" w:type="dxa"/>
              <w:bottom w:w="90" w:type="dxa"/>
              <w:end w:w="110" w:type="dxa"/>
            </w:tcMar>
            <w:shd w:fill="EAF1F4"/>
          </w:tcPr>
          <w:p>
            <w:pPr>
              <w:jc w:val="center"/>
            </w:pPr>
            <w:r>
              <w:rPr>
                <w:rFonts w:ascii="Aptos" w:hAnsi="Aptos"/>
                <w:color w:val="000000"/>
                <w:sz w:val="18"/>
              </w:rPr>
              <w:t>%38.32</w:t>
            </w:r>
          </w:p>
        </w:tc>
      </w:tr>
    </w:tbl>
    <w:p>
      <w:pPr>
        <w:spacing w:after="20"/>
      </w:pPr>
    </w:p>
    <w:p>
      <w:pPr>
        <w:keepNext/>
        <w:jc w:val="center"/>
      </w:pPr>
      <w:r>
        <w:drawing>
          <wp:inline xmlns:a="http://schemas.openxmlformats.org/drawingml/2006/main" xmlns:pic="http://schemas.openxmlformats.org/drawingml/2006/picture">
            <wp:extent cx="5806440" cy="2984510"/>
            <wp:docPr id="2" name="Picture 2" descr="Grouped bar chart showing model and persistence RMSLE for three walk-forward folds"/>
            <wp:cNvGraphicFramePr>
              <a:graphicFrameLocks noChangeAspect="1"/>
            </wp:cNvGraphicFramePr>
            <a:graphic>
              <a:graphicData uri="http://schemas.openxmlformats.org/drawingml/2006/picture">
                <pic:pic>
                  <pic:nvPicPr>
                    <pic:cNvPr id="0" name="final_walk_forward_validation.png"/>
                    <pic:cNvPicPr/>
                  </pic:nvPicPr>
                  <pic:blipFill>
                    <a:blip r:embed="rId11"/>
                    <a:stretch>
                      <a:fillRect/>
                    </a:stretch>
                  </pic:blipFill>
                  <pic:spPr>
                    <a:xfrm>
                      <a:off x="0" y="0"/>
                      <a:ext cx="5806440" cy="2984510"/>
                    </a:xfrm>
                    <a:prstGeom prst="rect"/>
                  </pic:spPr>
                </pic:pic>
              </a:graphicData>
            </a:graphic>
          </wp:inline>
        </w:drawing>
      </w:r>
    </w:p>
    <w:p>
      <w:pPr>
        <w:spacing w:after="140"/>
        <w:jc w:val="center"/>
      </w:pPr>
      <w:r>
        <w:rPr>
          <w:rFonts w:ascii="Aptos" w:hAnsi="Aptos"/>
          <w:i/>
          <w:color w:val="555555"/>
          <w:sz w:val="17"/>
        </w:rPr>
        <w:t>Figure 2  Recursive LightGBM and persistence baseline across three validation folds</w:t>
      </w:r>
    </w:p>
    <w:p>
      <w:r>
        <w:rPr>
          <w:rFonts w:ascii="Aptos" w:hAnsi="Aptos"/>
          <w:color w:val="000000"/>
        </w:rPr>
        <w:t>Recursive ortalama RMSLE 0.49833, tek holdout RMSLE 0.47534'ten yüksektir. Bu fark model bozulması anlamına gelmez; recursive protokol daha zordur çünkü tahmin hataları sonraki haftaların lag özelliklerine taşınır.</w:t>
      </w:r>
    </w:p>
    <w:p>
      <w:pPr>
        <w:pStyle w:val="Heading2"/>
      </w:pPr>
      <w:r>
        <w:t>6 Feature Selection</w:t>
      </w:r>
    </w:p>
    <w:p>
      <w:r>
        <w:rPr>
          <w:rFonts w:ascii="Aptos" w:hAnsi="Aptos"/>
          <w:color w:val="000000"/>
        </w:rPr>
        <w:t>Final feature seti fiyat, promosyon, takvim, merkez, yemek ve geçmiş talep bilgilerini içeren 19 değişkenden oluşur. Mevcut feature importance sonuçlarında num_orders_lag_1 ve num_orders_roll_mean_4 baskındır. Promotion etkileşimleri genel sonucu iyileştirmedi. Uzun geçmiş özellikleri ortalama sonucu iyileştirse de düşük talep diliminde guardrail'i geçtiği için reddedildi. Bu karar, düşük talep ürünlerinde aşırı tahminin gıda israfı riskini artırabileceği iş hedefiyle uyumludur.</w:t>
      </w:r>
    </w:p>
    <w:p>
      <w:r>
        <w:br w:type="page"/>
      </w:r>
    </w:p>
    <w:p>
      <w:pPr>
        <w:pStyle w:val="Heading1"/>
      </w:pPr>
      <w:r>
        <w:t>Test Submission</w:t>
      </w:r>
    </w:p>
    <w:p>
      <w:pPr>
        <w:pStyle w:val="Heading2"/>
      </w:pPr>
      <w:r>
        <w:t>1 Overview</w:t>
      </w:r>
    </w:p>
    <w:p>
      <w:r>
        <w:rPr>
          <w:rFonts w:ascii="Aptos" w:hAnsi="Aptos"/>
          <w:color w:val="000000"/>
        </w:rPr>
        <w:t>Test submission aşaması iki ayrı veri kümesini doğru biçimde ayırır. Haftalar 136-145 etiketli holdout dönemidir ve performans ölçümü için kullanılır. Kaggle test.csv ise haftalar 146-155'i içerir, hedef değişkeni yoktur ve yalnızca final submission üretiminde kullanılır. Final model tüm etiketli haftalar 1-145 üzerinde yeniden eğitilmiştir.</w:t>
      </w:r>
    </w:p>
    <w:p>
      <w:pPr>
        <w:pStyle w:val="Heading2"/>
      </w:pPr>
      <w:r>
        <w:t>2 Data Preparation for Testing</w:t>
      </w:r>
    </w:p>
    <w:p>
      <w:r>
        <w:rPr>
          <w:rFonts w:ascii="Aptos" w:hAnsi="Aptos"/>
          <w:color w:val="000000"/>
        </w:rPr>
        <w:t>Train ve test tabloları meal_info ve fulfilment_center_info ile many-to-one olarak birleştirilir. Pipeline benzersiz kimlikleri, zorunlu kolonları, metadata eşleşmesini, negatif hedefleri ve center-meal-week tekrarlarını doğrular. Kategorik değerler train ve test üzerinde ortak, deterministik map ile kodlanır.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6"/>
        <w:gridCol w:w="2416"/>
        <w:gridCol w:w="2416"/>
        <w:gridCol w:w="2416"/>
      </w:tblGrid>
      <w:tr>
        <w:trPr>
          <w:tblHeader w:val="true"/>
        </w:trPr>
        <w:tc>
          <w:tcPr>
            <w:tcW w:type="dxa" w:w="2448"/>
            <w:vAlign w:val="center"/>
            <w:shd w:fill="24556A"/>
            <w:tcMar>
              <w:top w:w="90" w:type="dxa"/>
              <w:start w:w="110" w:type="dxa"/>
              <w:bottom w:w="90" w:type="dxa"/>
              <w:end w:w="110" w:type="dxa"/>
            </w:tcMar>
          </w:tcPr>
          <w:p>
            <w:pPr>
              <w:jc w:val="center"/>
            </w:pPr>
            <w:r>
              <w:rPr>
                <w:rFonts w:ascii="Aptos" w:hAnsi="Aptos"/>
                <w:b/>
                <w:color w:val="FFFFFF"/>
                <w:sz w:val="18"/>
              </w:rPr>
              <w:t>Dataset</w:t>
            </w:r>
          </w:p>
        </w:tc>
        <w:tc>
          <w:tcPr>
            <w:tcW w:type="dxa" w:w="1728"/>
            <w:vAlign w:val="center"/>
            <w:shd w:fill="24556A"/>
            <w:tcMar>
              <w:top w:w="90" w:type="dxa"/>
              <w:start w:w="110" w:type="dxa"/>
              <w:bottom w:w="90" w:type="dxa"/>
              <w:end w:w="110" w:type="dxa"/>
            </w:tcMar>
          </w:tcPr>
          <w:p>
            <w:pPr>
              <w:jc w:val="center"/>
            </w:pPr>
            <w:r>
              <w:rPr>
                <w:rFonts w:ascii="Aptos" w:hAnsi="Aptos"/>
                <w:b/>
                <w:color w:val="FFFFFF"/>
                <w:sz w:val="18"/>
              </w:rPr>
              <w:t>Weeks</w:t>
            </w:r>
          </w:p>
        </w:tc>
        <w:tc>
          <w:tcPr>
            <w:tcW w:type="dxa" w:w="1800"/>
            <w:vAlign w:val="center"/>
            <w:shd w:fill="24556A"/>
            <w:tcMar>
              <w:top w:w="90" w:type="dxa"/>
              <w:start w:w="110" w:type="dxa"/>
              <w:bottom w:w="90" w:type="dxa"/>
              <w:end w:w="110" w:type="dxa"/>
            </w:tcMar>
          </w:tcPr>
          <w:p>
            <w:pPr>
              <w:jc w:val="center"/>
            </w:pPr>
            <w:r>
              <w:rPr>
                <w:rFonts w:ascii="Aptos" w:hAnsi="Aptos"/>
                <w:b/>
                <w:color w:val="FFFFFF"/>
                <w:sz w:val="18"/>
              </w:rPr>
              <w:t>Rows</w:t>
            </w:r>
          </w:p>
        </w:tc>
        <w:tc>
          <w:tcPr>
            <w:tcW w:type="dxa" w:w="3024"/>
            <w:vAlign w:val="center"/>
            <w:shd w:fill="24556A"/>
            <w:tcMar>
              <w:top w:w="90" w:type="dxa"/>
              <w:start w:w="110" w:type="dxa"/>
              <w:bottom w:w="90" w:type="dxa"/>
              <w:end w:w="110" w:type="dxa"/>
            </w:tcMar>
          </w:tcPr>
          <w:p>
            <w:pPr>
              <w:jc w:val="center"/>
            </w:pPr>
            <w:r>
              <w:rPr>
                <w:rFonts w:ascii="Aptos" w:hAnsi="Aptos"/>
                <w:b/>
                <w:color w:val="FFFFFF"/>
                <w:sz w:val="18"/>
              </w:rPr>
              <w:t>Purpose</w:t>
            </w:r>
          </w:p>
        </w:tc>
      </w:tr>
      <w:tr>
        <w:tc>
          <w:tcPr>
            <w:tcW w:type="dxa" w:w="2448"/>
            <w:vAlign w:val="center"/>
            <w:tcMar>
              <w:top w:w="90" w:type="dxa"/>
              <w:start w:w="110" w:type="dxa"/>
              <w:bottom w:w="90" w:type="dxa"/>
              <w:end w:w="110" w:type="dxa"/>
            </w:tcMar>
          </w:tcPr>
          <w:p>
            <w:pPr>
              <w:jc w:val="left"/>
            </w:pPr>
            <w:r>
              <w:rPr>
                <w:rFonts w:ascii="Aptos" w:hAnsi="Aptos"/>
                <w:color w:val="000000"/>
                <w:sz w:val="18"/>
              </w:rPr>
              <w:t>Labeled training</w:t>
            </w:r>
          </w:p>
        </w:tc>
        <w:tc>
          <w:tcPr>
            <w:tcW w:type="dxa" w:w="1728"/>
            <w:vAlign w:val="center"/>
            <w:tcMar>
              <w:top w:w="90" w:type="dxa"/>
              <w:start w:w="110" w:type="dxa"/>
              <w:bottom w:w="90" w:type="dxa"/>
              <w:end w:w="110" w:type="dxa"/>
            </w:tcMar>
          </w:tcPr>
          <w:p>
            <w:pPr>
              <w:jc w:val="center"/>
            </w:pPr>
            <w:r>
              <w:rPr>
                <w:rFonts w:ascii="Aptos" w:hAnsi="Aptos"/>
                <w:color w:val="000000"/>
                <w:sz w:val="18"/>
              </w:rPr>
              <w:t>1-145</w:t>
            </w:r>
          </w:p>
        </w:tc>
        <w:tc>
          <w:tcPr>
            <w:tcW w:type="dxa" w:w="1800"/>
            <w:vAlign w:val="center"/>
            <w:tcMar>
              <w:top w:w="90" w:type="dxa"/>
              <w:start w:w="110" w:type="dxa"/>
              <w:bottom w:w="90" w:type="dxa"/>
              <w:end w:w="110" w:type="dxa"/>
            </w:tcMar>
          </w:tcPr>
          <w:p>
            <w:pPr>
              <w:jc w:val="center"/>
            </w:pPr>
            <w:r>
              <w:rPr>
                <w:rFonts w:ascii="Aptos" w:hAnsi="Aptos"/>
                <w:color w:val="000000"/>
                <w:sz w:val="18"/>
              </w:rPr>
              <w:t>456,548</w:t>
            </w:r>
          </w:p>
        </w:tc>
        <w:tc>
          <w:tcPr>
            <w:tcW w:type="dxa" w:w="3024"/>
            <w:vAlign w:val="center"/>
            <w:tcMar>
              <w:top w:w="90" w:type="dxa"/>
              <w:start w:w="110" w:type="dxa"/>
              <w:bottom w:w="90" w:type="dxa"/>
              <w:end w:w="110" w:type="dxa"/>
            </w:tcMar>
          </w:tcPr>
          <w:p>
            <w:pPr>
              <w:jc w:val="center"/>
            </w:pPr>
            <w:r>
              <w:rPr>
                <w:rFonts w:ascii="Aptos" w:hAnsi="Aptos"/>
                <w:color w:val="000000"/>
                <w:sz w:val="18"/>
              </w:rPr>
              <w:t>Final model training</w:t>
            </w:r>
          </w:p>
        </w:tc>
      </w:tr>
      <w:tr>
        <w:tc>
          <w:tcPr>
            <w:tcW w:type="dxa" w:w="2448"/>
            <w:vAlign w:val="center"/>
            <w:tcMar>
              <w:top w:w="90" w:type="dxa"/>
              <w:start w:w="110" w:type="dxa"/>
              <w:bottom w:w="90" w:type="dxa"/>
              <w:end w:w="110" w:type="dxa"/>
            </w:tcMar>
            <w:shd w:fill="EAF1F4"/>
          </w:tcPr>
          <w:p>
            <w:pPr>
              <w:jc w:val="left"/>
            </w:pPr>
            <w:r>
              <w:rPr>
                <w:rFonts w:ascii="Aptos" w:hAnsi="Aptos"/>
                <w:color w:val="000000"/>
                <w:sz w:val="18"/>
              </w:rPr>
              <w:t>Holdout slice</w:t>
            </w:r>
          </w:p>
        </w:tc>
        <w:tc>
          <w:tcPr>
            <w:tcW w:type="dxa" w:w="1728"/>
            <w:vAlign w:val="center"/>
            <w:tcMar>
              <w:top w:w="90" w:type="dxa"/>
              <w:start w:w="110" w:type="dxa"/>
              <w:bottom w:w="90" w:type="dxa"/>
              <w:end w:w="110" w:type="dxa"/>
            </w:tcMar>
            <w:shd w:fill="EAF1F4"/>
          </w:tcPr>
          <w:p>
            <w:pPr>
              <w:jc w:val="center"/>
            </w:pPr>
            <w:r>
              <w:rPr>
                <w:rFonts w:ascii="Aptos" w:hAnsi="Aptos"/>
                <w:color w:val="000000"/>
                <w:sz w:val="18"/>
              </w:rPr>
              <w:t>136-145</w:t>
            </w:r>
          </w:p>
        </w:tc>
        <w:tc>
          <w:tcPr>
            <w:tcW w:type="dxa" w:w="1800"/>
            <w:vAlign w:val="center"/>
            <w:tcMar>
              <w:top w:w="90" w:type="dxa"/>
              <w:start w:w="110" w:type="dxa"/>
              <w:bottom w:w="90" w:type="dxa"/>
              <w:end w:w="110" w:type="dxa"/>
            </w:tcMar>
            <w:shd w:fill="EAF1F4"/>
          </w:tcPr>
          <w:p>
            <w:pPr>
              <w:jc w:val="center"/>
            </w:pPr>
            <w:r>
              <w:rPr>
                <w:rFonts w:ascii="Aptos" w:hAnsi="Aptos"/>
                <w:color w:val="000000"/>
                <w:sz w:val="18"/>
              </w:rPr>
              <w:t>32,821</w:t>
            </w:r>
          </w:p>
        </w:tc>
        <w:tc>
          <w:tcPr>
            <w:tcW w:type="dxa" w:w="3024"/>
            <w:vAlign w:val="center"/>
            <w:tcMar>
              <w:top w:w="90" w:type="dxa"/>
              <w:start w:w="110" w:type="dxa"/>
              <w:bottom w:w="90" w:type="dxa"/>
              <w:end w:w="110" w:type="dxa"/>
            </w:tcMar>
            <w:shd w:fill="EAF1F4"/>
          </w:tcPr>
          <w:p>
            <w:pPr>
              <w:jc w:val="center"/>
            </w:pPr>
            <w:r>
              <w:rPr>
                <w:rFonts w:ascii="Aptos" w:hAnsi="Aptos"/>
                <w:color w:val="000000"/>
                <w:sz w:val="18"/>
              </w:rPr>
              <w:t>Reported model metrics</w:t>
            </w:r>
          </w:p>
        </w:tc>
      </w:tr>
      <w:tr>
        <w:tc>
          <w:tcPr>
            <w:tcW w:type="dxa" w:w="2448"/>
            <w:vAlign w:val="center"/>
            <w:tcMar>
              <w:top w:w="90" w:type="dxa"/>
              <w:start w:w="110" w:type="dxa"/>
              <w:bottom w:w="90" w:type="dxa"/>
              <w:end w:w="110" w:type="dxa"/>
            </w:tcMar>
          </w:tcPr>
          <w:p>
            <w:pPr>
              <w:jc w:val="left"/>
            </w:pPr>
            <w:r>
              <w:rPr>
                <w:rFonts w:ascii="Aptos" w:hAnsi="Aptos"/>
                <w:color w:val="000000"/>
                <w:sz w:val="18"/>
              </w:rPr>
              <w:t>Unlabeled Kaggle test</w:t>
            </w:r>
          </w:p>
        </w:tc>
        <w:tc>
          <w:tcPr>
            <w:tcW w:type="dxa" w:w="1728"/>
            <w:vAlign w:val="center"/>
            <w:tcMar>
              <w:top w:w="90" w:type="dxa"/>
              <w:start w:w="110" w:type="dxa"/>
              <w:bottom w:w="90" w:type="dxa"/>
              <w:end w:w="110" w:type="dxa"/>
            </w:tcMar>
          </w:tcPr>
          <w:p>
            <w:pPr>
              <w:jc w:val="center"/>
            </w:pPr>
            <w:r>
              <w:rPr>
                <w:rFonts w:ascii="Aptos" w:hAnsi="Aptos"/>
                <w:color w:val="000000"/>
                <w:sz w:val="18"/>
              </w:rPr>
              <w:t>146-155</w:t>
            </w:r>
          </w:p>
        </w:tc>
        <w:tc>
          <w:tcPr>
            <w:tcW w:type="dxa" w:w="1800"/>
            <w:vAlign w:val="center"/>
            <w:tcMar>
              <w:top w:w="90" w:type="dxa"/>
              <w:start w:w="110" w:type="dxa"/>
              <w:bottom w:w="90" w:type="dxa"/>
              <w:end w:w="110" w:type="dxa"/>
            </w:tcMar>
          </w:tcPr>
          <w:p>
            <w:pPr>
              <w:jc w:val="center"/>
            </w:pPr>
            <w:r>
              <w:rPr>
                <w:rFonts w:ascii="Aptos" w:hAnsi="Aptos"/>
                <w:color w:val="000000"/>
                <w:sz w:val="18"/>
              </w:rPr>
              <w:t>32,573</w:t>
            </w:r>
          </w:p>
        </w:tc>
        <w:tc>
          <w:tcPr>
            <w:tcW w:type="dxa" w:w="3024"/>
            <w:vAlign w:val="center"/>
            <w:tcMar>
              <w:top w:w="90" w:type="dxa"/>
              <w:start w:w="110" w:type="dxa"/>
              <w:bottom w:w="90" w:type="dxa"/>
              <w:end w:w="110" w:type="dxa"/>
            </w:tcMar>
          </w:tcPr>
          <w:p>
            <w:pPr>
              <w:jc w:val="center"/>
            </w:pPr>
            <w:r>
              <w:rPr>
                <w:rFonts w:ascii="Aptos" w:hAnsi="Aptos"/>
                <w:color w:val="000000"/>
                <w:sz w:val="18"/>
              </w:rPr>
              <w:t>Final submission only</w:t>
            </w:r>
          </w:p>
        </w:tc>
      </w:tr>
    </w:tbl>
    <w:p>
      <w:pPr>
        <w:spacing w:after="20"/>
      </w:pPr>
    </w:p>
    <w:p>
      <w:r>
        <w:rPr>
          <w:rFonts w:ascii="Aptos" w:hAnsi="Aptos"/>
          <w:color w:val="000000"/>
        </w:rPr>
        <w:t>Lag özellikleri submission sırasında recursive üretilir. Hafta 146 için geçmiş etiketli talepler kullanılır. Hafta 147 ve sonrasında, hedefler bulunmadığından önceki haftanın model tahmini geçmişe eklenir.</w:t>
      </w:r>
    </w:p>
    <w:p>
      <w:pPr>
        <w:pStyle w:val="Heading2"/>
      </w:pPr>
      <w:r>
        <w:t>3 Model Application</w:t>
      </w:r>
    </w:p>
    <w:p>
      <w:r>
        <w:rPr>
          <w:rFonts w:ascii="Aptos" w:hAnsi="Aptos"/>
          <w:color w:val="000000"/>
        </w:rPr>
        <w:t>Nihai LightGBM modeli tuned hiperparametrelerle ve 1.360 boosting round ile eğitildi. Tahminler log1p uzayından expm1 ile sipariş ölçeğine döndürüldü ve negatif değerler sıfırda sınırlandı. Submission, sample_submission kimlik sırasıyla one-to-one birleştirildi. Eksik, tekrarlı veya negatif sonuçlar pipeline tarafından reddedilir.</w:t>
      </w:r>
    </w:p>
    <w:p>
      <w:pPr>
        <w:spacing w:before="60" w:after="120"/>
        <w:ind w:left="360" w:right="360"/>
      </w:pPr>
      <w:r>
        <w:rPr>
          <w:rFonts w:ascii="Consolas" w:hAnsi="Consolas"/>
          <w:color w:val="000000"/>
          <w:sz w:val="16"/>
        </w:rPr>
        <w:t>model = train_point_model(train_observed, num_boost_round=1360)</w:t>
        <w:br/>
      </w:r>
      <w:r>
        <w:rPr>
          <w:rFonts w:ascii="Consolas" w:hAnsi="Consolas"/>
          <w:color w:val="000000"/>
          <w:sz w:val="16"/>
        </w:rPr>
        <w:t>predictions = recursive_predict(model, test_static, train_static)</w:t>
        <w:br/>
      </w:r>
      <w:r>
        <w:rPr>
          <w:rFonts w:ascii="Consolas" w:hAnsi="Consolas"/>
          <w:color w:val="000000"/>
          <w:sz w:val="16"/>
        </w:rPr>
        <w:t>submission = format_submission(sample_submission, predictions)</w:t>
      </w:r>
    </w:p>
    <w:p>
      <w:pPr>
        <w:pStyle w:val="Heading2"/>
      </w:pPr>
      <w:r>
        <w:t>4 Test Metrics</w:t>
      </w:r>
    </w:p>
    <w:p>
      <w:r>
        <w:rPr>
          <w:rFonts w:ascii="Aptos" w:hAnsi="Aptos"/>
          <w:color w:val="000000"/>
        </w:rPr>
        <w:t>Hedef içermeyen Kaggle test kümesi için yerel RMSLE veya MAE hesaplanamaz. Model kalitesi etiketli holdout ve recursive walk-forward sonuçlarıyla raporlanır. Test kümesinde yalnızca submission bütünlüğü ve tahmin dağılımı kontrol edilir.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tblHeader w:val="true"/>
        </w:trPr>
        <w:tc>
          <w:tcPr>
            <w:tcW w:type="dxa" w:w="4680"/>
            <w:vAlign w:val="center"/>
            <w:shd w:fill="24556A"/>
            <w:tcMar>
              <w:top w:w="90" w:type="dxa"/>
              <w:start w:w="110" w:type="dxa"/>
              <w:bottom w:w="90" w:type="dxa"/>
              <w:end w:w="110" w:type="dxa"/>
            </w:tcMar>
          </w:tcPr>
          <w:p>
            <w:pPr>
              <w:jc w:val="center"/>
            </w:pPr>
            <w:r>
              <w:rPr>
                <w:rFonts w:ascii="Aptos" w:hAnsi="Aptos"/>
                <w:b/>
                <w:color w:val="FFFFFF"/>
                <w:sz w:val="18"/>
              </w:rPr>
              <w:t>Submission check</w:t>
            </w:r>
          </w:p>
        </w:tc>
        <w:tc>
          <w:tcPr>
            <w:tcW w:type="dxa" w:w="3960"/>
            <w:vAlign w:val="center"/>
            <w:shd w:fill="24556A"/>
            <w:tcMar>
              <w:top w:w="90" w:type="dxa"/>
              <w:start w:w="110" w:type="dxa"/>
              <w:bottom w:w="90" w:type="dxa"/>
              <w:end w:w="110" w:type="dxa"/>
            </w:tcMar>
          </w:tcPr>
          <w:p>
            <w:pPr>
              <w:jc w:val="center"/>
            </w:pPr>
            <w:r>
              <w:rPr>
                <w:rFonts w:ascii="Aptos" w:hAnsi="Aptos"/>
                <w:b/>
                <w:color w:val="FFFFFF"/>
                <w:sz w:val="18"/>
              </w:rPr>
              <w:t>Result</w:t>
            </w:r>
          </w:p>
        </w:tc>
      </w:tr>
      <w:tr>
        <w:tc>
          <w:tcPr>
            <w:tcW w:type="dxa" w:w="4680"/>
            <w:vAlign w:val="center"/>
            <w:tcMar>
              <w:top w:w="90" w:type="dxa"/>
              <w:start w:w="110" w:type="dxa"/>
              <w:bottom w:w="90" w:type="dxa"/>
              <w:end w:w="110" w:type="dxa"/>
            </w:tcMar>
          </w:tcPr>
          <w:p>
            <w:pPr>
              <w:jc w:val="left"/>
            </w:pPr>
            <w:r>
              <w:rPr>
                <w:rFonts w:ascii="Aptos" w:hAnsi="Aptos"/>
                <w:color w:val="000000"/>
                <w:sz w:val="18"/>
              </w:rPr>
              <w:t>Rows</w:t>
            </w:r>
          </w:p>
        </w:tc>
        <w:tc>
          <w:tcPr>
            <w:tcW w:type="dxa" w:w="3960"/>
            <w:vAlign w:val="center"/>
            <w:tcMar>
              <w:top w:w="90" w:type="dxa"/>
              <w:start w:w="110" w:type="dxa"/>
              <w:bottom w:w="90" w:type="dxa"/>
              <w:end w:w="110" w:type="dxa"/>
            </w:tcMar>
          </w:tcPr>
          <w:p>
            <w:pPr>
              <w:jc w:val="center"/>
            </w:pPr>
            <w:r>
              <w:rPr>
                <w:rFonts w:ascii="Aptos" w:hAnsi="Aptos"/>
                <w:color w:val="000000"/>
                <w:sz w:val="18"/>
              </w:rPr>
              <w:t>32,573</w:t>
            </w:r>
          </w:p>
        </w:tc>
      </w:tr>
      <w:tr>
        <w:tc>
          <w:tcPr>
            <w:tcW w:type="dxa" w:w="4680"/>
            <w:vAlign w:val="center"/>
            <w:tcMar>
              <w:top w:w="90" w:type="dxa"/>
              <w:start w:w="110" w:type="dxa"/>
              <w:bottom w:w="90" w:type="dxa"/>
              <w:end w:w="110" w:type="dxa"/>
            </w:tcMar>
            <w:shd w:fill="EAF1F4"/>
          </w:tcPr>
          <w:p>
            <w:pPr>
              <w:jc w:val="left"/>
            </w:pPr>
            <w:r>
              <w:rPr>
                <w:rFonts w:ascii="Aptos" w:hAnsi="Aptos"/>
                <w:color w:val="000000"/>
                <w:sz w:val="18"/>
              </w:rPr>
              <w:t>Week range</w:t>
            </w:r>
          </w:p>
        </w:tc>
        <w:tc>
          <w:tcPr>
            <w:tcW w:type="dxa" w:w="3960"/>
            <w:vAlign w:val="center"/>
            <w:tcMar>
              <w:top w:w="90" w:type="dxa"/>
              <w:start w:w="110" w:type="dxa"/>
              <w:bottom w:w="90" w:type="dxa"/>
              <w:end w:w="110" w:type="dxa"/>
            </w:tcMar>
            <w:shd w:fill="EAF1F4"/>
          </w:tcPr>
          <w:p>
            <w:pPr>
              <w:jc w:val="center"/>
            </w:pPr>
            <w:r>
              <w:rPr>
                <w:rFonts w:ascii="Aptos" w:hAnsi="Aptos"/>
                <w:color w:val="000000"/>
                <w:sz w:val="18"/>
              </w:rPr>
              <w:t>146-155</w:t>
            </w:r>
          </w:p>
        </w:tc>
      </w:tr>
      <w:tr>
        <w:tc>
          <w:tcPr>
            <w:tcW w:type="dxa" w:w="4680"/>
            <w:vAlign w:val="center"/>
            <w:tcMar>
              <w:top w:w="90" w:type="dxa"/>
              <w:start w:w="110" w:type="dxa"/>
              <w:bottom w:w="90" w:type="dxa"/>
              <w:end w:w="110" w:type="dxa"/>
            </w:tcMar>
          </w:tcPr>
          <w:p>
            <w:pPr>
              <w:jc w:val="left"/>
            </w:pPr>
            <w:r>
              <w:rPr>
                <w:rFonts w:ascii="Aptos" w:hAnsi="Aptos"/>
                <w:color w:val="000000"/>
                <w:sz w:val="18"/>
              </w:rPr>
              <w:t>Minimum prediction</w:t>
            </w:r>
          </w:p>
        </w:tc>
        <w:tc>
          <w:tcPr>
            <w:tcW w:type="dxa" w:w="3960"/>
            <w:vAlign w:val="center"/>
            <w:tcMar>
              <w:top w:w="90" w:type="dxa"/>
              <w:start w:w="110" w:type="dxa"/>
              <w:bottom w:w="90" w:type="dxa"/>
              <w:end w:w="110" w:type="dxa"/>
            </w:tcMar>
          </w:tcPr>
          <w:p>
            <w:pPr>
              <w:jc w:val="center"/>
            </w:pPr>
            <w:r>
              <w:rPr>
                <w:rFonts w:ascii="Aptos" w:hAnsi="Aptos"/>
                <w:color w:val="000000"/>
                <w:sz w:val="18"/>
              </w:rPr>
              <w:t>12.88</w:t>
            </w:r>
          </w:p>
        </w:tc>
      </w:tr>
      <w:tr>
        <w:tc>
          <w:tcPr>
            <w:tcW w:type="dxa" w:w="4680"/>
            <w:vAlign w:val="center"/>
            <w:tcMar>
              <w:top w:w="90" w:type="dxa"/>
              <w:start w:w="110" w:type="dxa"/>
              <w:bottom w:w="90" w:type="dxa"/>
              <w:end w:w="110" w:type="dxa"/>
            </w:tcMar>
            <w:shd w:fill="EAF1F4"/>
          </w:tcPr>
          <w:p>
            <w:pPr>
              <w:jc w:val="left"/>
            </w:pPr>
            <w:r>
              <w:rPr>
                <w:rFonts w:ascii="Aptos" w:hAnsi="Aptos"/>
                <w:color w:val="000000"/>
                <w:sz w:val="18"/>
              </w:rPr>
              <w:t>Mean prediction</w:t>
            </w:r>
          </w:p>
        </w:tc>
        <w:tc>
          <w:tcPr>
            <w:tcW w:type="dxa" w:w="3960"/>
            <w:vAlign w:val="center"/>
            <w:tcMar>
              <w:top w:w="90" w:type="dxa"/>
              <w:start w:w="110" w:type="dxa"/>
              <w:bottom w:w="90" w:type="dxa"/>
              <w:end w:w="110" w:type="dxa"/>
            </w:tcMar>
            <w:shd w:fill="EAF1F4"/>
          </w:tcPr>
          <w:p>
            <w:pPr>
              <w:jc w:val="center"/>
            </w:pPr>
            <w:r>
              <w:rPr>
                <w:rFonts w:ascii="Aptos" w:hAnsi="Aptos"/>
                <w:color w:val="000000"/>
                <w:sz w:val="18"/>
              </w:rPr>
              <w:t>234.45</w:t>
            </w:r>
          </w:p>
        </w:tc>
      </w:tr>
      <w:tr>
        <w:tc>
          <w:tcPr>
            <w:tcW w:type="dxa" w:w="4680"/>
            <w:vAlign w:val="center"/>
            <w:tcMar>
              <w:top w:w="90" w:type="dxa"/>
              <w:start w:w="110" w:type="dxa"/>
              <w:bottom w:w="90" w:type="dxa"/>
              <w:end w:w="110" w:type="dxa"/>
            </w:tcMar>
          </w:tcPr>
          <w:p>
            <w:pPr>
              <w:jc w:val="left"/>
            </w:pPr>
            <w:r>
              <w:rPr>
                <w:rFonts w:ascii="Aptos" w:hAnsi="Aptos"/>
                <w:color w:val="000000"/>
                <w:sz w:val="18"/>
              </w:rPr>
              <w:t>Maximum prediction</w:t>
            </w:r>
          </w:p>
        </w:tc>
        <w:tc>
          <w:tcPr>
            <w:tcW w:type="dxa" w:w="3960"/>
            <w:vAlign w:val="center"/>
            <w:tcMar>
              <w:top w:w="90" w:type="dxa"/>
              <w:start w:w="110" w:type="dxa"/>
              <w:bottom w:w="90" w:type="dxa"/>
              <w:end w:w="110" w:type="dxa"/>
            </w:tcMar>
          </w:tcPr>
          <w:p>
            <w:pPr>
              <w:jc w:val="center"/>
            </w:pPr>
            <w:r>
              <w:rPr>
                <w:rFonts w:ascii="Aptos" w:hAnsi="Aptos"/>
                <w:color w:val="000000"/>
                <w:sz w:val="18"/>
              </w:rPr>
              <w:t>7050.18</w:t>
            </w:r>
          </w:p>
        </w:tc>
      </w:tr>
      <w:tr>
        <w:tc>
          <w:tcPr>
            <w:tcW w:type="dxa" w:w="4680"/>
            <w:vAlign w:val="center"/>
            <w:tcMar>
              <w:top w:w="90" w:type="dxa"/>
              <w:start w:w="110" w:type="dxa"/>
              <w:bottom w:w="90" w:type="dxa"/>
              <w:end w:w="110" w:type="dxa"/>
            </w:tcMar>
            <w:shd w:fill="EAF1F4"/>
          </w:tcPr>
          <w:p>
            <w:pPr>
              <w:jc w:val="left"/>
            </w:pPr>
            <w:r>
              <w:rPr>
                <w:rFonts w:ascii="Aptos" w:hAnsi="Aptos"/>
                <w:color w:val="000000"/>
                <w:sz w:val="18"/>
              </w:rPr>
              <w:t>Missing predictions</w:t>
            </w:r>
          </w:p>
        </w:tc>
        <w:tc>
          <w:tcPr>
            <w:tcW w:type="dxa" w:w="3960"/>
            <w:vAlign w:val="center"/>
            <w:tcMar>
              <w:top w:w="90" w:type="dxa"/>
              <w:start w:w="110" w:type="dxa"/>
              <w:bottom w:w="90" w:type="dxa"/>
              <w:end w:w="110" w:type="dxa"/>
            </w:tcMar>
            <w:shd w:fill="EAF1F4"/>
          </w:tcPr>
          <w:p>
            <w:pPr>
              <w:jc w:val="center"/>
            </w:pPr>
            <w:r>
              <w:rPr>
                <w:rFonts w:ascii="Aptos" w:hAnsi="Aptos"/>
                <w:color w:val="000000"/>
                <w:sz w:val="18"/>
              </w:rPr>
              <w:t>0</w:t>
            </w:r>
          </w:p>
        </w:tc>
      </w:tr>
      <w:tr>
        <w:tc>
          <w:tcPr>
            <w:tcW w:type="dxa" w:w="4680"/>
            <w:vAlign w:val="center"/>
            <w:tcMar>
              <w:top w:w="90" w:type="dxa"/>
              <w:start w:w="110" w:type="dxa"/>
              <w:bottom w:w="90" w:type="dxa"/>
              <w:end w:w="110" w:type="dxa"/>
            </w:tcMar>
          </w:tcPr>
          <w:p>
            <w:pPr>
              <w:jc w:val="left"/>
            </w:pPr>
            <w:r>
              <w:rPr>
                <w:rFonts w:ascii="Aptos" w:hAnsi="Aptos"/>
                <w:color w:val="000000"/>
                <w:sz w:val="18"/>
              </w:rPr>
              <w:t>Negative predictions</w:t>
            </w:r>
          </w:p>
        </w:tc>
        <w:tc>
          <w:tcPr>
            <w:tcW w:type="dxa" w:w="3960"/>
            <w:vAlign w:val="center"/>
            <w:tcMar>
              <w:top w:w="90" w:type="dxa"/>
              <w:start w:w="110" w:type="dxa"/>
              <w:bottom w:w="90" w:type="dxa"/>
              <w:end w:w="110" w:type="dxa"/>
            </w:tcMar>
          </w:tcPr>
          <w:p>
            <w:pPr>
              <w:jc w:val="center"/>
            </w:pPr>
            <w:r>
              <w:rPr>
                <w:rFonts w:ascii="Aptos" w:hAnsi="Aptos"/>
                <w:color w:val="000000"/>
                <w:sz w:val="18"/>
              </w:rPr>
              <w:t>0</w:t>
            </w:r>
          </w:p>
        </w:tc>
      </w:tr>
    </w:tbl>
    <w:p>
      <w:pPr>
        <w:spacing w:after="20"/>
      </w:pPr>
    </w:p>
    <w:p>
      <w:pPr>
        <w:keepNext/>
        <w:jc w:val="center"/>
      </w:pPr>
      <w:r>
        <w:drawing>
          <wp:inline xmlns:a="http://schemas.openxmlformats.org/drawingml/2006/main" xmlns:pic="http://schemas.openxmlformats.org/drawingml/2006/picture">
            <wp:extent cx="5394960" cy="2773009"/>
            <wp:docPr id="3" name="Picture 3" descr="Line chart of mean predicted orders for weeks 146 through 155"/>
            <wp:cNvGraphicFramePr>
              <a:graphicFrameLocks noChangeAspect="1"/>
            </wp:cNvGraphicFramePr>
            <a:graphic>
              <a:graphicData uri="http://schemas.openxmlformats.org/drawingml/2006/picture">
                <pic:pic>
                  <pic:nvPicPr>
                    <pic:cNvPr id="0" name="final_submission_weekly_mean.png"/>
                    <pic:cNvPicPr/>
                  </pic:nvPicPr>
                  <pic:blipFill>
                    <a:blip r:embed="rId12"/>
                    <a:stretch>
                      <a:fillRect/>
                    </a:stretch>
                  </pic:blipFill>
                  <pic:spPr>
                    <a:xfrm>
                      <a:off x="0" y="0"/>
                      <a:ext cx="5394960" cy="2773009"/>
                    </a:xfrm>
                    <a:prstGeom prst="rect"/>
                  </pic:spPr>
                </pic:pic>
              </a:graphicData>
            </a:graphic>
          </wp:inline>
        </w:drawing>
      </w:r>
    </w:p>
    <w:p>
      <w:pPr>
        <w:spacing w:after="140"/>
        <w:jc w:val="center"/>
      </w:pPr>
      <w:r>
        <w:rPr>
          <w:rFonts w:ascii="Aptos" w:hAnsi="Aptos"/>
          <w:i/>
          <w:color w:val="555555"/>
          <w:sz w:val="17"/>
        </w:rPr>
        <w:t>Figure 3  Weekly mean demand in the final submission</w:t>
      </w:r>
    </w:p>
    <w:p>
      <w:pPr>
        <w:pStyle w:val="Heading2"/>
      </w:pPr>
      <w:r>
        <w:t>5 Model Deployment</w:t>
      </w:r>
    </w:p>
    <w:p>
      <w:r>
        <w:rPr>
          <w:rFonts w:ascii="Aptos" w:hAnsi="Aptos"/>
          <w:color w:val="000000"/>
        </w:rPr>
        <w:t>Teslim kapsamında üretim API entegrasyonu yapılmamıştır. Bunun yerine yeniden kullanılabilir inference pipeline'ı, tam veriyle eğitilmiş model, final submission ve üretim manifesti sağlanmıştır. Manifest eğitim ve test dönemlerini, satır sayılarını, boosting round değerini ve haftalık tahmin özetlerini kaydeder. Bu dosyalar yeni veri geldiğinde haftalık yeniden eğitim veya dinamik indirim sistemine entegrasyon için temel oluşturur.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tblHeader w:val="true"/>
        </w:trPr>
        <w:tc>
          <w:tcPr>
            <w:tcW w:type="dxa" w:w="2664"/>
            <w:vAlign w:val="center"/>
            <w:shd w:fill="24556A"/>
            <w:tcMar>
              <w:top w:w="90" w:type="dxa"/>
              <w:start w:w="110" w:type="dxa"/>
              <w:bottom w:w="90" w:type="dxa"/>
              <w:end w:w="110" w:type="dxa"/>
            </w:tcMar>
          </w:tcPr>
          <w:p>
            <w:pPr>
              <w:jc w:val="center"/>
            </w:pPr>
            <w:r>
              <w:rPr>
                <w:rFonts w:ascii="Aptos" w:hAnsi="Aptos"/>
                <w:b/>
                <w:color w:val="FFFFFF"/>
                <w:sz w:val="18"/>
              </w:rPr>
              <w:t>Artifact</w:t>
            </w:r>
          </w:p>
        </w:tc>
        <w:tc>
          <w:tcPr>
            <w:tcW w:type="dxa" w:w="4464"/>
            <w:vAlign w:val="center"/>
            <w:shd w:fill="24556A"/>
            <w:tcMar>
              <w:top w:w="90" w:type="dxa"/>
              <w:start w:w="110" w:type="dxa"/>
              <w:bottom w:w="90" w:type="dxa"/>
              <w:end w:w="110" w:type="dxa"/>
            </w:tcMar>
          </w:tcPr>
          <w:p>
            <w:pPr>
              <w:jc w:val="center"/>
            </w:pPr>
            <w:r>
              <w:rPr>
                <w:rFonts w:ascii="Aptos" w:hAnsi="Aptos"/>
                <w:b/>
                <w:color w:val="FFFFFF"/>
                <w:sz w:val="18"/>
              </w:rPr>
              <w:t>Location</w:t>
            </w:r>
          </w:p>
        </w:tc>
        <w:tc>
          <w:tcPr>
            <w:tcW w:type="dxa" w:w="1656"/>
            <w:vAlign w:val="center"/>
            <w:shd w:fill="24556A"/>
            <w:tcMar>
              <w:top w:w="90" w:type="dxa"/>
              <w:start w:w="110" w:type="dxa"/>
              <w:bottom w:w="90" w:type="dxa"/>
              <w:end w:w="110" w:type="dxa"/>
            </w:tcMar>
          </w:tcPr>
          <w:p>
            <w:pPr>
              <w:jc w:val="center"/>
            </w:pPr>
            <w:r>
              <w:rPr>
                <w:rFonts w:ascii="Aptos" w:hAnsi="Aptos"/>
                <w:b/>
                <w:color w:val="FFFFFF"/>
                <w:sz w:val="18"/>
              </w:rPr>
              <w:t>Status</w:t>
            </w:r>
          </w:p>
        </w:tc>
      </w:tr>
      <w:tr>
        <w:tc>
          <w:tcPr>
            <w:tcW w:type="dxa" w:w="2664"/>
            <w:vAlign w:val="center"/>
            <w:tcMar>
              <w:top w:w="90" w:type="dxa"/>
              <w:start w:w="110" w:type="dxa"/>
              <w:bottom w:w="90" w:type="dxa"/>
              <w:end w:w="110" w:type="dxa"/>
            </w:tcMar>
          </w:tcPr>
          <w:p>
            <w:pPr>
              <w:jc w:val="left"/>
            </w:pPr>
            <w:r>
              <w:rPr>
                <w:rFonts w:ascii="Aptos" w:hAnsi="Aptos"/>
                <w:color w:val="000000"/>
                <w:sz w:val="18"/>
              </w:rPr>
              <w:t>Final recursive model</w:t>
            </w:r>
          </w:p>
        </w:tc>
        <w:tc>
          <w:tcPr>
            <w:tcW w:type="dxa" w:w="4464"/>
            <w:vAlign w:val="center"/>
            <w:tcMar>
              <w:top w:w="90" w:type="dxa"/>
              <w:start w:w="110" w:type="dxa"/>
              <w:bottom w:w="90" w:type="dxa"/>
              <w:end w:w="110" w:type="dxa"/>
            </w:tcMar>
          </w:tcPr>
          <w:p>
            <w:pPr>
              <w:jc w:val="center"/>
            </w:pPr>
            <w:r>
              <w:rPr>
                <w:rFonts w:ascii="Aptos" w:hAnsi="Aptos"/>
                <w:color w:val="000000"/>
                <w:sz w:val="18"/>
              </w:rPr>
              <w:t>data/final_submission_lgb_model.txt</w:t>
            </w:r>
          </w:p>
        </w:tc>
        <w:tc>
          <w:tcPr>
            <w:tcW w:type="dxa" w:w="1656"/>
            <w:vAlign w:val="center"/>
            <w:tcMar>
              <w:top w:w="90" w:type="dxa"/>
              <w:start w:w="110" w:type="dxa"/>
              <w:bottom w:w="90" w:type="dxa"/>
              <w:end w:w="110" w:type="dxa"/>
            </w:tcMar>
          </w:tcPr>
          <w:p>
            <w:pPr>
              <w:jc w:val="center"/>
            </w:pPr>
            <w:r>
              <w:rPr>
                <w:rFonts w:ascii="Aptos" w:hAnsi="Aptos"/>
                <w:color w:val="000000"/>
                <w:sz w:val="18"/>
              </w:rPr>
              <w:t>Generated</w:t>
            </w:r>
          </w:p>
        </w:tc>
      </w:tr>
      <w:tr>
        <w:tc>
          <w:tcPr>
            <w:tcW w:type="dxa" w:w="2664"/>
            <w:vAlign w:val="center"/>
            <w:tcMar>
              <w:top w:w="90" w:type="dxa"/>
              <w:start w:w="110" w:type="dxa"/>
              <w:bottom w:w="90" w:type="dxa"/>
              <w:end w:w="110" w:type="dxa"/>
            </w:tcMar>
            <w:shd w:fill="EAF1F4"/>
          </w:tcPr>
          <w:p>
            <w:pPr>
              <w:jc w:val="left"/>
            </w:pPr>
            <w:r>
              <w:rPr>
                <w:rFonts w:ascii="Aptos" w:hAnsi="Aptos"/>
                <w:color w:val="000000"/>
                <w:sz w:val="18"/>
              </w:rPr>
              <w:t>Final Kaggle submission</w:t>
            </w:r>
          </w:p>
        </w:tc>
        <w:tc>
          <w:tcPr>
            <w:tcW w:type="dxa" w:w="4464"/>
            <w:vAlign w:val="center"/>
            <w:tcMar>
              <w:top w:w="90" w:type="dxa"/>
              <w:start w:w="110" w:type="dxa"/>
              <w:bottom w:w="90" w:type="dxa"/>
              <w:end w:w="110" w:type="dxa"/>
            </w:tcMar>
            <w:shd w:fill="EAF1F4"/>
          </w:tcPr>
          <w:p>
            <w:pPr>
              <w:jc w:val="center"/>
            </w:pPr>
            <w:r>
              <w:rPr>
                <w:rFonts w:ascii="Aptos" w:hAnsi="Aptos"/>
                <w:color w:val="000000"/>
                <w:sz w:val="18"/>
              </w:rPr>
              <w:t>submissions/final_submission.csv</w:t>
            </w:r>
          </w:p>
        </w:tc>
        <w:tc>
          <w:tcPr>
            <w:tcW w:type="dxa" w:w="1656"/>
            <w:vAlign w:val="center"/>
            <w:tcMar>
              <w:top w:w="90" w:type="dxa"/>
              <w:start w:w="110" w:type="dxa"/>
              <w:bottom w:w="90" w:type="dxa"/>
              <w:end w:w="110" w:type="dxa"/>
            </w:tcMar>
            <w:shd w:fill="EAF1F4"/>
          </w:tcPr>
          <w:p>
            <w:pPr>
              <w:jc w:val="center"/>
            </w:pPr>
            <w:r>
              <w:rPr>
                <w:rFonts w:ascii="Aptos" w:hAnsi="Aptos"/>
                <w:color w:val="000000"/>
                <w:sz w:val="18"/>
              </w:rPr>
              <w:t>Validated</w:t>
            </w:r>
          </w:p>
        </w:tc>
      </w:tr>
      <w:tr>
        <w:tc>
          <w:tcPr>
            <w:tcW w:type="dxa" w:w="2664"/>
            <w:vAlign w:val="center"/>
            <w:tcMar>
              <w:top w:w="90" w:type="dxa"/>
              <w:start w:w="110" w:type="dxa"/>
              <w:bottom w:w="90" w:type="dxa"/>
              <w:end w:w="110" w:type="dxa"/>
            </w:tcMar>
          </w:tcPr>
          <w:p>
            <w:pPr>
              <w:jc w:val="left"/>
            </w:pPr>
            <w:r>
              <w:rPr>
                <w:rFonts w:ascii="Aptos" w:hAnsi="Aptos"/>
                <w:color w:val="000000"/>
                <w:sz w:val="18"/>
              </w:rPr>
              <w:t>Submission manifest</w:t>
            </w:r>
          </w:p>
        </w:tc>
        <w:tc>
          <w:tcPr>
            <w:tcW w:type="dxa" w:w="4464"/>
            <w:vAlign w:val="center"/>
            <w:tcMar>
              <w:top w:w="90" w:type="dxa"/>
              <w:start w:w="110" w:type="dxa"/>
              <w:bottom w:w="90" w:type="dxa"/>
              <w:end w:w="110" w:type="dxa"/>
            </w:tcMar>
          </w:tcPr>
          <w:p>
            <w:pPr>
              <w:jc w:val="center"/>
            </w:pPr>
            <w:r>
              <w:rPr>
                <w:rFonts w:ascii="Aptos" w:hAnsi="Aptos"/>
                <w:color w:val="000000"/>
                <w:sz w:val="18"/>
              </w:rPr>
              <w:t>submissions/final_submission_manifest.json</w:t>
            </w:r>
          </w:p>
        </w:tc>
        <w:tc>
          <w:tcPr>
            <w:tcW w:type="dxa" w:w="1656"/>
            <w:vAlign w:val="center"/>
            <w:tcMar>
              <w:top w:w="90" w:type="dxa"/>
              <w:start w:w="110" w:type="dxa"/>
              <w:bottom w:w="90" w:type="dxa"/>
              <w:end w:w="110" w:type="dxa"/>
            </w:tcMar>
          </w:tcPr>
          <w:p>
            <w:pPr>
              <w:jc w:val="center"/>
            </w:pPr>
            <w:r>
              <w:rPr>
                <w:rFonts w:ascii="Aptos" w:hAnsi="Aptos"/>
                <w:color w:val="000000"/>
                <w:sz w:val="18"/>
              </w:rPr>
              <w:t>Generated</w:t>
            </w:r>
          </w:p>
        </w:tc>
      </w:tr>
      <w:tr>
        <w:tc>
          <w:tcPr>
            <w:tcW w:type="dxa" w:w="2664"/>
            <w:vAlign w:val="center"/>
            <w:tcMar>
              <w:top w:w="90" w:type="dxa"/>
              <w:start w:w="110" w:type="dxa"/>
              <w:bottom w:w="90" w:type="dxa"/>
              <w:end w:w="110" w:type="dxa"/>
            </w:tcMar>
            <w:shd w:fill="EAF1F4"/>
          </w:tcPr>
          <w:p>
            <w:pPr>
              <w:jc w:val="left"/>
            </w:pPr>
            <w:r>
              <w:rPr>
                <w:rFonts w:ascii="Aptos" w:hAnsi="Aptos"/>
                <w:color w:val="000000"/>
                <w:sz w:val="18"/>
              </w:rPr>
              <w:t>Walk-forward metrics</w:t>
            </w:r>
          </w:p>
        </w:tc>
        <w:tc>
          <w:tcPr>
            <w:tcW w:type="dxa" w:w="4464"/>
            <w:vAlign w:val="center"/>
            <w:tcMar>
              <w:top w:w="90" w:type="dxa"/>
              <w:start w:w="110" w:type="dxa"/>
              <w:bottom w:w="90" w:type="dxa"/>
              <w:end w:w="110" w:type="dxa"/>
            </w:tcMar>
            <w:shd w:fill="EAF1F4"/>
          </w:tcPr>
          <w:p>
            <w:pPr>
              <w:jc w:val="center"/>
            </w:pPr>
            <w:r>
              <w:rPr>
                <w:rFonts w:ascii="Aptos" w:hAnsi="Aptos"/>
                <w:color w:val="000000"/>
                <w:sz w:val="18"/>
              </w:rPr>
              <w:t>reports/results/walk_forward_metrics.json</w:t>
            </w:r>
          </w:p>
        </w:tc>
        <w:tc>
          <w:tcPr>
            <w:tcW w:type="dxa" w:w="1656"/>
            <w:vAlign w:val="center"/>
            <w:tcMar>
              <w:top w:w="90" w:type="dxa"/>
              <w:start w:w="110" w:type="dxa"/>
              <w:bottom w:w="90" w:type="dxa"/>
              <w:end w:w="110" w:type="dxa"/>
            </w:tcMar>
            <w:shd w:fill="EAF1F4"/>
          </w:tcPr>
          <w:p>
            <w:pPr>
              <w:jc w:val="center"/>
            </w:pPr>
            <w:r>
              <w:rPr>
                <w:rFonts w:ascii="Aptos" w:hAnsi="Aptos"/>
                <w:color w:val="000000"/>
                <w:sz w:val="18"/>
              </w:rPr>
              <w:t>Generated</w:t>
            </w:r>
          </w:p>
        </w:tc>
      </w:tr>
    </w:tbl>
    <w:p>
      <w:pPr>
        <w:spacing w:after="20"/>
      </w:pPr>
    </w:p>
    <w:p>
      <w:pPr>
        <w:pStyle w:val="Heading2"/>
      </w:pPr>
      <w:r>
        <w:t>6 Code Implementation</w:t>
      </w:r>
    </w:p>
    <w:p>
      <w:r>
        <w:rPr>
          <w:rFonts w:ascii="Aptos" w:hAnsi="Aptos"/>
          <w:color w:val="000000"/>
        </w:rPr>
        <w:t>Kod iki katmanda düzenlenmiştir. notebooks klasöründeki betikler önceki fazları ve refinement deneylerini yeniden üretir. extensions/forecasting klasörü ise sızıntısız veri doğrulaması, recursive inference, walk-forward değerlendirme, guarded deneyler, hata analizi ve submission üretimini sağlar.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tblHeader w:val="true"/>
        </w:trPr>
        <w:tc>
          <w:tcPr>
            <w:tcW w:type="dxa" w:w="4032"/>
            <w:vAlign w:val="center"/>
            <w:shd w:fill="24556A"/>
            <w:tcMar>
              <w:top w:w="90" w:type="dxa"/>
              <w:start w:w="110" w:type="dxa"/>
              <w:bottom w:w="90" w:type="dxa"/>
              <w:end w:w="110" w:type="dxa"/>
            </w:tcMar>
          </w:tcPr>
          <w:p>
            <w:pPr>
              <w:jc w:val="center"/>
            </w:pPr>
            <w:r>
              <w:rPr>
                <w:rFonts w:ascii="Aptos" w:hAnsi="Aptos"/>
                <w:b/>
                <w:color w:val="FFFFFF"/>
                <w:sz w:val="18"/>
              </w:rPr>
              <w:t>Component</w:t>
            </w:r>
          </w:p>
        </w:tc>
        <w:tc>
          <w:tcPr>
            <w:tcW w:type="dxa" w:w="4608"/>
            <w:vAlign w:val="center"/>
            <w:shd w:fill="24556A"/>
            <w:tcMar>
              <w:top w:w="90" w:type="dxa"/>
              <w:start w:w="110" w:type="dxa"/>
              <w:bottom w:w="90" w:type="dxa"/>
              <w:end w:w="110" w:type="dxa"/>
            </w:tcMar>
          </w:tcPr>
          <w:p>
            <w:pPr>
              <w:jc w:val="center"/>
            </w:pPr>
            <w:r>
              <w:rPr>
                <w:rFonts w:ascii="Aptos" w:hAnsi="Aptos"/>
                <w:b/>
                <w:color w:val="FFFFFF"/>
                <w:sz w:val="18"/>
              </w:rPr>
              <w:t>Responsibility</w:t>
            </w:r>
          </w:p>
        </w:tc>
      </w:tr>
      <w:tr>
        <w:tc>
          <w:tcPr>
            <w:tcW w:type="dxa" w:w="4032"/>
            <w:vAlign w:val="center"/>
            <w:tcMar>
              <w:top w:w="90" w:type="dxa"/>
              <w:start w:w="110" w:type="dxa"/>
              <w:bottom w:w="90" w:type="dxa"/>
              <w:end w:w="110" w:type="dxa"/>
            </w:tcMar>
          </w:tcPr>
          <w:p>
            <w:pPr>
              <w:jc w:val="left"/>
            </w:pPr>
            <w:r>
              <w:rPr>
                <w:rFonts w:ascii="Aptos" w:hAnsi="Aptos"/>
                <w:color w:val="000000"/>
                <w:sz w:val="18"/>
              </w:rPr>
              <w:t>notebooks/repro_01_02.py</w:t>
            </w:r>
          </w:p>
        </w:tc>
        <w:tc>
          <w:tcPr>
            <w:tcW w:type="dxa" w:w="4608"/>
            <w:vAlign w:val="center"/>
            <w:tcMar>
              <w:top w:w="90" w:type="dxa"/>
              <w:start w:w="110" w:type="dxa"/>
              <w:bottom w:w="90" w:type="dxa"/>
              <w:end w:w="110" w:type="dxa"/>
            </w:tcMar>
          </w:tcPr>
          <w:p>
            <w:pPr>
              <w:jc w:val="center"/>
            </w:pPr>
            <w:r>
              <w:rPr>
                <w:rFonts w:ascii="Aptos" w:hAnsi="Aptos"/>
                <w:color w:val="000000"/>
                <w:sz w:val="18"/>
              </w:rPr>
              <w:t>Data preparation and feature engineering</w:t>
            </w:r>
          </w:p>
        </w:tc>
      </w:tr>
      <w:tr>
        <w:tc>
          <w:tcPr>
            <w:tcW w:type="dxa" w:w="4032"/>
            <w:vAlign w:val="center"/>
            <w:tcMar>
              <w:top w:w="90" w:type="dxa"/>
              <w:start w:w="110" w:type="dxa"/>
              <w:bottom w:w="90" w:type="dxa"/>
              <w:end w:w="110" w:type="dxa"/>
            </w:tcMar>
            <w:shd w:fill="EAF1F4"/>
          </w:tcPr>
          <w:p>
            <w:pPr>
              <w:jc w:val="left"/>
            </w:pPr>
            <w:r>
              <w:rPr>
                <w:rFonts w:ascii="Aptos" w:hAnsi="Aptos"/>
                <w:color w:val="000000"/>
                <w:sz w:val="18"/>
              </w:rPr>
              <w:t>notebooks/refine_01_hpo.py</w:t>
            </w:r>
          </w:p>
        </w:tc>
        <w:tc>
          <w:tcPr>
            <w:tcW w:type="dxa" w:w="4608"/>
            <w:vAlign w:val="center"/>
            <w:tcMar>
              <w:top w:w="90" w:type="dxa"/>
              <w:start w:w="110" w:type="dxa"/>
              <w:bottom w:w="90" w:type="dxa"/>
              <w:end w:w="110" w:type="dxa"/>
            </w:tcMar>
            <w:shd w:fill="EAF1F4"/>
          </w:tcPr>
          <w:p>
            <w:pPr>
              <w:jc w:val="center"/>
            </w:pPr>
            <w:r>
              <w:rPr>
                <w:rFonts w:ascii="Aptos" w:hAnsi="Aptos"/>
                <w:color w:val="000000"/>
                <w:sz w:val="18"/>
              </w:rPr>
              <w:t>Leakage-free Optuna search</w:t>
            </w:r>
          </w:p>
        </w:tc>
      </w:tr>
      <w:tr>
        <w:tc>
          <w:tcPr>
            <w:tcW w:type="dxa" w:w="4032"/>
            <w:vAlign w:val="center"/>
            <w:tcMar>
              <w:top w:w="90" w:type="dxa"/>
              <w:start w:w="110" w:type="dxa"/>
              <w:bottom w:w="90" w:type="dxa"/>
              <w:end w:w="110" w:type="dxa"/>
            </w:tcMar>
          </w:tcPr>
          <w:p>
            <w:pPr>
              <w:jc w:val="left"/>
            </w:pPr>
            <w:r>
              <w:rPr>
                <w:rFonts w:ascii="Aptos" w:hAnsi="Aptos"/>
                <w:color w:val="000000"/>
                <w:sz w:val="18"/>
              </w:rPr>
              <w:t>extensions/forecasting/pipeline.py</w:t>
            </w:r>
          </w:p>
        </w:tc>
        <w:tc>
          <w:tcPr>
            <w:tcW w:type="dxa" w:w="4608"/>
            <w:vAlign w:val="center"/>
            <w:tcMar>
              <w:top w:w="90" w:type="dxa"/>
              <w:start w:w="110" w:type="dxa"/>
              <w:bottom w:w="90" w:type="dxa"/>
              <w:end w:w="110" w:type="dxa"/>
            </w:tcMar>
          </w:tcPr>
          <w:p>
            <w:pPr>
              <w:jc w:val="center"/>
            </w:pPr>
            <w:r>
              <w:rPr>
                <w:rFonts w:ascii="Aptos" w:hAnsi="Aptos"/>
                <w:color w:val="000000"/>
                <w:sz w:val="18"/>
              </w:rPr>
              <w:t>Validated preparation, training and recursive prediction</w:t>
            </w:r>
          </w:p>
        </w:tc>
      </w:tr>
      <w:tr>
        <w:tc>
          <w:tcPr>
            <w:tcW w:type="dxa" w:w="4032"/>
            <w:vAlign w:val="center"/>
            <w:tcMar>
              <w:top w:w="90" w:type="dxa"/>
              <w:start w:w="110" w:type="dxa"/>
              <w:bottom w:w="90" w:type="dxa"/>
              <w:end w:w="110" w:type="dxa"/>
            </w:tcMar>
            <w:shd w:fill="EAF1F4"/>
          </w:tcPr>
          <w:p>
            <w:pPr>
              <w:jc w:val="left"/>
            </w:pPr>
            <w:r>
              <w:rPr>
                <w:rFonts w:ascii="Aptos" w:hAnsi="Aptos"/>
                <w:color w:val="000000"/>
                <w:sz w:val="18"/>
              </w:rPr>
              <w:t>extensions/forecasting/walk_forward_validation.py</w:t>
            </w:r>
          </w:p>
        </w:tc>
        <w:tc>
          <w:tcPr>
            <w:tcW w:type="dxa" w:w="4608"/>
            <w:vAlign w:val="center"/>
            <w:tcMar>
              <w:top w:w="90" w:type="dxa"/>
              <w:start w:w="110" w:type="dxa"/>
              <w:bottom w:w="90" w:type="dxa"/>
              <w:end w:w="110" w:type="dxa"/>
            </w:tcMar>
            <w:shd w:fill="EAF1F4"/>
          </w:tcPr>
          <w:p>
            <w:pPr>
              <w:jc w:val="center"/>
            </w:pPr>
            <w:r>
              <w:rPr>
                <w:rFonts w:ascii="Aptos" w:hAnsi="Aptos"/>
                <w:color w:val="000000"/>
                <w:sz w:val="18"/>
              </w:rPr>
              <w:t>Three-fold expanding-window backtest</w:t>
            </w:r>
          </w:p>
        </w:tc>
      </w:tr>
      <w:tr>
        <w:tc>
          <w:tcPr>
            <w:tcW w:type="dxa" w:w="4032"/>
            <w:vAlign w:val="center"/>
            <w:tcMar>
              <w:top w:w="90" w:type="dxa"/>
              <w:start w:w="110" w:type="dxa"/>
              <w:bottom w:w="90" w:type="dxa"/>
              <w:end w:w="110" w:type="dxa"/>
            </w:tcMar>
          </w:tcPr>
          <w:p>
            <w:pPr>
              <w:jc w:val="left"/>
            </w:pPr>
            <w:r>
              <w:rPr>
                <w:rFonts w:ascii="Aptos" w:hAnsi="Aptos"/>
                <w:color w:val="000000"/>
                <w:sz w:val="18"/>
              </w:rPr>
              <w:t>extensions/forecasting/build_submission.py</w:t>
            </w:r>
          </w:p>
        </w:tc>
        <w:tc>
          <w:tcPr>
            <w:tcW w:type="dxa" w:w="4608"/>
            <w:vAlign w:val="center"/>
            <w:tcMar>
              <w:top w:w="90" w:type="dxa"/>
              <w:start w:w="110" w:type="dxa"/>
              <w:bottom w:w="90" w:type="dxa"/>
              <w:end w:w="110" w:type="dxa"/>
            </w:tcMar>
          </w:tcPr>
          <w:p>
            <w:pPr>
              <w:jc w:val="center"/>
            </w:pPr>
            <w:r>
              <w:rPr>
                <w:rFonts w:ascii="Aptos" w:hAnsi="Aptos"/>
                <w:color w:val="000000"/>
                <w:sz w:val="18"/>
              </w:rPr>
              <w:t>Full-data model and final submission</w:t>
            </w:r>
          </w:p>
        </w:tc>
      </w:tr>
      <w:tr>
        <w:tc>
          <w:tcPr>
            <w:tcW w:type="dxa" w:w="4032"/>
            <w:vAlign w:val="center"/>
            <w:tcMar>
              <w:top w:w="90" w:type="dxa"/>
              <w:start w:w="110" w:type="dxa"/>
              <w:bottom w:w="90" w:type="dxa"/>
              <w:end w:w="110" w:type="dxa"/>
            </w:tcMar>
            <w:shd w:fill="EAF1F4"/>
          </w:tcPr>
          <w:p>
            <w:pPr>
              <w:jc w:val="left"/>
            </w:pPr>
            <w:r>
              <w:rPr>
                <w:rFonts w:ascii="Aptos" w:hAnsi="Aptos"/>
                <w:color w:val="000000"/>
                <w:sz w:val="18"/>
              </w:rPr>
              <w:t>extensions/forecasting/tests/test_pipeline.py</w:t>
            </w:r>
          </w:p>
        </w:tc>
        <w:tc>
          <w:tcPr>
            <w:tcW w:type="dxa" w:w="4608"/>
            <w:vAlign w:val="center"/>
            <w:tcMar>
              <w:top w:w="90" w:type="dxa"/>
              <w:start w:w="110" w:type="dxa"/>
              <w:bottom w:w="90" w:type="dxa"/>
              <w:end w:w="110" w:type="dxa"/>
            </w:tcMar>
            <w:shd w:fill="EAF1F4"/>
          </w:tcPr>
          <w:p>
            <w:pPr>
              <w:jc w:val="center"/>
            </w:pPr>
            <w:r>
              <w:rPr>
                <w:rFonts w:ascii="Aptos" w:hAnsi="Aptos"/>
                <w:color w:val="000000"/>
                <w:sz w:val="18"/>
              </w:rPr>
              <w:t>Unit tests for leakage and submission invariants</w:t>
            </w:r>
          </w:p>
        </w:tc>
      </w:tr>
    </w:tbl>
    <w:p>
      <w:pPr>
        <w:spacing w:after="20"/>
      </w:pPr>
    </w:p>
    <w:p>
      <w:r>
        <w:rPr>
          <w:rFonts w:ascii="Aptos" w:hAnsi="Aptos"/>
          <w:color w:val="000000"/>
        </w:rPr>
        <w:t>Dokuz birim test lag zamanlamasını, recursive history güncellemesini, uzun geçmiş özelliklerini, submission sırasını, persistence baseline'ı, metrikleri, hata dilimlerini ve hybrid yardımcılarını denetler. Final teslim öncesinde dokuz testin tamamı başarıyla geçmiştir.</w:t>
      </w:r>
    </w:p>
    <w:p>
      <w:pPr>
        <w:pStyle w:val="Heading1"/>
      </w:pPr>
      <w:r>
        <w:t>Conclusion</w:t>
      </w:r>
    </w:p>
    <w:p>
      <w:r>
        <w:rPr>
          <w:rFonts w:ascii="Aptos" w:hAnsi="Aptos"/>
          <w:color w:val="000000"/>
        </w:rPr>
        <w:t>Model refinement ve test submission aşamaları tamamlanmıştır. Optuna tuning küçük fakat tarafsız bir holdout kazancı üretmiştir. Quantile kalibrasyonu %80 coverage hedefini %80.59 ile karşılamıştır. Recursive walk-forward doğrulaması, modelin 10 haftalık statik tahmin koşulunda persistence baseline'dan belirgin biçimde daha iyi olduğunu göstermiştir. Final model tüm etiketli veriyle eğitilmiş ve 32.573 satırlık gerçek Kaggle submission dosyası oluşturulmuştur.</w:t>
      </w:r>
    </w:p>
    <w:p>
      <w:r>
        <w:rPr>
          <w:rFonts w:ascii="Aptos" w:hAnsi="Aptos"/>
          <w:color w:val="000000"/>
        </w:rPr>
        <w:t>Sonuçların iki sınırlılığı vardır. Quantile alpha değeri ayrı bir kalibrasyon setinde yeniden seçilmemiştir. Ayrıca Kaggle test hedefleri paylaşılmadığı için final submission performansı yerel olarak ölçülemez. Bu nedenle nihai performans iddiası holdout ve walk-forward sonuçlarıyla sınırlıdır.</w:t>
      </w:r>
    </w:p>
    <w:p>
      <w:pPr>
        <w:pStyle w:val="Heading1"/>
      </w:pPr>
      <w:r>
        <w:t>References</w:t>
      </w:r>
    </w:p>
    <w:p>
      <w:pPr>
        <w:pStyle w:val="ListBullet"/>
        <w:spacing w:after="60"/>
      </w:pPr>
      <w:r>
        <w:rPr>
          <w:rFonts w:ascii="Aptos" w:hAnsi="Aptos"/>
          <w:color w:val="000000"/>
        </w:rPr>
        <w:t>Kaggle. Food Demand Forecasting dataset by kannanaikkal.</w:t>
      </w:r>
    </w:p>
    <w:p>
      <w:pPr>
        <w:pStyle w:val="ListBullet"/>
        <w:spacing w:after="60"/>
      </w:pPr>
      <w:r>
        <w:rPr>
          <w:rFonts w:ascii="Aptos" w:hAnsi="Aptos"/>
          <w:color w:val="000000"/>
        </w:rPr>
        <w:t>Ke, G. et al. 2017. LightGBM A Highly Efficient Gradient Boosting Decision Tree. NeurIPS.</w:t>
      </w:r>
    </w:p>
    <w:p>
      <w:pPr>
        <w:pStyle w:val="ListBullet"/>
        <w:spacing w:after="60"/>
      </w:pPr>
      <w:r>
        <w:rPr>
          <w:rFonts w:ascii="Aptos" w:hAnsi="Aptos"/>
          <w:color w:val="000000"/>
        </w:rPr>
        <w:t>Akiba, T. et al. 2019. Optuna A Next generation Hyperparameter Optimization Framework. KDD.</w:t>
      </w:r>
    </w:p>
    <w:p>
      <w:pPr>
        <w:pStyle w:val="ListBullet"/>
        <w:spacing w:after="60"/>
      </w:pPr>
      <w:r>
        <w:rPr>
          <w:rFonts w:ascii="Aptos" w:hAnsi="Aptos"/>
          <w:color w:val="000000"/>
        </w:rPr>
        <w:t>Koenker, R. 2005. Quantile Regression. Cambridge University Press.</w:t>
      </w:r>
    </w:p>
    <w:p>
      <w:pPr>
        <w:pStyle w:val="ListBullet"/>
        <w:spacing w:after="60"/>
      </w:pPr>
      <w:r>
        <w:rPr>
          <w:rFonts w:ascii="Aptos" w:hAnsi="Aptos"/>
          <w:color w:val="000000"/>
        </w:rPr>
        <w:t>Abdullah, N., Shaikh, A. K., and Almusharraf, A. 2025. Towards a sustainable retail food chain. Journal of Posthumanism 5 6 571 to 588.</w:t>
      </w:r>
    </w:p>
    <w:p>
      <w:pPr>
        <w:pStyle w:val="ListBullet"/>
        <w:spacing w:after="60"/>
      </w:pPr>
      <w:r>
        <w:rPr>
          <w:rFonts w:ascii="Aptos" w:hAnsi="Aptos"/>
          <w:color w:val="000000"/>
        </w:rPr>
        <w:t>Project repository https://github.com/edasaruhan/SIC_AI_17_Capstone_Group_11</w:t>
      </w:r>
    </w:p>
    <w:sectPr w:rsidR="00FC693F" w:rsidRPr="0006063C" w:rsidSect="00034616">
      <w:footerReference w:type="default" r:id="rId9"/>
      <w:pgSz w:w="11909" w:h="16834"/>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66666"/>
        <w:sz w:val="16"/>
      </w:rPr>
      <w:t>SIC AI 17 Capstone Group 11</w:t>
    </w:r>
  </w:p>
  <w:p>
    <w:pPr>
      <w:jc w:val="right"/>
    </w:pPr>
    <w:r>
      <w:rPr>
        <w:rFonts w:ascii="Aptos" w:hAnsi="Aptos"/>
        <w:color w:val="666666"/>
        <w:sz w:val="16"/>
      </w:rPr>
      <w:t xml:space="preserve">Page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Food Waste Reduction Model Refinement and Test Submission</dc:title>
  <dc:subject>Samsung Innovation Campus AI 17 Capstone Group 11 final report</dc:subject>
  <dc:creator>SIC AI 17 Capstone Group 11</dc:creator>
  <cp:keywords>LightGBM, demand forecasting, food waste, model refinement, submission</cp:keywords>
  <dc:description>generated by python-docx</dc:description>
  <cp:lastModifiedBy/>
  <cp:revision>1</cp:revision>
  <dcterms:created xsi:type="dcterms:W3CDTF">2013-12-23T23:15:00Z</dcterms:created>
  <dcterms:modified xsi:type="dcterms:W3CDTF">2013-12-23T23:15:00Z</dcterms:modified>
  <cp:category/>
</cp:coreProperties>
</file>