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rlito" w:hAnsi="Carlito"/>
          <w:b/>
          <w:color w:val="148A82"/>
          <w:sz w:val="20"/>
        </w:rPr>
        <w:t>PAZARLAMADA YAPAY ZEKÂ · CAPSTONE PROJESİ</w:t>
      </w:r>
    </w:p>
    <w:p>
      <w:pPr>
        <w:spacing w:before="1100" w:after="160"/>
      </w:pPr>
      <w:r>
        <w:rPr>
          <w:rFonts w:ascii="Carlito" w:hAnsi="Carlito"/>
          <w:b/>
          <w:color w:val="123B63"/>
          <w:sz w:val="64"/>
        </w:rPr>
        <w:t>ARGUS AI</w:t>
      </w:r>
    </w:p>
    <w:p>
      <w:pPr>
        <w:jc w:val="left"/>
      </w:pPr>
      <w:r>
        <w:rPr>
          <w:rFonts w:ascii="Carlito" w:hAnsi="Carlito"/>
          <w:b/>
          <w:color w:val="172433"/>
          <w:sz w:val="36"/>
        </w:rPr>
        <w:t>Literatür İncelemesi, Veri Araştırması ve Teknoloji Değerlendirmesi</w:t>
      </w:r>
    </w:p>
    <w:p>
      <w:pPr>
        <w:spacing w:before="160"/>
      </w:pPr>
      <w:r>
        <w:rPr>
          <w:rFonts w:ascii="Carlito" w:hAnsi="Carlito"/>
          <w:color w:val="66717D"/>
          <w:sz w:val="26"/>
        </w:rPr>
        <w:t>Graf Tabanlı Finansal Suç ve Hesap Ağı İstihbaratı</w:t>
      </w:r>
    </w:p>
    <w:tbl>
      <w:tblPr>
        <w:tblW w:type="auto" w:w="0"/>
        <w:jc w:val="left"/>
        <w:tblLook w:firstColumn="1" w:firstRow="1" w:lastColumn="0" w:lastRow="0" w:noHBand="0" w:noVBand="1" w:val="04A0"/>
      </w:tblPr>
      <w:tblGrid>
        <w:gridCol w:w="9746"/>
      </w:tblGrid>
      <w:tr>
        <w:trPr>
          <w:cantSplit/>
          <w:tblHeader/>
        </w:trPr>
        <w:tc>
          <w:tcPr>
            <w:tcW w:type="dxa" w:w="3402"/>
            <w:shd w:fill="148A82"/>
          </w:tcPr>
          <w:p>
            <w:r/>
          </w:p>
        </w:tc>
      </w:tr>
    </w:tbl>
    <w:p>
      <w:pPr>
        <w:spacing w:before="760"/>
      </w:pPr>
      <w:r>
        <w:rPr>
          <w:rFonts w:ascii="Carlito" w:hAnsi="Carlito"/>
          <w:b/>
          <w:color w:val="123B63"/>
          <w:sz w:val="24"/>
        </w:rPr>
        <w:t>Ayşe Ulaşlı  ·  Gizem Özcan</w:t>
      </w:r>
    </w:p>
    <w:p>
      <w:r>
        <w:rPr>
          <w:rFonts w:ascii="Carlito" w:hAnsi="Carlito"/>
          <w:color w:val="66717D"/>
          <w:sz w:val="21"/>
        </w:rPr>
        <w:t>Samsung Innovation Campus  ·  Ağustos 2026</w:t>
      </w:r>
    </w:p>
    <w:p>
      <w:pPr>
        <w:spacing w:before="1100"/>
      </w:pPr>
      <w:r>
        <w:rPr>
          <w:rFonts w:ascii="Carlito" w:hAnsi="Carlito"/>
          <w:b/>
          <w:color w:val="148A82"/>
          <w:sz w:val="19"/>
        </w:rPr>
        <w:t>Temel pazarlama ekseni</w:t>
      </w:r>
    </w:p>
    <w:p>
      <w:r>
        <w:rPr>
          <w:rFonts w:ascii="Carlito" w:hAnsi="Carlito"/>
          <w:b/>
          <w:color w:val="172433"/>
          <w:sz w:val="24"/>
        </w:rPr>
        <w:t>Finansal suç tespitinin operasyonel doğruluğunu artırırken, yanlış pozitiflerden kaynaklanan gereksiz güvenlik müdahalelerini ve meşru müşteride oluşabilecek sürtünmeyi azaltmak.</w:t>
      </w:r>
    </w:p>
    <w:p>
      <w:r/>
    </w:p>
    <w:p>
      <w:pPr>
        <w:pStyle w:val="Heading1"/>
        <w:keepNext/>
        <w:pageBreakBefore/>
      </w:pPr>
      <w:r>
        <w:t>Yönetici Özeti</w:t>
      </w:r>
    </w:p>
    <w:p>
      <w:pPr>
        <w:jc w:val="both"/>
      </w:pPr>
      <w:r>
        <w:rPr>
          <w:i w:val="0"/>
        </w:rPr>
        <w:t>ARGUS AI, dijital bankalar ile küçük ve orta ölçekli bankalara yönelik graf tabanlı bir finansal suç karar-destek prototipidir. Projenin teknik çıkış noktası, para transferlerini birbirinden bağımsız satırlar olarak sınıflandırmak yerine hesaplar arasındaki ilişkileri bir ağ yapısı içinde modellemektir. Hesapların düğüm, transferlerin yönlü kenar olarak ele alınması; çok kaynaktan tek hesaba toplama, tek hesaptan çok hedefe dağıtma, kısa sürede el değiştirme, döngüsel akış ve koordineli komşuluk gibi örüntülerin doğrudan incelenmesini mümkün kılar. Literatür, bu ilişkisel yapının kara para aklamayla mücadele (AML) ve finansal dolandırıcılık problemlerinde işlem-seviyesi modellere ek bilgi sağlayabildiğini; ancak model karmaşıklığının tek başına başarı ölçütü olmadığını göstermektedir (Altman et al., 2023; Egressy et al., 2024; Blanuša et al., 2024).</w:t>
      </w:r>
    </w:p>
    <w:p>
      <w:pPr>
        <w:jc w:val="both"/>
      </w:pPr>
      <w:r>
        <w:t>Capstone projesi açısından pazarlama problemi, “daha fazla dolandırıcılık vakası yakalamak” ifadesinden daha dar ve ölçülebilir biçimde tanımlanmıştır: yanlış pozitiflerin meşru müşteriler üzerinde yarattığı gereksiz güvenlik sürtünmesi. Yanlış pozitif bir risk uyarısı, kuruma göre ek doğrulama, gecikme, manuel inceleme, işlem reddi veya geçici kısıtlama gibi müdahalelere dönüşebilir. Kartlı ödeme literatürü ve sektör verileri, hatalı retlerin müşteri memnuniyeti ve sonraki ödeme davranışı üzerinde olumsuz sonuçlar doğurabildiğini göstermektedir (Wang et al., 2019; Visa, 2024). Bununla birlikte, ARGUS’un kullanacağı sentetik AML verisi müşteri memnuniyeti, terk veya şikâyet değişkenlerini içermediği için bu çalışma doğrudan müşteri elde tutma ya da NPS etkisi iddia etmeyecektir. Model tarafındaki yanlış pozitif oranı, pazarlama ile teknik performans arasında bir “köprü metrik” olarak ele alınacaktır.</w:t>
      </w:r>
    </w:p>
    <w:p>
      <w:pPr>
        <w:jc w:val="both"/>
      </w:pPr>
      <w:r>
        <w:rPr>
          <w:i w:val="0"/>
        </w:rPr>
        <w:t>Literatür incelemesi üç sonucu öne çıkarmaktadır. Birincisi, finansal suç ağları yönlü ve çoğu zaman çoklu kenarlı yapılardır; bu nedenle standart GNN mimarilerinin finansal işlemlere doğrudan uygulanması yeterli olmayabilir. İkincisi, graf özellik mühendisliği ile gradyan artırma gibi daha yalın yaklaşımlar bazı senaryolarda GNN’lerle yarışabilmekte veya onları aşabilmektedir; ARGUS bu nedenle güçlü bir işlem-seviyesi referans model kurmadan GNN üstünlüğü varsaymayacaktır (Blanuša et al., 2024). Üçüncüsü, açıklanabilirlik ve insan denetimi finansal suç karar-destek sistemlerinde sonradan eklenen bir sunum unsuru değil, operasyonel güvenilirliğin parçasıdır (BIS Innovation Hub, 2025).</w:t>
      </w:r>
    </w:p>
    <w:p>
      <w:pPr>
        <w:jc w:val="both"/>
      </w:pPr>
      <w:r>
        <w:rPr>
          <w:i w:val="0"/>
        </w:rPr>
        <w:t>Önerilen deney tasarımı aşamalıdır: Lojistik Regresyon, Rastgele Orman ve XGBoost/LightGBM ile işlem-seviyesi referans kurulacak; ardından NetworkX ile graf özellikleri üretilecek; graf-zenginleştirilmiş gradyan artırma ve en az bir GNN (öncelikle GraphSAGE) aynı veri bölünmesinde karşılaştırılacaktır. Nadir pozitif sınıf nedeniyle ana metrikler PR-AUC, Recall@K, precision/F1, yanlış pozitif oranı ve uyarı hacmi olacaktır. Sistem, analistin hangi ağı neden önce incelemesi gerektiğini açıklayan bir Streamlit paneliyle sunulacak; üretken yapay zekâ yalnızca mevcut kanıtı kısa vaka notuna dönüştürecek ve hiçbir aşamada otomatik suç isnadı veya yaptırım kararı vermeyecektir.</w:t>
      </w:r>
    </w:p>
    <w:p>
      <w:pPr>
        <w:pStyle w:val="Heading1"/>
        <w:keepNext/>
      </w:pPr>
      <w:r>
        <w:t>1. Giriş: Pazarlama Problemi ve Proje Bağlamı</w:t>
      </w:r>
    </w:p>
    <w:p>
      <w:pPr>
        <w:pStyle w:val="Heading2"/>
        <w:keepNext/>
      </w:pPr>
      <w:r>
        <w:t>1.1 Pazarlama problemi</w:t>
      </w:r>
    </w:p>
    <w:p>
      <w:pPr>
        <w:jc w:val="both"/>
      </w:pPr>
      <w:r>
        <w:t>ARGUS’un doğrudan çözdüğü operasyonel problem, finansal suç ve dolandırıcılık vakalarının daha doğru tespit edilmesi ve önceliklendirilmesidir. Pazarlamada Yapay Zekâ capstone projesi açısından kritik nokta, teknik başarının müşteri deneyimine nasıl yansıdığını açık bir ölçüm zinciriyle kurmaktır. Bankacılıkta dolandırıcılık kontrolü yalnızca kurumun kayıp riskini değil, meşru müşterinin dijital yolculuğunu da etkiler. Bir risk sistemi gereğinden fazla alarm ürettiğinde bunun maliyeti yalnızca analist zamanıyla sınırlı kalmaz; ek doğrulama, işlem gecikmesi, geçici blokaj veya yanlış ret gibi müşteri karşılaşmaları da ortaya çıkabilir.</w:t>
      </w:r>
    </w:p>
    <w:p>
      <w:pPr>
        <w:jc w:val="both"/>
      </w:pPr>
      <w:r>
        <w:rPr>
          <w:i w:val="0"/>
        </w:rPr>
        <w:t>Kartlı ödeme bağlamında yapılan çalışmalar bu mekanizmanın iş sonucuna dönüşebildiğini göstermektedir. Wang, Chen ve Chen (2019), yanlış pozitif retlerin tüketici açısından rahatsızlık ve memnuniyetsizlik yarattığını ve güvenlik kararlarının tüketici davranışıyla birlikte optimize edilmesi gerektiğini savunur. Visa’nın 2024 tarihli sektör yayını ise bir kartta üçten fazla ret yaşayan müşterilerin aynı kartı yeniden kullanma olasılığının belirgin biçimde düştüğünü rapor eder. Bu bulgular ARGUS’un AML veri setinde doğrudan test edilemez; fakat model yanlış pozitifleri ile müşteri sürtünmesi arasında sınanabilir bir pazarlama hipotezi kurulmasını sağlar.</w:t>
      </w:r>
    </w:p>
    <w:p>
      <w:pPr>
        <w:pStyle w:val="Heading2"/>
        <w:keepNext/>
      </w:pPr>
      <w:r>
        <w:t>1.2 Hedef müşteri ve müşteri yolculuğu</w:t>
      </w:r>
    </w:p>
    <w:p>
      <w:pPr>
        <w:jc w:val="both"/>
      </w:pPr>
      <w:r>
        <w:rPr>
          <w:i w:val="0"/>
        </w:rPr>
        <w:t>Projenin birincil hedef segmenti dijital bankalar, ikincil hedef segmenti ise küçük ve orta ölçekli bankalardır. Büyük bankalar, daha karmaşık entegrasyon ve satın alma süreçleri nedeniyle ilk pilotun değil ilerleyen aşamaların potansiyel müşterisi olarak değerlendirilir. Kurum içindeki günlük kullanıcı dolandırıcılık/AML analisti; ekonomik alıcı finansal suç, uyum veya risk yönetimi; teknik etkileyen ise veri, model risk ve teknoloji ekipleridir. Nihai tüketici sistemi doğrudan kullanmaz, ancak risk kararlarının yarattığı güvenlik müdahalelerini deneyimler.</w:t>
      </w:r>
    </w:p>
    <w:p>
      <w:pPr>
        <w:jc w:val="both"/>
      </w:pPr>
      <w:r>
        <w:rPr>
          <w:i w:val="0"/>
        </w:rPr>
        <w:t>Pazarlama açısından kritik müşteri yolculuğu aşaması işlem gerçekleştirme ve güvenlik kontrolü çevresidir. ARGUS’un hedefi, düşük riskli müşterinin deneyimini “otomatik olarak serbest bırakmak” değildir; böyle bir karar gerçek banka politikası ve düzenleyici süreçlere bağlıdır. Prototip, hangi ağların gerçekten daha yüksek inceleme önceliği taşıdığını daha isabetli göstermeyi amaçlar. Gelecekteki bir banka pilotunda bu bilgi, gereksiz müdahale oranı, işlem tamamlama oranı, güvenlik nedeniyle terk, şikâyet ve CSAT gibi KPI’larla eşleştirilebilir.</w:t>
      </w:r>
    </w:p>
    <w:p>
      <w:pPr>
        <w:pStyle w:val="Heading2"/>
        <w:keepNext/>
      </w:pPr>
      <w:r>
        <w:t>1.3 Araştırma soruları</w:t>
      </w:r>
    </w:p>
    <w:p>
      <w:pPr>
        <w:pStyle w:val="ListBullet"/>
        <w:spacing w:after="50"/>
        <w:ind w:left="312" w:hanging="142"/>
        <w:jc w:val="left"/>
      </w:pPr>
      <w:r>
        <w:rPr>
          <w:rFonts w:ascii="Carlito" w:hAnsi="Carlito"/>
          <w:sz w:val="20"/>
        </w:rPr>
        <w:t>RQ1 — Graf bilgisi, en güçlü işlem-seviyesi modele kıyasla nadir şüpheli sınıfın tespitini PR-AUC ve Recall@K açısından iyileştiriyor mu?</w:t>
      </w:r>
    </w:p>
    <w:p>
      <w:pPr>
        <w:pStyle w:val="ListBullet"/>
        <w:spacing w:after="50"/>
        <w:ind w:left="312" w:hanging="142"/>
        <w:jc w:val="left"/>
      </w:pPr>
      <w:r>
        <w:rPr>
          <w:rFonts w:ascii="Carlito" w:hAnsi="Carlito"/>
          <w:sz w:val="20"/>
        </w:rPr>
        <w:t>RQ2 — Bir hesap ağının önceliklendirilmesini en tutarlı biçimde açıklayan yapısal ve zamansal sinyaller hangileridir?</w:t>
      </w:r>
    </w:p>
    <w:p>
      <w:pPr>
        <w:pStyle w:val="ListBullet"/>
        <w:spacing w:after="50"/>
        <w:ind w:left="312" w:hanging="142"/>
        <w:jc w:val="left"/>
      </w:pPr>
      <w:r>
        <w:rPr>
          <w:rFonts w:ascii="Carlito" w:hAnsi="Carlito"/>
          <w:sz w:val="20"/>
        </w:rPr>
        <w:t>RQ3 — Sabit analist inceleme kapasitesinde ağ-farkındalıklı sıralama, incelenen şüpheli vaka kapsamasını veya beklenen önlenebilir kaybı artırıyor mu?</w:t>
      </w:r>
    </w:p>
    <w:p>
      <w:pPr>
        <w:pStyle w:val="ListBullet"/>
        <w:spacing w:after="50"/>
        <w:ind w:left="312" w:hanging="142"/>
        <w:jc w:val="left"/>
      </w:pPr>
      <w:r>
        <w:rPr>
          <w:rFonts w:ascii="Carlito" w:hAnsi="Carlito"/>
          <w:sz w:val="20"/>
        </w:rPr>
        <w:t>RQ4 — Yanlış pozitif oranındaki olası düşüş, sentetik verinin kanıtlayamayacağı nedensel sonuçlar iddia edilmeden, ölçülebilir bir müşteri deneyimi değer önerisine dönüştürülebilir mi?</w:t>
      </w:r>
    </w:p>
    <w:p>
      <w:pPr>
        <w:pStyle w:val="Heading2"/>
        <w:keepNext/>
      </w:pPr>
      <w:r>
        <w:t>1.4 İnceleme yaklaşımı ve kaynak seçimi</w:t>
      </w:r>
    </w:p>
    <w:p>
      <w:pPr>
        <w:jc w:val="both"/>
      </w:pPr>
      <w:r>
        <w:t>Bu çalışma sistematik derleme iddiası taşımayan, tematik ve amaç odaklı bir literatür incelemesidir. Kaynaklar dört grupta seçilmiştir: (i) hakemli AML, dolandırıcılık ve graf öğrenmesi çalışmaları, (ii) model açıklanabilirliği ve dengesiz sınıflandırma metodolojisi, (iii) merkez bankası ve düzenleyici kurum raporları, (iv) ticari ürünlerin gerçek kullanım mantığını gösteren kurumsal kaynaklar. Akademik omurgada NeurIPS, AAAI, ACM ICAIF, Journal of Finance and Data Science, Computers &amp; Security, Omega ve PLOS ONE gibi yayınlar; sektör ve düzenleyici bağlamda BIS Innovation Hub, EBA/ECB, Visa, Quantexa ve Feedzai kullanılmıştır. Ticari kaynaklardaki performans iddiaları akademik deney sonucu gibi yorumlanmamış, yalnızca pazar uygulamasını ve ürün tasarım eğilimlerini göstermek için kullanılmıştır.</w:t>
      </w:r>
    </w:p>
    <w:p>
      <w:pPr>
        <w:pStyle w:val="Heading1"/>
        <w:keepNext/>
      </w:pPr>
      <w:r>
        <w:t>2. Literatür İncelemesi</w:t>
      </w:r>
    </w:p>
    <w:p>
      <w:pPr>
        <w:pStyle w:val="Heading2"/>
        <w:keepNext/>
      </w:pPr>
      <w:r>
        <w:t>2.1 İşlem-seviyesi izleme: güçlü başlangıç, sınırlı bağlam</w:t>
      </w:r>
    </w:p>
    <w:p>
      <w:pPr>
        <w:jc w:val="both"/>
      </w:pPr>
      <w:r>
        <w:rPr>
          <w:i w:val="0"/>
        </w:rPr>
        <w:t>Geleneksel dolandırıcılık ve AML sistemleri kurala dayalı eşikler, işlem özellikleri ve hesap geçmişinden türetilen tablo tabanlı değişkenlerle çalışır. Bu yapı; tutar, saat, işlem türü, ülke, kanal, frekans ve müşterinin geçmiş davranışı gibi değişkenlerde etkili olabilir. Ancak koordineli finansal suçun ayırt edici bilgisi çoğu zaman tek bir satırda değil, birden fazla hesap ve işlem arasındaki ilişkide bulunur. Bir işlemin olağan görünmesi, o işlemin bağlı olduğu ağın olağan olduğu anlamına gelmez.</w:t>
      </w:r>
    </w:p>
    <w:p>
      <w:pPr>
        <w:jc w:val="both"/>
      </w:pPr>
      <w:r>
        <w:rPr>
          <w:i w:val="0"/>
        </w:rPr>
        <w:t>Vorobyev ve Krivitskaya (2022), büyük bir bankanın 20 milyondan fazla kart işlemini içeren gerçek veri setinde karar ağacı, rastgele orman ve gradyan artırma tabanlı kural üretimiyle yanlış pozitifleri azaltmayı hedeflemiştir. Çalışma, dolandırıcılık tespitinin yalnızca yakalanan dolandırıcılık vakası miktarıyla değil, yanlış alarm oranıyla da değerlendirilmesi gerektiğini açık biçimde ortaya koyar. Bu yaklaşım ARGUS için iki nedenle önemlidir. Birincisi, gradyan artırma güçlü ve operasyonel olarak anlaşılabilir bir referans oluşturur. İkincisi, graf modeli daha karmaşık olduğu için üstünlüğü varsayılmamalı; aynı veri bölünmesinde daha yalın modellere karşı kanıtlanmalıdır.</w:t>
      </w:r>
    </w:p>
    <w:p>
      <w:pPr>
        <w:jc w:val="both"/>
      </w:pPr>
      <w:r>
        <w:t>Sınıf dengesizliği bu problemde ölçüm disiplinini de değiştirir. Finansal suç örnekleri normal işlemlere kıyasla çok az olduğundan yüksek doğruluk ya da ROC-AUC, analiste giden yanlış alarm hacmini gizleyebilir. Saito ve Rehmsmeier (2015), dengesiz veri setlerinde kesinlik-duyarlılık (precision-recall) eğrisinin ROC eğrisine kıyasla pratik sınıflandırma kalitesini daha doğrudan gösterdiğini ortaya koymuştur. Bu nedenle ARGUS’ta PR-AUC ve Recall@K ana metrik; yanlış pozitif oranı ve mutlak uyarı sayısı ise operasyonel tamamlayıcılar olarak kullanılacaktır.</w:t>
      </w:r>
    </w:p>
    <w:p>
      <w:pPr>
        <w:pStyle w:val="Heading2"/>
        <w:keepNext/>
      </w:pPr>
      <w:r>
        <w:t>2.2 Finansal işlemlerin graf olarak temsil edilmesi</w:t>
      </w:r>
    </w:p>
    <w:p>
      <w:pPr>
        <w:jc w:val="both"/>
      </w:pPr>
      <w:r>
        <w:rPr>
          <w:i w:val="0"/>
        </w:rPr>
        <w:t>Para hareketleri doğal olarak yönlü bir ağ oluşturur: hesap veya kurumlar düğüm, para transferleri ise yönlü kenardır. Aynı iki hesap arasında farklı zamanlarda çok sayıda transfer gerçekleşebildiğinden yapı basit bir graf değil, çoğu durumda yönlü çoklu graftır. Bu ayrım metodolojik olarak önemlidir; kenar yönü, tutar, zaman damgası ve işlem türü kaybedildiğinde para akışının biçimi de kısmen kaybolur.</w:t>
      </w:r>
    </w:p>
    <w:p>
      <w:pPr>
        <w:jc w:val="both"/>
      </w:pPr>
      <w:r>
        <w:t>Egressy ve arkadaşları (2024), finansal suç bağlamında çoktan-bire toplama (fan-in), birden-çoğa dağıtma (fan-out), yönlü döngüler, dağıt-topla (scatter-gather) ve topla-dağıt (gather-scatter) gibi ağ motiflerini öne çıkarır. Yazarlar, standart mesaj geçiren GNN’leri yönlü çoklu graflara uyarlamak için ters mesaj geçişi, port numaralandırma ve ego kimlikleri gibi mekanizmalar kullanmış ve AML görevlerinde standart mesaj-geçişli GNN’e göre azınlık sınıfı F1 skorunda %30’a varan artışlar raporlamıştır. Bulgular, finansal ağlarda “graf kullanmak” ile “grafın yapısal özelliklerini doğru korumak” arasında fark olduğunu gösterir.</w:t>
      </w:r>
    </w:p>
    <w:p>
      <w:pPr>
        <w:jc w:val="both"/>
      </w:pPr>
      <w:r>
        <w:rPr>
          <w:i w:val="0"/>
        </w:rPr>
        <w:t>Bu motiflerin hiçbiri tek başına suç göstergesi değildir. Örneğin çok sayıda müşteriden ödeme alan bir market doğal olarak yüksek fan-in değerine sahip olabilir. Dolayısıyla ARGUS, ağ örüntülerini deterministik suç kuralları olarak değil, başka işlem ve zaman sinyalleriyle birlikte değerlendirilen inceleme kanıtı olarak sunmalıdır. Bu yaklaşım yanlış pozitif riskini azaltmak ve analist güvenini korumak açısından da gereklidir.</w:t>
      </w:r>
    </w:p>
    <w:p>
      <w:pPr>
        <w:pStyle w:val="Heading2"/>
        <w:keepNext/>
      </w:pPr>
      <w:r>
        <w:t>2.3 Graf özellik mühendisliği ile GNN arasındaki denge</w:t>
      </w:r>
    </w:p>
    <w:p>
      <w:pPr>
        <w:jc w:val="both"/>
      </w:pPr>
      <w:r>
        <w:t>Graf tabanlı finansal suç çalışmalarında son yıllardaki en yararlı bulgulardan biri, her problemin derin bir GNN gerektirmediğidir. Blanuša ve arkadaşlarının (2024) Graph Feature Preprocessor çalışması; alt-graf örüntülerini gerçek zamanlı çıkarıp bu bilgileri gradyan artırma modeline özellik olarak verdiğinde, AML ve oltalama (phishing) veri setlerinde standart GNN tabanlarından daha yüksek azınlık sınıfı F1 skorları ve daha iyi hesaplama verimliliği elde edilebildiğini göstermektedir. Bu sonuç, model seçimini “daha karmaşık olan daha iyidir” yaklaşımından uzaklaştırır.</w:t>
      </w:r>
    </w:p>
    <w:p>
      <w:pPr>
        <w:jc w:val="both"/>
      </w:pPr>
      <w:r>
        <w:rPr>
          <w:i w:val="0"/>
        </w:rPr>
        <w:t>ARGUS açısından doğru karşılaştırma üç basamaklıdır: işlem-seviyesi tablo tabanlı model, graf özellikleriyle zenginleştirilmiş tablo tabanlı model ve GNN. Böyle bir ablasyon tasarımı, performans artışının graf bilgisinden mi, özellik mühendisliğinden mi, yoksa GNN mimarisinden mi geldiğini ayırmayı sağlar. Aynı zamanda daha yalın bir modelin benzer başarıyı daha düşük gecikme ve açıklama maliyetiyle sağlaması halinde, ürün kararı için daha rasyonel bir seçenek sunar.</w:t>
      </w:r>
    </w:p>
    <w:p>
      <w:pPr>
        <w:pStyle w:val="Heading2"/>
        <w:keepNext/>
      </w:pPr>
      <w:r>
        <w:t>2.4 Graf sinir ağları: yönlülük, heterojenlik ve ölçek</w:t>
      </w:r>
    </w:p>
    <w:p>
      <w:pPr>
        <w:jc w:val="both"/>
      </w:pPr>
      <w:r>
        <w:rPr>
          <w:i w:val="0"/>
        </w:rPr>
        <w:t>GNN’ler bir düğümün kendi özellikleriyle komşularından gelen bilgiyi bir arada temsil eder. GraphSAGE, komşuluk örnekleme ve toplama yoluyla daha önce görülmemiş düğümlere genellenebilen endüktif temsiller öğrenir (Hamilton et al., 2017). Dinamik müşteri ve hesapların sürekli sisteme katıldığı bankacılık bağlamında bu özellik pratik bir avantajdır. GCN ve GAT ise karşılaştırma için yararlı temel mimarilerdir; fakat finansal graflardaki yön, tekrarlı kenar ve kenar özelliklerinin korunması ayrı tasarım kararı gerektirir.</w:t>
      </w:r>
    </w:p>
    <w:p>
      <w:pPr>
        <w:jc w:val="both"/>
      </w:pPr>
      <w:r>
        <w:rPr>
          <w:i w:val="0"/>
        </w:rPr>
        <w:t>Johannessen ve Jullum (2025), Norveç’in büyük bir bankasından gerçek işlem ve iş-rolü verileriyle kurulan heterojen ağ üzerinde GNN kullanmış ve farklı düğüm/ilişki tiplerinin aynı graf içinde temsil edilmesinin AML gözetimine katkı sağlayabildiğini göstermiştir. Bu sonuç, ARGUS’un ileri aşamasında hesap, müşteri, işletme ve işlem türlerinin ayrı ilişki tipleriyle modellenebileceğini destekler. Ancak capstone kapsamı için homojen hesap-transfer grafıyla başlanması, R-GCN veya heterojen GNN’nin çekirdek deney çalıştıktan sonra ele alınması daha güvenli bir yol haritasıdır.</w:t>
      </w:r>
    </w:p>
    <w:p>
      <w:pPr>
        <w:jc w:val="both"/>
      </w:pPr>
      <w:r>
        <w:t>FraudGT, graf dönüştürücü yaklaşımıyla kenar özelliklerini ve ilişki bağlamını daha doğrudan kullanmayı hedefler. Lin ve arkadaşları (2024), birden fazla büyük finansal veri setinde geleneksel graf modellerine göre F1 ve işleme hızı açısından üstün sonuçlar raporlamıştır. Bu çalışma ileride bir graf dönüştürücü denemesi için güçlü bir referans olsa da capstone projesinin ilk hedefi en ileri düzey modeli çoğaltmak değil, graf bilgisinin iş ve müşteri değerine katkısını kontrollü biçimde ölçmektir.</w:t>
      </w:r>
    </w:p>
    <w:p>
      <w:pPr>
        <w:pStyle w:val="Heading2"/>
        <w:keepNext/>
      </w:pPr>
      <w:r>
        <w:t>2.5 Etiket kıtlığı, öz-denetimli öğrenme ve anomali tespiti</w:t>
      </w:r>
    </w:p>
    <w:p>
      <w:pPr>
        <w:jc w:val="both"/>
      </w:pPr>
      <w:r>
        <w:rPr>
          <w:i w:val="0"/>
        </w:rPr>
        <w:t>Gerçek AML operasyonlarında doğrulanmış referans eksiktir. Tespit edilemeyen suç davranışları doğal olarak etiket setine girmez; incelenen vakaların etiketleri de kurum süreçlerinden etkilenir. Cardoso, Saleiro ve Bizarro (2022), bu probleme LaundroGraph ile yaklaşmış; müşteri-işlem iki parçalı grafı üzerinde öz-denetimli bağlantı tahminiyle temsiller öğrenmiştir. Çalışma, gerçek banka ağında etikete daha az bağımlı temsillerin analist incelemesine yardımcı olabileceğini gösterir.</w:t>
      </w:r>
    </w:p>
    <w:p>
      <w:pPr>
        <w:jc w:val="both"/>
      </w:pPr>
      <w:r>
        <w:rPr>
          <w:i w:val="0"/>
        </w:rPr>
        <w:t>ARGUS’un anomali katmanı bu literatürün devamı olarak düşünülmelidir; fakat anomali skoru ile “suç” etiketi aynı şey değildir. Isolation Forest gibi düşük maliyetli bir yöntem, graf ve hesap özellikleri üzerinde alışılmadık davranışı ek sinyal olarak işaretleyebilir. Graf otoenkoder ise daha ileri bir alternatif olabilir. Her iki durumda da bu skor, denetimli modelden ayrı tutulmalı ve panelde “olağandışı davranış sinyali” olarak sunulmalıdır.</w:t>
      </w:r>
    </w:p>
    <w:p>
      <w:pPr>
        <w:pStyle w:val="Heading2"/>
        <w:keepNext/>
      </w:pPr>
      <w:r>
        <w:t>2.6 Açıklanabilirlik ve insan denetimi</w:t>
      </w:r>
    </w:p>
    <w:p>
      <w:pPr>
        <w:jc w:val="both"/>
      </w:pPr>
      <w:r>
        <w:t>Finansal suç karar-destek sisteminde açıklanabilirlik, modelin “neden bu ağ?” sorusuna denetlenebilir bir yanıt üretebilmesidir. Tablo tabanlı gradyan artırma modellerinde SHAP, tek bir tahminde hangi özelliklerin sonuca ne yönde katkı verdiğini tutarlı bir çerçevede hesaplamaya imkân verir (Lundberg &amp; Lee, 2017). Graf modellerinde ise açıklama daha zordur; tahmine etki eden alt-grafın ve düğüm özelliklerinin birlikte belirlenmesi gerekir. GNNExplainer bu problem için kompakt alt-graf ve etkili özellikleri bulmayı amaçlayan genel bir yaklaşım sunar (Ying et al., 2019).</w:t>
      </w:r>
    </w:p>
    <w:p>
      <w:pPr>
        <w:jc w:val="both"/>
      </w:pPr>
      <w:r>
        <w:rPr>
          <w:i w:val="0"/>
        </w:rPr>
        <w:t>ARGUS’ta açıklama iki katmana ayrılmalıdır. İlk katman gözlenen kanıttır: para yolu, karşı taraflar, tutarlar, fan-in/fan-out, döngüsellik, kısa elde tutma, riskli komşu oranı. İkinci katman model katkısıdır: SHAP veya geçerli bir graf açıklayıcının ürettiği önem değerleri. Bu ayrım, analistin ham gözlemi model yorumundan ayırt etmesini sağlar. BIS Project Hertha da etiketli veri, geri besleme döngüsü ve açıklanabilir yapay zekânın etkin uygulama için temel gereklilikler olduğunu vurgular (BIS Innovation Hub, 2025).</w:t>
      </w:r>
    </w:p>
    <w:p>
      <w:pPr>
        <w:pStyle w:val="Heading2"/>
        <w:keepNext/>
      </w:pPr>
      <w:r>
        <w:t>2.7 Güvenlik–sürtünme dengesi: teknik metrikten pazarlama sonucuna</w:t>
      </w:r>
    </w:p>
    <w:p>
      <w:pPr>
        <w:jc w:val="both"/>
      </w:pPr>
      <w:r>
        <w:t>ARGUS’un Pazarlamada Yapay Zekâ bağlamındaki temel bağlantısı yanlış pozitiflerdir. Banka açısından yanlış pozitif yalnızca gereksiz bir alarm değildir; alarm müşteriye yansıyan bir güvenlik kontrolüne dönüştüğünde gelir ve ilişki etkisi oluşabilir. Wang ve arkadaşları (2019), kredi kartı dolandırıcılık kararlarında yanlış retlerin tüketici memnuniyetsizliği yarattığını ve doğrulama stratejisinin müşteri toleransı ile ekonomik sonuçlar birlikte düşünülerek tasarlanması gerektiğini gösterir. Vorobyev ve Krivitskaya (2022) ise gerçek banka dolandırıcılık karşıtı sisteminde yanlış pozitif oranını doğrudan iş metriği olarak ele almıştır.</w:t>
      </w:r>
    </w:p>
    <w:p>
      <w:pPr>
        <w:jc w:val="both"/>
      </w:pPr>
      <w:r>
        <w:rPr>
          <w:i w:val="0"/>
        </w:rPr>
        <w:t>Visa’nın 2024 tarihli yayını, üçten fazla ret yaşayan kart müşterilerinin aynı kartı yeniden kullanma olasılığının 2,5 kat daha düşük olduğunu aktarır. Bu veri ticari bir kurum kaynağı olduğu ve kartlı ödeme bağlamına ait olduğu için ARGUS’un AML prototipinde doğrudan etki büyüklüğü olarak kullanılamaz. Yine de müşteri sürtünmesinin yalnızca operasyonel değil, davranışsal ve ticari sonuçları olabileceğine dair makul bir sektör kanıtı sağlar. EBA ve ECB’nin 2025 raporu da güçlü müşteri doğrulamasının dolandırıcılık türlerinin bir bölümünde etkili kaldığını, buna karşın suç yöntemlerinin değiştiğini ve güvenlik önlemlerinin yeni risklere uyarlanması gerektiğini göstermektedir.</w:t>
      </w:r>
    </w:p>
    <w:p>
      <w:pPr>
        <w:jc w:val="both"/>
      </w:pPr>
      <w:r>
        <w:rPr>
          <w:i w:val="0"/>
        </w:rPr>
        <w:t>Bu nedenle ARGUS’un pazarlama KPI zinciri temkinli kurulmalıdır: model kalitesi → yanlış pozitif/uyarı hacmi → gereksiz müşteri müdahalesi → işlem tamamlama/terk/şikâyet/CSAT. Sentetik veri yalnızca ilk iki halkayı ölçebilir. Son iki halka, gerçek kurum pilotunda müşteri yolculuğu verisiyle test edilmelidir. Böylece proje, sentetik veri üzerinden “müşteri memnuniyetini artırdık” gibi desteklenmeyen bir sonuç üretmez.</w:t>
      </w:r>
    </w:p>
    <w:p>
      <w:pPr>
        <w:pStyle w:val="Heading2"/>
        <w:keepNext/>
      </w:pPr>
      <w:r>
        <w:t>2.8 Sistem düzeyinde kanıt: Project Hertha</w:t>
      </w:r>
    </w:p>
    <w:p>
      <w:pPr>
        <w:jc w:val="both"/>
      </w:pPr>
      <w:r>
        <w:rPr>
          <w:i w:val="0"/>
        </w:rPr>
        <w:t>BIS Innovation Hub ile Bank of England tarafından yürütülen Project Hertha, ARGUS’a en yakın sistem-düzeyi referanslardan biridir. Proje, 1,8 milyon hesap ve 308 milyon işlemi içeren sentetik perakende ödeme ekosisteminde ağ-geneli analitiğin karmaşık ve koordineli finansal suç örüntülerini yakalamaya katkısını incelemiştir. Ödeme sistemi analitiği, katılımcı banka ve ödeme hizmeti sağlayıcılarının başka yöntemlerle bulabileceklerine kıyasla %12 daha fazla yasa dışı hesap tespit etmesine ve daha önce görülmemiş davranışlarda %26 iyileşme elde etmesine yardımcı olmuştur (BIS Innovation Hub, 2025).</w:t>
      </w:r>
    </w:p>
    <w:p>
      <w:pPr>
        <w:jc w:val="both"/>
      </w:pPr>
      <w:r>
        <w:rPr>
          <w:i w:val="0"/>
        </w:rPr>
        <w:t>Bu oranlar ARGUS için hedef olarak alınmayacaktır. Veri üretim süreci, ağ kapsamı ve kurumsal bağlam farklıdır. Hertha’nın ARGUS açısından asıl değeri, ağ bilgisinin tek kurumun izole işlem görünümüne tamamlayıcı olabileceğini ve yeni örüntülerde özellikle yararlı olabileceğini göstermesidir. Aynı rapor, ağ analitiğinin tek başına yeterli olmadığını; hukuki ve düzenleyici sorular, gizlilik, etiketli veri, geri besleme ve açıklanabilirlik konularının çözülmesi gerektiğini de açıkça belirtir.</w:t>
      </w:r>
    </w:p>
    <w:p>
      <w:pPr>
        <w:pStyle w:val="Heading2"/>
        <w:keepNext/>
      </w:pPr>
      <w:r>
        <w:t>2.9 Sektör uygulamaları: araştırmadan ürüne</w:t>
      </w:r>
    </w:p>
    <w:p>
      <w:pPr>
        <w:jc w:val="both"/>
      </w:pPr>
      <w:r>
        <w:t>Ticari çözümler, graf tabanlı bağlamsal risk yaklaşımının pazarda karşılığı bulunduğunu göstermektedir. Quantexa; varlık çözümleme ve graf üretimiyle müşteri, hesap ve karşı taraf ilişkilerini bir araya getiren AML çözümleri sunmakta; 2025’te orta ölçekli ve topluluk bankaları için duyurduğu Cloud AML ürününde gizli ilişkilerin görünür kılınması, yanlış pozitiflerin azaltılması ve inceleme süresinin kısaltılması gibi operasyonel faydaları öne çıkarmaktadır (Quantexa, 2025). Feedzai ise kuralları, davranış profillerini ve makine öğrenmesini aynı AML iş akışında birleştirerek yanlış pozitifleri azaltma ve uyarıları önceliklendirme hedefiyle konumlanmaktadır (Feedzai, 2026b). Bu ticari kaynaklar bağımsız akademik performans kanıtı olarak değil, problemin pazar karşılığını ve ürün tasarım yönünü göstermek amacıyla kullanılmaktadır.</w:t>
      </w:r>
    </w:p>
    <w:p>
      <w:pPr>
        <w:jc w:val="both"/>
      </w:pPr>
      <w:r>
        <w:rPr>
          <w:i w:val="0"/>
        </w:rPr>
        <w:t>Bu örnekler ARGUS’un pazarda “ilk graf tabanlı AML çözümü” olduğu iddiasını geçersiz kılar; zaten böyle bir iddia gerekli değildir. Capstone’un ayırt edici yönü, araştırma düzeyindeki graf modellerini açık sentetik veri üzerinde yeniden üretilebilir bir deneyle sınaması ve aynı akışta açıklanabilirlik, analist kapasitesi ve müşteri sürtünmesi metriklerini birbirine bağlamasıdır.</w:t>
      </w:r>
    </w:p>
    <w:p>
      <w:pPr>
        <w:pStyle w:val="Heading2"/>
        <w:keepNext/>
      </w:pPr>
      <w:r>
        <w:t>2.10 Literatür sentezi ve araştırma boşluğu</w:t>
      </w:r>
    </w:p>
    <w:p>
      <w:pPr>
        <w:jc w:val="both"/>
      </w:pPr>
      <w:r>
        <w:rPr>
          <w:i w:val="0"/>
        </w:rPr>
        <w:t>Literatür birlikte değerlendirildiğinde dört ortak sonuç ortaya çıkar. İlk olarak, finansal suç davranışı ilişkisel olduğu için ağ bilgisi işlem-seviyesi modellere tamamlayıcı değer sağlar. İkinci olarak, yönlülük, çoklu kenarlar ve zamansal bağlam korunmadığında standart GNN’lerin avantajı sınırlanabilir. Üçüncü olarak, graf özellikleri + gradyan artırma kimi veri setlerinde GNN’den daha verimli ve daha güçlü olabilir; bu nedenle model seçimi deneysel karşılaştırmaya dayanmalıdır. Dördüncü olarak, yüksek yanlış pozitif oranı hem operasyon maliyetini hem de müşteri deneyimini etkileyen bir iş problemidir.</w:t>
      </w:r>
    </w:p>
    <w:p>
      <w:pPr>
        <w:jc w:val="both"/>
      </w:pPr>
      <w:r>
        <w:rPr>
          <w:i w:val="0"/>
        </w:rPr>
        <w:t>Araştırma boşluğu, graf AML’nin keşfedilmemiş olması değildir. Akademik çalışmalar çoğunlukla tespit performansına, ticari platformlar kurumsal AML iş akışına, pazarlama kaynakları ise sürtünme ve müşteri davranışına odaklanır. ARGUS bu üç alanı tek deney tasarımında bir araya getirir: güçlü işlem-seviyesi referans + finansal graf + graf özellikleri/GNN + açıklanabilir kanıt + sabit analist kapasitesinde önceliklendirme + yanlış pozitiften müşteri deneyimi KPI’larına uzanan ölçüm köprüsü.</w:t>
      </w:r>
    </w:p>
    <w:p>
      <w:pPr>
        <w:pStyle w:val="Heading3"/>
        <w:keepNext/>
      </w:pPr>
      <w:r>
        <w:t>Tablo 1. Temel kaynakların karşılaştırmalı sentezi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tcMar>
              <w:top w:w="85" w:type="dxa"/>
              <w:start w:w="90" w:type="dxa"/>
              <w:bottom w:w="85" w:type="dxa"/>
              <w:end w:w="90" w:type="dxa"/>
            </w:tcMar>
            <w:vAlign w:val="center"/>
            <w:shd w:fill="123B63"/>
          </w:tcPr>
          <w:p>
            <w:r>
              <w:rPr>
                <w:rFonts w:ascii="Carlito" w:hAnsi="Carlito"/>
                <w:b/>
                <w:color w:val="FFFFFF"/>
                <w:sz w:val="15"/>
              </w:rPr>
              <w:t>Kaynak</w:t>
            </w:r>
          </w:p>
        </w:tc>
        <w:tc>
          <w:tcPr>
            <w:tcW w:type="dxa" w:w="2436"/>
            <w:tcMar>
              <w:top w:w="85" w:type="dxa"/>
              <w:start w:w="90" w:type="dxa"/>
              <w:bottom w:w="85" w:type="dxa"/>
              <w:end w:w="90" w:type="dxa"/>
            </w:tcMar>
            <w:vAlign w:val="center"/>
            <w:shd w:fill="123B63"/>
          </w:tcPr>
          <w:p>
            <w:r>
              <w:rPr>
                <w:rFonts w:ascii="Carlito" w:hAnsi="Carlito"/>
                <w:b/>
                <w:color w:val="FFFFFF"/>
                <w:sz w:val="15"/>
              </w:rPr>
              <w:t>Veri / bağlam</w:t>
            </w:r>
          </w:p>
        </w:tc>
        <w:tc>
          <w:tcPr>
            <w:tcW w:type="dxa" w:w="2436"/>
            <w:tcMar>
              <w:top w:w="85" w:type="dxa"/>
              <w:start w:w="90" w:type="dxa"/>
              <w:bottom w:w="85" w:type="dxa"/>
              <w:end w:w="90" w:type="dxa"/>
            </w:tcMar>
            <w:vAlign w:val="center"/>
            <w:shd w:fill="123B63"/>
          </w:tcPr>
          <w:p>
            <w:r>
              <w:rPr>
                <w:rFonts w:ascii="Carlito" w:hAnsi="Carlito"/>
                <w:b/>
                <w:color w:val="FFFFFF"/>
                <w:sz w:val="15"/>
              </w:rPr>
              <w:t>Yöntem ve temel bulgu</w:t>
            </w:r>
          </w:p>
        </w:tc>
        <w:tc>
          <w:tcPr>
            <w:tcW w:type="dxa" w:w="2436"/>
            <w:tcMar>
              <w:top w:w="85" w:type="dxa"/>
              <w:start w:w="90" w:type="dxa"/>
              <w:bottom w:w="85" w:type="dxa"/>
              <w:end w:w="90" w:type="dxa"/>
            </w:tcMar>
            <w:vAlign w:val="center"/>
            <w:shd w:fill="123B63"/>
          </w:tcPr>
          <w:p>
            <w:r>
              <w:rPr>
                <w:rFonts w:ascii="Carlito" w:hAnsi="Carlito"/>
                <w:b/>
                <w:color w:val="FFFFFF"/>
                <w:sz w:val="15"/>
              </w:rPr>
              <w:t>ARGUS açısından çıkarım</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Altman et al. (2023)</w:t>
            </w:r>
          </w:p>
        </w:tc>
        <w:tc>
          <w:tcPr>
            <w:tcW w:type="dxa" w:w="2436"/>
            <w:tcMar>
              <w:top w:w="85" w:type="dxa"/>
              <w:start w:w="90" w:type="dxa"/>
              <w:bottom w:w="85" w:type="dxa"/>
              <w:end w:w="90" w:type="dxa"/>
            </w:tcMar>
            <w:vAlign w:val="center"/>
          </w:tcPr>
          <w:p>
            <w:pPr>
              <w:spacing w:after="0"/>
              <w:jc w:val="left"/>
            </w:pPr>
            <w:r>
              <w:rPr>
                <w:rFonts w:ascii="Carlito" w:hAnsi="Carlito"/>
                <w:sz w:val="15"/>
              </w:rPr>
              <w:t>Sentetik AML işlem ekosistemi</w:t>
            </w:r>
          </w:p>
        </w:tc>
        <w:tc>
          <w:tcPr>
            <w:tcW w:type="dxa" w:w="2436"/>
            <w:tcMar>
              <w:top w:w="85" w:type="dxa"/>
              <w:start w:w="90" w:type="dxa"/>
              <w:bottom w:w="85" w:type="dxa"/>
              <w:end w:w="90" w:type="dxa"/>
            </w:tcMar>
            <w:vAlign w:val="center"/>
          </w:tcPr>
          <w:p>
            <w:pPr>
              <w:spacing w:after="0"/>
              <w:jc w:val="left"/>
            </w:pPr>
            <w:r>
              <w:rPr>
                <w:rFonts w:ascii="Carlito" w:hAnsi="Carlito"/>
                <w:sz w:val="15"/>
              </w:rPr>
              <w:t>Gerçekçi, etiketli ve açık sentetik referans; tam doğrulanmış referans ile model karşılaştırması.</w:t>
            </w:r>
          </w:p>
        </w:tc>
        <w:tc>
          <w:tcPr>
            <w:tcW w:type="dxa" w:w="2436"/>
            <w:tcMar>
              <w:top w:w="85" w:type="dxa"/>
              <w:start w:w="90" w:type="dxa"/>
              <w:bottom w:w="85" w:type="dxa"/>
              <w:end w:w="90" w:type="dxa"/>
            </w:tcMar>
            <w:vAlign w:val="center"/>
          </w:tcPr>
          <w:p>
            <w:pPr>
              <w:spacing w:after="0"/>
              <w:jc w:val="left"/>
            </w:pPr>
            <w:r>
              <w:rPr>
                <w:rFonts w:ascii="Carlito" w:hAnsi="Carlito"/>
                <w:sz w:val="15"/>
              </w:rPr>
              <w:t>Ana veri kaynağı için yeniden üretilebilir ve kişisel veri içermeyen temel.</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Cardoso et al. (2022)</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banka müşteri-işlem ağı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Öz-denetimli graf temsil öğrenmesi; etiket kıtlığı altında analist incelemesine yardımcı temsiller.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Anomali/öz-denetimli katmanı nihai hüküm değil ek sinyal olarak konumlandır.</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Egressy et al. (2024)</w:t>
            </w:r>
          </w:p>
        </w:tc>
        <w:tc>
          <w:tcPr>
            <w:tcW w:type="dxa" w:w="2436"/>
            <w:tcMar>
              <w:top w:w="85" w:type="dxa"/>
              <w:start w:w="90" w:type="dxa"/>
              <w:bottom w:w="85" w:type="dxa"/>
              <w:end w:w="90" w:type="dxa"/>
            </w:tcMar>
            <w:vAlign w:val="center"/>
          </w:tcPr>
          <w:p>
            <w:pPr>
              <w:spacing w:after="0"/>
              <w:jc w:val="left"/>
            </w:pPr>
            <w:r>
              <w:rPr>
                <w:rFonts w:ascii="Carlito" w:hAnsi="Carlito"/>
                <w:sz w:val="15"/>
              </w:rPr>
              <w:t>Sentetik AML + finansal suç graf görevleri</w:t>
            </w:r>
          </w:p>
        </w:tc>
        <w:tc>
          <w:tcPr>
            <w:tcW w:type="dxa" w:w="2436"/>
            <w:tcMar>
              <w:top w:w="85" w:type="dxa"/>
              <w:start w:w="90" w:type="dxa"/>
              <w:bottom w:w="85" w:type="dxa"/>
              <w:end w:w="90" w:type="dxa"/>
            </w:tcMar>
            <w:vAlign w:val="center"/>
          </w:tcPr>
          <w:p>
            <w:pPr>
              <w:spacing w:after="0"/>
              <w:jc w:val="left"/>
            </w:pPr>
            <w:r>
              <w:rPr>
                <w:rFonts w:ascii="Carlito" w:hAnsi="Carlito"/>
                <w:sz w:val="15"/>
              </w:rPr>
              <w:t>Yönlü çoklu graf uyarlamaları; standart GNN’e göre azınlık F1’de %30’a varan artış.</w:t>
            </w:r>
          </w:p>
        </w:tc>
        <w:tc>
          <w:tcPr>
            <w:tcW w:type="dxa" w:w="2436"/>
            <w:tcMar>
              <w:top w:w="85" w:type="dxa"/>
              <w:start w:w="90" w:type="dxa"/>
              <w:bottom w:w="85" w:type="dxa"/>
              <w:end w:w="90" w:type="dxa"/>
            </w:tcMar>
            <w:vAlign w:val="center"/>
          </w:tcPr>
          <w:p>
            <w:pPr>
              <w:spacing w:after="0"/>
              <w:jc w:val="left"/>
            </w:pPr>
            <w:r>
              <w:rPr>
                <w:rFonts w:ascii="Carlito" w:hAnsi="Carlito"/>
                <w:sz w:val="15"/>
              </w:rPr>
              <w:t>Yön, tekrarlı kenar ve kenar özelliklerini mümkün olduğunca koru.</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Blanuša et al. (2024)</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AML ve oltalama graf veri setleri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zamanlı graf özellikleri + gradyan artırma; bazı GNN tabanlarından daha güçlü/verimli.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GNN üstünlüğünü varsayma; graf özellikleri + gradyan artırma yaklaşımını mutlaka karşılaştır.</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Lin et al. (2024)</w:t>
            </w:r>
          </w:p>
        </w:tc>
        <w:tc>
          <w:tcPr>
            <w:tcW w:type="dxa" w:w="2436"/>
            <w:tcMar>
              <w:top w:w="85" w:type="dxa"/>
              <w:start w:w="90" w:type="dxa"/>
              <w:bottom w:w="85" w:type="dxa"/>
              <w:end w:w="90" w:type="dxa"/>
            </w:tcMar>
            <w:vAlign w:val="center"/>
          </w:tcPr>
          <w:p>
            <w:pPr>
              <w:spacing w:after="0"/>
              <w:jc w:val="left"/>
            </w:pPr>
            <w:r>
              <w:rPr>
                <w:rFonts w:ascii="Carlito" w:hAnsi="Carlito"/>
                <w:sz w:val="15"/>
              </w:rPr>
              <w:t>Birden fazla büyük finansal graf</w:t>
            </w:r>
          </w:p>
        </w:tc>
        <w:tc>
          <w:tcPr>
            <w:tcW w:type="dxa" w:w="2436"/>
            <w:tcMar>
              <w:top w:w="85" w:type="dxa"/>
              <w:start w:w="90" w:type="dxa"/>
              <w:bottom w:w="85" w:type="dxa"/>
              <w:end w:w="90" w:type="dxa"/>
            </w:tcMar>
            <w:vAlign w:val="center"/>
          </w:tcPr>
          <w:p>
            <w:pPr>
              <w:spacing w:after="0"/>
              <w:jc w:val="left"/>
            </w:pPr>
            <w:r>
              <w:rPr>
                <w:rFonts w:ascii="Carlito" w:hAnsi="Carlito"/>
                <w:sz w:val="15"/>
              </w:rPr>
              <w:t>FraudGT; kenar-duyarlı graf dönüştürücü ile F1 ve işleme hızı kazanımları.</w:t>
            </w:r>
          </w:p>
        </w:tc>
        <w:tc>
          <w:tcPr>
            <w:tcW w:type="dxa" w:w="2436"/>
            <w:tcMar>
              <w:top w:w="85" w:type="dxa"/>
              <w:start w:w="90" w:type="dxa"/>
              <w:bottom w:w="85" w:type="dxa"/>
              <w:end w:w="90" w:type="dxa"/>
            </w:tcMar>
            <w:vAlign w:val="center"/>
          </w:tcPr>
          <w:p>
            <w:pPr>
              <w:spacing w:after="0"/>
              <w:jc w:val="left"/>
            </w:pPr>
            <w:r>
              <w:rPr>
                <w:rFonts w:ascii="Carlito" w:hAnsi="Carlito"/>
                <w:sz w:val="15"/>
              </w:rPr>
              <w:t>Graf dönüştürücü ileri aşamada, çekirdek deney tamamlandıktan sonra değerlendirilir.</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Johannessen &amp; Jullum (2025)</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banka işlemleri + iş rolü ilişkileri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Heterojen GNN; farklı düğüm/kenar tiplerinin AML gözetimine katkısı.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İleri aşamada R-GCN/heterojen graf için gerekçe.</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BIS Project Hertha (2025)</w:t>
            </w:r>
          </w:p>
        </w:tc>
        <w:tc>
          <w:tcPr>
            <w:tcW w:type="dxa" w:w="2436"/>
            <w:tcMar>
              <w:top w:w="85" w:type="dxa"/>
              <w:start w:w="90" w:type="dxa"/>
              <w:bottom w:w="85" w:type="dxa"/>
              <w:end w:w="90" w:type="dxa"/>
            </w:tcMar>
            <w:vAlign w:val="center"/>
          </w:tcPr>
          <w:p>
            <w:pPr>
              <w:spacing w:after="0"/>
              <w:jc w:val="left"/>
            </w:pPr>
            <w:r>
              <w:rPr>
                <w:rFonts w:ascii="Carlito" w:hAnsi="Carlito"/>
                <w:sz w:val="15"/>
              </w:rPr>
              <w:t>1,8M hesap, 308M sentetik işlem</w:t>
            </w:r>
          </w:p>
        </w:tc>
        <w:tc>
          <w:tcPr>
            <w:tcW w:type="dxa" w:w="2436"/>
            <w:tcMar>
              <w:top w:w="85" w:type="dxa"/>
              <w:start w:w="90" w:type="dxa"/>
              <w:bottom w:w="85" w:type="dxa"/>
              <w:end w:w="90" w:type="dxa"/>
            </w:tcMar>
            <w:vAlign w:val="center"/>
          </w:tcPr>
          <w:p>
            <w:pPr>
              <w:spacing w:after="0"/>
              <w:jc w:val="left"/>
            </w:pPr>
            <w:r>
              <w:rPr>
                <w:rFonts w:ascii="Carlito" w:hAnsi="Carlito"/>
                <w:sz w:val="15"/>
              </w:rPr>
              <w:t>Ağ-geneli analitik; %12 ek yasa dışı hesap tespiti, daha önce görülmemiş davranışlarda %26 iyileşme; açıklanabilirlik ve geri bildirim vurgusu.</w:t>
            </w:r>
          </w:p>
        </w:tc>
        <w:tc>
          <w:tcPr>
            <w:tcW w:type="dxa" w:w="2436"/>
            <w:tcMar>
              <w:top w:w="85" w:type="dxa"/>
              <w:start w:w="90" w:type="dxa"/>
              <w:bottom w:w="85" w:type="dxa"/>
              <w:end w:w="90" w:type="dxa"/>
            </w:tcMar>
            <w:vAlign w:val="center"/>
          </w:tcPr>
          <w:p>
            <w:pPr>
              <w:spacing w:after="0"/>
              <w:jc w:val="left"/>
            </w:pPr>
            <w:r>
              <w:rPr>
                <w:rFonts w:ascii="Carlito" w:hAnsi="Carlito"/>
                <w:sz w:val="15"/>
              </w:rPr>
              <w:t>Dış referans; ARGUS hedef metriği değildir. Sistem düzeyi iş değerini doğrular.</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Vorobyev &amp; Krivitskaya (2022)</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banka kart işlemleri, 20M+ kayıt</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Tree tabanlı kural üretimiyle FPR azaltma; FPR doğrudan iş metriği.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Yanlış pozitif oranını model ve müşteri sürtünmesi arasında köprü metrik yap.</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Wang et al. (2019)</w:t>
            </w:r>
          </w:p>
        </w:tc>
        <w:tc>
          <w:tcPr>
            <w:tcW w:type="dxa" w:w="2436"/>
            <w:tcMar>
              <w:top w:w="85" w:type="dxa"/>
              <w:start w:w="90" w:type="dxa"/>
              <w:bottom w:w="85" w:type="dxa"/>
              <w:end w:w="90" w:type="dxa"/>
            </w:tcMar>
            <w:vAlign w:val="center"/>
          </w:tcPr>
          <w:p>
            <w:pPr>
              <w:spacing w:after="0"/>
              <w:jc w:val="left"/>
            </w:pPr>
            <w:r>
              <w:rPr>
                <w:rFonts w:ascii="Carlito" w:hAnsi="Carlito"/>
                <w:sz w:val="15"/>
              </w:rPr>
              <w:t>Gerçek kredi kartı işlemleri / operasyon stratejisi</w:t>
            </w:r>
          </w:p>
        </w:tc>
        <w:tc>
          <w:tcPr>
            <w:tcW w:type="dxa" w:w="2436"/>
            <w:tcMar>
              <w:top w:w="85" w:type="dxa"/>
              <w:start w:w="90" w:type="dxa"/>
              <w:bottom w:w="85" w:type="dxa"/>
              <w:end w:w="90" w:type="dxa"/>
            </w:tcMar>
            <w:vAlign w:val="center"/>
          </w:tcPr>
          <w:p>
            <w:pPr>
              <w:spacing w:after="0"/>
              <w:jc w:val="left"/>
            </w:pPr>
            <w:r>
              <w:rPr>
                <w:rFonts w:ascii="Carlito" w:hAnsi="Carlito"/>
                <w:sz w:val="15"/>
              </w:rPr>
              <w:t>Yanlış retler tüketici için maliyet; ikincil doğrulama stratejisi müşteri ve kurum çıkarlarıyla birlikte optimize ediliyor.</w:t>
            </w:r>
          </w:p>
        </w:tc>
        <w:tc>
          <w:tcPr>
            <w:tcW w:type="dxa" w:w="2436"/>
            <w:tcMar>
              <w:top w:w="85" w:type="dxa"/>
              <w:start w:w="90" w:type="dxa"/>
              <w:bottom w:w="85" w:type="dxa"/>
              <w:end w:w="90" w:type="dxa"/>
            </w:tcMar>
            <w:vAlign w:val="center"/>
          </w:tcPr>
          <w:p>
            <w:pPr>
              <w:spacing w:after="0"/>
              <w:jc w:val="left"/>
            </w:pPr>
            <w:r>
              <w:rPr>
                <w:rFonts w:ascii="Carlito" w:hAnsi="Carlito"/>
                <w:sz w:val="15"/>
              </w:rPr>
              <w:t>Güvenlik–sürtünme pazarlama probleminin akademik dayanağı.</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Visa (2024)</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Kartlı ödeme / sektör davranış verisi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Tekrarlanan retlerin sonraki kart kullanımını azaltabildiğine ilişkin sektör kanıtı.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Pilot KPI’ları için davranışsal gerekçe; AML verisinde doğrudan etki olarak kullanılmaz.</w:t>
            </w:r>
          </w:p>
        </w:tc>
      </w:tr>
    </w:tbl>
    <w:p>
      <w:pPr>
        <w:pStyle w:val="Heading1"/>
        <w:keepNext/>
      </w:pPr>
      <w:r>
        <w:t>3. Veri Araştırması</w:t>
      </w:r>
    </w:p>
    <w:p>
      <w:pPr>
        <w:pStyle w:val="Heading2"/>
        <w:keepNext/>
      </w:pPr>
      <w:r>
        <w:t>3.1 Veri hedefi ve pazarlama bağlantısı</w:t>
      </w:r>
    </w:p>
    <w:p>
      <w:pPr>
        <w:jc w:val="both"/>
      </w:pPr>
      <w:r>
        <w:rPr>
          <w:i w:val="0"/>
        </w:rPr>
        <w:t>Veri araştırmasının iki ayrı soruyu aynı deney içinde desteklemesi gerekir: ağ bağlamı şüpheli finansal davranış tespitine ek değer sağlıyor mu ve bu değer yanlış alarm yükünü azaltabilecek kadar operasyonel anlam taşıyor mu? Ana veri setinde en azından zaman damgası, kaynak ve hedef hesap, tutar, işlem türü/formatı ve denetimli öğrenme için şüpheli/laundering etiketi bulunmalıdır. Hesap kimlikleri, yönlü grafın kurulabilmesi için zorunludur.</w:t>
      </w:r>
    </w:p>
    <w:p>
      <w:pPr>
        <w:jc w:val="both"/>
      </w:pPr>
      <w:r>
        <w:t>Müşteri deneyimi değişkenleri ana veri setinde bulunmayacaktır. Dolayısıyla işlem tamamlama, güvenlik nedeniyle terk, şikâyet ve CSAT sonuçları bu ödevde tahmin edilmeyecek; yalnızca gelecekteki banka pilotunun ölçüm tasarımı olarak tanımlanacaktır. Bu ayrım, teknik sonuçları pazarlama sonucuna dönüştürürken yapılabilecek aşırı yorumları önler.</w:t>
      </w:r>
    </w:p>
    <w:p>
      <w:pPr>
        <w:pStyle w:val="Heading2"/>
        <w:keepNext/>
      </w:pPr>
      <w:r>
        <w:t>3.2 Ana veri seti: IBM sentetik AML işlemleri</w:t>
      </w:r>
    </w:p>
    <w:p>
      <w:pPr>
        <w:jc w:val="both"/>
      </w:pPr>
      <w:r>
        <w:rPr>
          <w:i w:val="0"/>
        </w:rPr>
        <w:t>IBM Research tarafından yayımlanan AML veri ailesi ARGUS için ana kaynak olarak seçilmiştir. Veri, banka transferleri, satın almalar, kredi kartı işlemleri, çekler ve benzeri finansal hareketleri CSV biçiminde sunmaktadır. İşlemlerin büyük çoğunluğu meşru, küçük bir bölümü kara para aklama olarak etiketlidir. Üretim süreci gerçek kişilerin anonimleştirilmesine dayanmaz; banka, birey ve şirket ajanlarının ekonomik davranışlarını simüle eden çok-etmenli bir sanal dünya kullanır (Altman et al., 2023; IBM, 2026).</w:t>
      </w:r>
    </w:p>
    <w:p>
      <w:pPr>
        <w:jc w:val="both"/>
      </w:pPr>
      <w:r>
        <w:rPr>
          <w:i w:val="0"/>
        </w:rPr>
        <w:t>Bu özellikler capstone açısından belirleyicidir. Gerçek banka verisinin gizlilik ve erişim kısıtları olmadan tam etiketli bir referans elde edilir; aynı kayıtlar hem tablo tabanlı model hem yönlü graf modeli için kullanılabilir. Buna karşılık sentetiklik, üretim performansı iddiasını sınırlar. Elde edilen skorlar “bankada şu kadar dolandırıcılık vakası yakalar” biçiminde değil, yöntemler arası kontrollü karşılaştırma olarak raporlanmalıdır.</w:t>
      </w:r>
    </w:p>
    <w:p>
      <w:pPr>
        <w:pStyle w:val="Heading2"/>
        <w:keepNext/>
      </w:pPr>
      <w:r>
        <w:t>3.3 Destek veri: PaySim</w:t>
      </w:r>
    </w:p>
    <w:p>
      <w:pPr>
        <w:jc w:val="both"/>
      </w:pPr>
      <w:r>
        <w:rPr>
          <w:i w:val="0"/>
        </w:rPr>
        <w:t>PaySim mobil para işlemlerini ajan tabanlı biçimde simüle eden, dolandırıcılık araştırmalarında yaygın kullanılan sentetik bir veri kaynağıdır (Lopez-Rojas et al., 2016). ARGUS’ta ana AML referans’ı olarak değil, ön işleme, sınıf dengesizliği yönetimi, zamansal özellikler ve tablo tabanlı modellerin farklı bir işlem dağılımındaki davranışını gözlemlemek için ikincil stres testi olarak kullanılacaktır.</w:t>
      </w:r>
    </w:p>
    <w:p>
      <w:pPr>
        <w:jc w:val="both"/>
      </w:pPr>
      <w:r>
        <w:t>PaySim’in bankacılık AML ağlarının doğrudan karşılığı olmadığı açık biçimde belirtilmelidir. Mobil para dolandırıcılığı mekanizmasından elde edilen başarı, dijital bankalarda kara para aklama tespitinin genellenebilirliği olarak sunulamaz. Bu sınırlama, veri ile hedef segment arasındaki kavramsal uyumu korumak açısından önemlidir; ARGUS’un ana değerlendirme zemini, birincil veri kaynağının temsil ettiği bankacılık işlem bağlamıdır.</w:t>
      </w:r>
    </w:p>
    <w:p>
      <w:pPr>
        <w:pStyle w:val="Heading2"/>
        <w:keepNext/>
      </w:pPr>
      <w:r>
        <w:t>3.4 Veri kalitesi, gizlilik ve sınırlılıklar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tcMar>
              <w:top w:w="85" w:type="dxa"/>
              <w:start w:w="90" w:type="dxa"/>
              <w:bottom w:w="85" w:type="dxa"/>
              <w:end w:w="90" w:type="dxa"/>
            </w:tcMar>
            <w:vAlign w:val="center"/>
            <w:shd w:fill="123B63"/>
          </w:tcPr>
          <w:p>
            <w:r>
              <w:rPr>
                <w:rFonts w:ascii="Carlito" w:hAnsi="Carlito"/>
                <w:b/>
                <w:color w:val="FFFFFF"/>
                <w:sz w:val="15"/>
              </w:rPr>
              <w:t>Konu</w:t>
            </w:r>
          </w:p>
        </w:tc>
        <w:tc>
          <w:tcPr>
            <w:tcW w:type="dxa" w:w="2436"/>
            <w:tcMar>
              <w:top w:w="85" w:type="dxa"/>
              <w:start w:w="90" w:type="dxa"/>
              <w:bottom w:w="85" w:type="dxa"/>
              <w:end w:w="90" w:type="dxa"/>
            </w:tcMar>
            <w:vAlign w:val="center"/>
            <w:shd w:fill="123B63"/>
          </w:tcPr>
          <w:p>
            <w:r>
              <w:rPr>
                <w:rFonts w:ascii="Carlito" w:hAnsi="Carlito"/>
                <w:b/>
                <w:color w:val="FFFFFF"/>
                <w:sz w:val="15"/>
              </w:rPr>
              <w:t>Risk düzeyi</w:t>
            </w:r>
          </w:p>
        </w:tc>
        <w:tc>
          <w:tcPr>
            <w:tcW w:type="dxa" w:w="2436"/>
            <w:tcMar>
              <w:top w:w="85" w:type="dxa"/>
              <w:start w:w="90" w:type="dxa"/>
              <w:bottom w:w="85" w:type="dxa"/>
              <w:end w:w="90" w:type="dxa"/>
            </w:tcMar>
            <w:vAlign w:val="center"/>
            <w:shd w:fill="123B63"/>
          </w:tcPr>
          <w:p>
            <w:r>
              <w:rPr>
                <w:rFonts w:ascii="Carlito" w:hAnsi="Carlito"/>
                <w:b/>
                <w:color w:val="FFFFFF"/>
                <w:sz w:val="15"/>
              </w:rPr>
              <w:t>Araştırma riski</w:t>
            </w:r>
          </w:p>
        </w:tc>
        <w:tc>
          <w:tcPr>
            <w:tcW w:type="dxa" w:w="2436"/>
            <w:tcMar>
              <w:top w:w="85" w:type="dxa"/>
              <w:start w:w="90" w:type="dxa"/>
              <w:bottom w:w="85" w:type="dxa"/>
              <w:end w:w="90" w:type="dxa"/>
            </w:tcMar>
            <w:vAlign w:val="center"/>
            <w:shd w:fill="123B63"/>
          </w:tcPr>
          <w:p>
            <w:r>
              <w:rPr>
                <w:rFonts w:ascii="Carlito" w:hAnsi="Carlito"/>
                <w:b/>
                <w:color w:val="FFFFFF"/>
                <w:sz w:val="15"/>
              </w:rPr>
              <w:t>Önerilen kontrol</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Aşırı sınıf dengesizliği</w:t>
            </w:r>
          </w:p>
        </w:tc>
        <w:tc>
          <w:tcPr>
            <w:tcW w:type="dxa" w:w="2436"/>
            <w:tcMar>
              <w:top w:w="85" w:type="dxa"/>
              <w:start w:w="90" w:type="dxa"/>
              <w:bottom w:w="85" w:type="dxa"/>
              <w:end w:w="90" w:type="dxa"/>
            </w:tcMar>
            <w:vAlign w:val="center"/>
          </w:tcPr>
          <w:p>
            <w:pPr>
              <w:spacing w:after="0"/>
              <w:jc w:val="left"/>
            </w:pPr>
            <w:r>
              <w:rPr>
                <w:rFonts w:ascii="Carlito" w:hAnsi="Carlito"/>
                <w:sz w:val="15"/>
              </w:rPr>
              <w:t>Yüksek</w:t>
            </w:r>
          </w:p>
        </w:tc>
        <w:tc>
          <w:tcPr>
            <w:tcW w:type="dxa" w:w="2436"/>
            <w:tcMar>
              <w:top w:w="85" w:type="dxa"/>
              <w:start w:w="90" w:type="dxa"/>
              <w:bottom w:w="85" w:type="dxa"/>
              <w:end w:w="90" w:type="dxa"/>
            </w:tcMar>
            <w:vAlign w:val="center"/>
          </w:tcPr>
          <w:p>
            <w:pPr>
              <w:spacing w:after="0"/>
              <w:jc w:val="left"/>
            </w:pPr>
            <w:r>
              <w:rPr>
                <w:rFonts w:ascii="Carlito" w:hAnsi="Carlito"/>
                <w:sz w:val="15"/>
              </w:rPr>
              <w:t>Doğruluk/ROC-AUC performansı olduğundan iyi gösterebilir.</w:t>
            </w:r>
          </w:p>
        </w:tc>
        <w:tc>
          <w:tcPr>
            <w:tcW w:type="dxa" w:w="2436"/>
            <w:tcMar>
              <w:top w:w="85" w:type="dxa"/>
              <w:start w:w="90" w:type="dxa"/>
              <w:bottom w:w="85" w:type="dxa"/>
              <w:end w:w="90" w:type="dxa"/>
            </w:tcMar>
            <w:vAlign w:val="center"/>
          </w:tcPr>
          <w:p>
            <w:pPr>
              <w:spacing w:after="0"/>
              <w:jc w:val="left"/>
            </w:pPr>
            <w:r>
              <w:rPr>
                <w:rFonts w:ascii="Carlito" w:hAnsi="Carlito"/>
                <w:sz w:val="15"/>
              </w:rPr>
              <w:t>PR-AUC, Recall@K, sınıf ağırlıklandırma; örnekleme varsa gerekçeli kullanım.</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Zamansal sızıntı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Yüksek</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Gelecek işlemlerden türetilen özellikler test performansını şişirir.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Mümkünse kronolojik ayrım; yalnızca geçmiş veriden özellik üretimi.</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Varlık sızıntısı</w:t>
            </w:r>
          </w:p>
        </w:tc>
        <w:tc>
          <w:tcPr>
            <w:tcW w:type="dxa" w:w="2436"/>
            <w:tcMar>
              <w:top w:w="85" w:type="dxa"/>
              <w:start w:w="90" w:type="dxa"/>
              <w:bottom w:w="85" w:type="dxa"/>
              <w:end w:w="90" w:type="dxa"/>
            </w:tcMar>
            <w:vAlign w:val="center"/>
          </w:tcPr>
          <w:p>
            <w:pPr>
              <w:spacing w:after="0"/>
              <w:jc w:val="left"/>
            </w:pPr>
            <w:r>
              <w:rPr>
                <w:rFonts w:ascii="Carlito" w:hAnsi="Carlito"/>
                <w:sz w:val="15"/>
              </w:rPr>
              <w:t>Yüksek</w:t>
            </w:r>
          </w:p>
        </w:tc>
        <w:tc>
          <w:tcPr>
            <w:tcW w:type="dxa" w:w="2436"/>
            <w:tcMar>
              <w:top w:w="85" w:type="dxa"/>
              <w:start w:w="90" w:type="dxa"/>
              <w:bottom w:w="85" w:type="dxa"/>
              <w:end w:w="90" w:type="dxa"/>
            </w:tcMar>
            <w:vAlign w:val="center"/>
          </w:tcPr>
          <w:p>
            <w:pPr>
              <w:spacing w:after="0"/>
              <w:jc w:val="left"/>
            </w:pPr>
            <w:r>
              <w:rPr>
                <w:rFonts w:ascii="Carlito" w:hAnsi="Carlito"/>
                <w:sz w:val="15"/>
              </w:rPr>
              <w:t>Aynı hesabın veya ağın eğitim ve test kümelerinde uygunsuz biçimde tekrarlanması genelleme performansını olduğundan yüksek gösterebilir.</w:t>
            </w:r>
          </w:p>
        </w:tc>
        <w:tc>
          <w:tcPr>
            <w:tcW w:type="dxa" w:w="2436"/>
            <w:tcMar>
              <w:top w:w="85" w:type="dxa"/>
              <w:start w:w="90" w:type="dxa"/>
              <w:bottom w:w="85" w:type="dxa"/>
              <w:end w:w="90" w:type="dxa"/>
            </w:tcMar>
            <w:vAlign w:val="center"/>
          </w:tcPr>
          <w:p>
            <w:pPr>
              <w:spacing w:after="0"/>
              <w:jc w:val="left"/>
            </w:pPr>
            <w:r>
              <w:rPr>
                <w:rFonts w:ascii="Carlito" w:hAnsi="Carlito"/>
                <w:sz w:val="15"/>
              </w:rPr>
              <w:t>Hesap/ağ çakışmasını denetle; grup veya zaman temelli veri bölme stratejisi kullan.</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Tekrarlı transferler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Orta</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çoklu kenarlar yanlışlıkla kopya sanılıp silinebilir.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Satır kopyası ile gerçek tekrarlı kenar ayrımını yap.</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Sentetik temsil gücü</w:t>
            </w:r>
          </w:p>
        </w:tc>
        <w:tc>
          <w:tcPr>
            <w:tcW w:type="dxa" w:w="2436"/>
            <w:tcMar>
              <w:top w:w="85" w:type="dxa"/>
              <w:start w:w="90" w:type="dxa"/>
              <w:bottom w:w="85" w:type="dxa"/>
              <w:end w:w="90" w:type="dxa"/>
            </w:tcMar>
            <w:vAlign w:val="center"/>
          </w:tcPr>
          <w:p>
            <w:pPr>
              <w:spacing w:after="0"/>
              <w:jc w:val="left"/>
            </w:pPr>
            <w:r>
              <w:rPr>
                <w:rFonts w:ascii="Carlito" w:hAnsi="Carlito"/>
                <w:sz w:val="15"/>
              </w:rPr>
              <w:t>Yüksek</w:t>
            </w:r>
          </w:p>
        </w:tc>
        <w:tc>
          <w:tcPr>
            <w:tcW w:type="dxa" w:w="2436"/>
            <w:tcMar>
              <w:top w:w="85" w:type="dxa"/>
              <w:start w:w="90" w:type="dxa"/>
              <w:bottom w:w="85" w:type="dxa"/>
              <w:end w:w="90" w:type="dxa"/>
            </w:tcMar>
            <w:vAlign w:val="center"/>
          </w:tcPr>
          <w:p>
            <w:pPr>
              <w:spacing w:after="0"/>
              <w:jc w:val="left"/>
            </w:pPr>
            <w:r>
              <w:rPr>
                <w:rFonts w:ascii="Carlito" w:hAnsi="Carlito"/>
                <w:sz w:val="15"/>
              </w:rPr>
              <w:t>Gerçek müşteri ve suç davranışını tam temsil etmez.</w:t>
            </w:r>
          </w:p>
        </w:tc>
        <w:tc>
          <w:tcPr>
            <w:tcW w:type="dxa" w:w="2436"/>
            <w:tcMar>
              <w:top w:w="85" w:type="dxa"/>
              <w:start w:w="90" w:type="dxa"/>
              <w:bottom w:w="85" w:type="dxa"/>
              <w:end w:w="90" w:type="dxa"/>
            </w:tcMar>
            <w:vAlign w:val="center"/>
          </w:tcPr>
          <w:p>
            <w:pPr>
              <w:spacing w:after="0"/>
              <w:jc w:val="left"/>
            </w:pPr>
            <w:r>
              <w:rPr>
                <w:rFonts w:ascii="Carlito" w:hAnsi="Carlito"/>
                <w:sz w:val="15"/>
              </w:rPr>
              <w:t>Sonuçları kavram kanıtı (PoC) kanıtı olarak etiketle; üretim iddiası kurma.</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Etiket kalitesi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Gerçekte yüksek</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Gerçek AML’de doğrulanmış referans eksik; sentetik veride daha tam.</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Sentetik referans ile gerçek inceleme etiketleri arasındaki farkı tartış.</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Gizlilik</w:t>
            </w:r>
          </w:p>
        </w:tc>
        <w:tc>
          <w:tcPr>
            <w:tcW w:type="dxa" w:w="2436"/>
            <w:tcMar>
              <w:top w:w="85" w:type="dxa"/>
              <w:start w:w="90" w:type="dxa"/>
              <w:bottom w:w="85" w:type="dxa"/>
              <w:end w:w="90" w:type="dxa"/>
            </w:tcMar>
            <w:vAlign w:val="center"/>
          </w:tcPr>
          <w:p>
            <w:pPr>
              <w:spacing w:after="0"/>
              <w:jc w:val="left"/>
            </w:pPr>
            <w:r>
              <w:rPr>
                <w:rFonts w:ascii="Carlito" w:hAnsi="Carlito"/>
                <w:sz w:val="15"/>
              </w:rPr>
              <w:t>kavram kanıtı (PoC)’de düşük</w:t>
            </w:r>
          </w:p>
        </w:tc>
        <w:tc>
          <w:tcPr>
            <w:tcW w:type="dxa" w:w="2436"/>
            <w:tcMar>
              <w:top w:w="85" w:type="dxa"/>
              <w:start w:w="90" w:type="dxa"/>
              <w:bottom w:w="85" w:type="dxa"/>
              <w:end w:w="90" w:type="dxa"/>
            </w:tcMar>
            <w:vAlign w:val="center"/>
          </w:tcPr>
          <w:p>
            <w:pPr>
              <w:spacing w:after="0"/>
              <w:jc w:val="left"/>
            </w:pPr>
            <w:r>
              <w:rPr>
                <w:rFonts w:ascii="Carlito" w:hAnsi="Carlito"/>
                <w:sz w:val="15"/>
              </w:rPr>
              <w:t>Gerçek PII kullanılmıyor.</w:t>
            </w:r>
          </w:p>
        </w:tc>
        <w:tc>
          <w:tcPr>
            <w:tcW w:type="dxa" w:w="2436"/>
            <w:tcMar>
              <w:top w:w="85" w:type="dxa"/>
              <w:start w:w="90" w:type="dxa"/>
              <w:bottom w:w="85" w:type="dxa"/>
              <w:end w:w="90" w:type="dxa"/>
            </w:tcMar>
            <w:vAlign w:val="center"/>
          </w:tcPr>
          <w:p>
            <w:pPr>
              <w:spacing w:after="0"/>
              <w:jc w:val="left"/>
            </w:pPr>
            <w:r>
              <w:rPr>
                <w:rFonts w:ascii="Carlito" w:hAnsi="Carlito"/>
                <w:sz w:val="15"/>
              </w:rPr>
              <w:t>Pilot aşamasında kurum kontrollü, minimize edilmiş/pseudonimleştirilmiş veri.</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Yanlış yaptırım riski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Orta</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Model skoru otomatik blok/cezaya dönüşebilir.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İnsan denetimli karar akışı; “şüpheli ağ adayı” dili; nihai karar kurum sürecinde.</w:t>
            </w:r>
          </w:p>
        </w:tc>
      </w:tr>
    </w:tbl>
    <w:p>
      <w:pPr>
        <w:pStyle w:val="Heading2"/>
        <w:keepNext/>
      </w:pPr>
      <w:r>
        <w:t>3.5 Planlanan keşifsel veri analizi</w:t>
      </w:r>
    </w:p>
    <w:p>
      <w:pPr>
        <w:jc w:val="both"/>
      </w:pPr>
      <w:r>
        <w:rPr>
          <w:i w:val="0"/>
        </w:rPr>
        <w:t>Bu teslimde ham IBM işlem dosyası bulunmadığından hesaplanmamış betimsel istatistikler üretilmemiştir. Uygulama sprintinde EDA çıktıları doğrudan not defterinden alınmalı ve final rapora tablo/grafik olarak eklenmelidir. Öncelikli analizler şunlardır:</w:t>
      </w:r>
    </w:p>
    <w:p>
      <w:pPr>
        <w:pStyle w:val="ListBullet"/>
        <w:spacing w:after="50"/>
        <w:ind w:left="312" w:hanging="142"/>
        <w:jc w:val="left"/>
      </w:pPr>
      <w:r>
        <w:rPr>
          <w:rFonts w:ascii="Carlito" w:hAnsi="Carlito"/>
          <w:sz w:val="20"/>
        </w:rPr>
        <w:t>Meşru ve kara para aklama işlemi sayıları ile sınıf oranı.</w:t>
      </w:r>
    </w:p>
    <w:p>
      <w:pPr>
        <w:pStyle w:val="ListBullet"/>
        <w:spacing w:after="50"/>
        <w:ind w:left="312" w:hanging="142"/>
        <w:jc w:val="left"/>
      </w:pPr>
      <w:r>
        <w:rPr>
          <w:rFonts w:ascii="Carlito" w:hAnsi="Carlito"/>
          <w:sz w:val="20"/>
        </w:rPr>
        <w:t>İşlem tutarı dağılımı; ağır kuyruk nedeniyle log ölçekli karşılaştırma.</w:t>
      </w:r>
    </w:p>
    <w:p>
      <w:pPr>
        <w:pStyle w:val="ListBullet"/>
        <w:spacing w:after="50"/>
        <w:ind w:left="312" w:hanging="142"/>
        <w:jc w:val="left"/>
      </w:pPr>
      <w:r>
        <w:rPr>
          <w:rFonts w:ascii="Carlito" w:hAnsi="Carlito"/>
          <w:sz w:val="20"/>
        </w:rPr>
        <w:t>Zaman dilimi / dönem içi aktivite ve şüpheli olay yoğunluğu.</w:t>
      </w:r>
    </w:p>
    <w:p>
      <w:pPr>
        <w:pStyle w:val="ListBullet"/>
        <w:spacing w:after="50"/>
        <w:ind w:left="312" w:hanging="142"/>
        <w:jc w:val="left"/>
      </w:pPr>
      <w:r>
        <w:rPr>
          <w:rFonts w:ascii="Carlito" w:hAnsi="Carlito"/>
          <w:sz w:val="20"/>
        </w:rPr>
        <w:t>Kaynak ve hedef derece dağılımları; yüksek fan-in / fan-out hesaplar.</w:t>
      </w:r>
    </w:p>
    <w:p>
      <w:pPr>
        <w:pStyle w:val="ListBullet"/>
        <w:spacing w:after="50"/>
        <w:ind w:left="312" w:hanging="142"/>
        <w:jc w:val="left"/>
      </w:pPr>
      <w:r>
        <w:rPr>
          <w:rFonts w:ascii="Carlito" w:hAnsi="Carlito"/>
          <w:sz w:val="20"/>
        </w:rPr>
        <w:t>Ardışık akış kurulabildiği ölçüde elde tutma süresi ve hızlı aktarım göstergeleri.</w:t>
      </w:r>
    </w:p>
    <w:p>
      <w:pPr>
        <w:pStyle w:val="ListBullet"/>
        <w:spacing w:after="50"/>
        <w:ind w:left="312" w:hanging="142"/>
        <w:jc w:val="left"/>
      </w:pPr>
      <w:r>
        <w:rPr>
          <w:rFonts w:ascii="Carlito" w:hAnsi="Carlito"/>
          <w:sz w:val="20"/>
        </w:rPr>
        <w:t>Bağlı bileşenler, topluluk boyutları ve kara para aklama etiketlerinin bileşenler içindeki yoğunluğu.</w:t>
      </w:r>
    </w:p>
    <w:p>
      <w:pPr>
        <w:pStyle w:val="ListBullet"/>
        <w:spacing w:after="50"/>
        <w:ind w:left="312" w:hanging="142"/>
        <w:jc w:val="left"/>
      </w:pPr>
      <w:r>
        <w:rPr>
          <w:rFonts w:ascii="Carlito" w:hAnsi="Carlito"/>
          <w:sz w:val="20"/>
        </w:rPr>
        <w:t>Yönlü kısa döngü, gather-scatter, scatter-gather ve kısa yol motiflerinin sayımı veya temsili göstergeleri.</w:t>
      </w:r>
    </w:p>
    <w:p>
      <w:pPr>
        <w:pStyle w:val="ListBullet"/>
        <w:spacing w:after="50"/>
        <w:ind w:left="312" w:hanging="142"/>
        <w:jc w:val="left"/>
      </w:pPr>
      <w:r>
        <w:rPr>
          <w:rFonts w:ascii="Carlito" w:hAnsi="Carlito"/>
          <w:sz w:val="20"/>
        </w:rPr>
        <w:t>Farklı skor eşiklerinde Recall–uyarı hacmi–analist kapasitesi simülasyonu.</w:t>
      </w:r>
    </w:p>
    <w:p>
      <w:pPr>
        <w:pStyle w:val="Heading2"/>
        <w:keepNext/>
      </w:pPr>
      <w:r>
        <w:t>3.6 Özellik planı</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tcMar>
              <w:top w:w="85" w:type="dxa"/>
              <w:start w:w="90" w:type="dxa"/>
              <w:bottom w:w="85" w:type="dxa"/>
              <w:end w:w="90" w:type="dxa"/>
            </w:tcMar>
            <w:vAlign w:val="center"/>
            <w:shd w:fill="123B63"/>
          </w:tcPr>
          <w:p>
            <w:r>
              <w:rPr>
                <w:rFonts w:ascii="Carlito" w:hAnsi="Carlito"/>
                <w:b/>
                <w:color w:val="FFFFFF"/>
                <w:sz w:val="15"/>
              </w:rPr>
              <w:t>Özellik ailesi</w:t>
            </w:r>
          </w:p>
        </w:tc>
        <w:tc>
          <w:tcPr>
            <w:tcW w:type="dxa" w:w="3249"/>
            <w:tcMar>
              <w:top w:w="85" w:type="dxa"/>
              <w:start w:w="90" w:type="dxa"/>
              <w:bottom w:w="85" w:type="dxa"/>
              <w:end w:w="90" w:type="dxa"/>
            </w:tcMar>
            <w:vAlign w:val="center"/>
            <w:shd w:fill="123B63"/>
          </w:tcPr>
          <w:p>
            <w:r>
              <w:rPr>
                <w:rFonts w:ascii="Carlito" w:hAnsi="Carlito"/>
                <w:b/>
                <w:color w:val="FFFFFF"/>
                <w:sz w:val="15"/>
              </w:rPr>
              <w:t>Örnekler</w:t>
            </w:r>
          </w:p>
        </w:tc>
        <w:tc>
          <w:tcPr>
            <w:tcW w:type="dxa" w:w="3249"/>
            <w:tcMar>
              <w:top w:w="85" w:type="dxa"/>
              <w:start w:w="90" w:type="dxa"/>
              <w:bottom w:w="85" w:type="dxa"/>
              <w:end w:w="90" w:type="dxa"/>
            </w:tcMar>
            <w:vAlign w:val="center"/>
            <w:shd w:fill="123B63"/>
          </w:tcPr>
          <w:p>
            <w:r>
              <w:rPr>
                <w:rFonts w:ascii="Carlito" w:hAnsi="Carlito"/>
                <w:b/>
                <w:color w:val="FFFFFF"/>
                <w:sz w:val="15"/>
              </w:rPr>
              <w:t>Amaç</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İşlem</w:t>
            </w:r>
          </w:p>
        </w:tc>
        <w:tc>
          <w:tcPr>
            <w:tcW w:type="dxa" w:w="3249"/>
            <w:tcMar>
              <w:top w:w="85" w:type="dxa"/>
              <w:start w:w="90" w:type="dxa"/>
              <w:bottom w:w="85" w:type="dxa"/>
              <w:end w:w="90" w:type="dxa"/>
            </w:tcMar>
            <w:vAlign w:val="center"/>
          </w:tcPr>
          <w:p>
            <w:pPr>
              <w:spacing w:after="0"/>
              <w:jc w:val="left"/>
            </w:pPr>
            <w:r>
              <w:rPr>
                <w:rFonts w:ascii="Carlito" w:hAnsi="Carlito"/>
                <w:sz w:val="15"/>
              </w:rPr>
              <w:t>Tutar, para birimi, işlem türü, zaman farkı, kanal/format</w:t>
            </w:r>
          </w:p>
        </w:tc>
        <w:tc>
          <w:tcPr>
            <w:tcW w:type="dxa" w:w="3249"/>
            <w:tcMar>
              <w:top w:w="85" w:type="dxa"/>
              <w:start w:w="90" w:type="dxa"/>
              <w:bottom w:w="85" w:type="dxa"/>
              <w:end w:w="90" w:type="dxa"/>
            </w:tcMar>
            <w:vAlign w:val="center"/>
          </w:tcPr>
          <w:p>
            <w:pPr>
              <w:spacing w:after="0"/>
              <w:jc w:val="left"/>
            </w:pPr>
            <w:r>
              <w:rPr>
                <w:rFonts w:ascii="Carlito" w:hAnsi="Carlito"/>
                <w:sz w:val="15"/>
              </w:rPr>
              <w:t>Güçlü tablo tabanlı referans ve kenar özellikleri</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Hesap geçmişi</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Gelen/giden işlem sayısı, hacim, ortalama tutar, aktif süre</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Graf öğrenmesi olmadan davranış bağlamı</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Graf derece</w:t>
            </w:r>
          </w:p>
        </w:tc>
        <w:tc>
          <w:tcPr>
            <w:tcW w:type="dxa" w:w="3249"/>
            <w:tcMar>
              <w:top w:w="85" w:type="dxa"/>
              <w:start w:w="90" w:type="dxa"/>
              <w:bottom w:w="85" w:type="dxa"/>
              <w:end w:w="90" w:type="dxa"/>
            </w:tcMar>
            <w:vAlign w:val="center"/>
          </w:tcPr>
          <w:p>
            <w:pPr>
              <w:spacing w:after="0"/>
              <w:jc w:val="left"/>
            </w:pPr>
            <w:r>
              <w:rPr>
                <w:rFonts w:ascii="Carlito" w:hAnsi="Carlito"/>
                <w:sz w:val="15"/>
              </w:rPr>
              <w:t>Giriş derecesi, çıkış derecesi, ağırlıklı derece, fan-in/fan-out</w:t>
            </w:r>
          </w:p>
        </w:tc>
        <w:tc>
          <w:tcPr>
            <w:tcW w:type="dxa" w:w="3249"/>
            <w:tcMar>
              <w:top w:w="85" w:type="dxa"/>
              <w:start w:w="90" w:type="dxa"/>
              <w:bottom w:w="85" w:type="dxa"/>
              <w:end w:w="90" w:type="dxa"/>
            </w:tcMar>
            <w:vAlign w:val="center"/>
          </w:tcPr>
          <w:p>
            <w:pPr>
              <w:spacing w:after="0"/>
              <w:jc w:val="left"/>
            </w:pPr>
            <w:r>
              <w:rPr>
                <w:rFonts w:ascii="Carlito" w:hAnsi="Carlito"/>
                <w:sz w:val="15"/>
              </w:rPr>
              <w:t>Toplama ve dağıtma yapısını temsil etmek</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Merkezilik</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PageRank, derece/aradalık merkeziliği</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Aracı veya yapısal olarak etkili hesapları tanımlamak</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Akış/zaman</w:t>
            </w:r>
          </w:p>
        </w:tc>
        <w:tc>
          <w:tcPr>
            <w:tcW w:type="dxa" w:w="3249"/>
            <w:tcMar>
              <w:top w:w="85" w:type="dxa"/>
              <w:start w:w="90" w:type="dxa"/>
              <w:bottom w:w="85" w:type="dxa"/>
              <w:end w:w="90" w:type="dxa"/>
            </w:tcMar>
            <w:vAlign w:val="center"/>
          </w:tcPr>
          <w:p>
            <w:pPr>
              <w:spacing w:after="0"/>
              <w:jc w:val="left"/>
            </w:pPr>
            <w:r>
              <w:rPr>
                <w:rFonts w:ascii="Carlito" w:hAnsi="Carlito"/>
                <w:sz w:val="15"/>
              </w:rPr>
              <w:t>Hızlı aktarım, kısa elde tutma süresi, işlem patlaması, akış oranı</w:t>
            </w:r>
          </w:p>
        </w:tc>
        <w:tc>
          <w:tcPr>
            <w:tcW w:type="dxa" w:w="3249"/>
            <w:tcMar>
              <w:top w:w="85" w:type="dxa"/>
              <w:start w:w="90" w:type="dxa"/>
              <w:bottom w:w="85" w:type="dxa"/>
              <w:end w:w="90" w:type="dxa"/>
            </w:tcMar>
            <w:vAlign w:val="center"/>
          </w:tcPr>
          <w:p>
            <w:pPr>
              <w:spacing w:after="0"/>
              <w:jc w:val="left"/>
            </w:pPr>
            <w:r>
              <w:rPr>
                <w:rFonts w:ascii="Carlito" w:hAnsi="Carlito"/>
                <w:sz w:val="15"/>
              </w:rPr>
              <w:t>Katmanlama ve hızlı para hareketini yakalamak</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Topluluk/komşuluk</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Topluluk kimliği, riskli komşu oranı, k-adımlı risk birleştirmesi</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Koordineli yerel bağlamı temsil etmek</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Motif/döngü</w:t>
            </w:r>
          </w:p>
        </w:tc>
        <w:tc>
          <w:tcPr>
            <w:tcW w:type="dxa" w:w="3249"/>
            <w:tcMar>
              <w:top w:w="85" w:type="dxa"/>
              <w:start w:w="90" w:type="dxa"/>
              <w:bottom w:w="85" w:type="dxa"/>
              <w:end w:w="90" w:type="dxa"/>
            </w:tcMar>
            <w:vAlign w:val="center"/>
          </w:tcPr>
          <w:p>
            <w:pPr>
              <w:spacing w:after="0"/>
              <w:jc w:val="left"/>
            </w:pPr>
            <w:r>
              <w:rPr>
                <w:rFonts w:ascii="Carlito" w:hAnsi="Carlito"/>
                <w:sz w:val="15"/>
              </w:rPr>
              <w:t>Kısa yönlü döngüler, topla-dağıt (gather-scatter) göstergeleri</w:t>
            </w:r>
          </w:p>
        </w:tc>
        <w:tc>
          <w:tcPr>
            <w:tcW w:type="dxa" w:w="3249"/>
            <w:tcMar>
              <w:top w:w="85" w:type="dxa"/>
              <w:start w:w="90" w:type="dxa"/>
              <w:bottom w:w="85" w:type="dxa"/>
              <w:end w:w="90" w:type="dxa"/>
            </w:tcMar>
            <w:vAlign w:val="center"/>
          </w:tcPr>
          <w:p>
            <w:pPr>
              <w:spacing w:after="0"/>
              <w:jc w:val="left"/>
            </w:pPr>
            <w:r>
              <w:rPr>
                <w:rFonts w:ascii="Carlito" w:hAnsi="Carlito"/>
                <w:sz w:val="15"/>
              </w:rPr>
              <w:t>Şüpheli ağ tipolojilerini temsil etmek</w:t>
            </w:r>
          </w:p>
        </w:tc>
      </w:tr>
    </w:tbl>
    <w:p>
      <w:pPr>
        <w:pStyle w:val="Heading2"/>
        <w:keepNext/>
      </w:pPr>
      <w:r>
        <w:t>3.7 Değerlendirme tasarımı ve KPI hiyerarşisi</w:t>
      </w:r>
    </w:p>
    <w:p>
      <w:pPr>
        <w:jc w:val="both"/>
      </w:pPr>
      <w:r>
        <w:rPr>
          <w:i w:val="0"/>
        </w:rPr>
        <w:t>Nadir pozitif sınıfta yalnızca doğruluk kullanmak anlamlı değildir. PR-AUC sınıflar arasındaki dengesizliği daha görünür biçimde yansıtır; Recall@K ise analistin gerçekten inceleyebileceği ilk K vaka içinde kaç şüpheli örneğin bulunduğunu ölçer. Precision@K, ilk K vakanın ne kadarının gerçekten şüpheli olduğunu; yanlış pozitif oranı ve uyarı hacmi ise operasyonel gürültüyü gösterir.</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tcMar>
              <w:top w:w="85" w:type="dxa"/>
              <w:start w:w="90" w:type="dxa"/>
              <w:bottom w:w="85" w:type="dxa"/>
              <w:end w:w="90" w:type="dxa"/>
            </w:tcMar>
            <w:vAlign w:val="center"/>
            <w:shd w:fill="123B63"/>
          </w:tcPr>
          <w:p>
            <w:r>
              <w:rPr>
                <w:rFonts w:ascii="Carlito" w:hAnsi="Carlito"/>
                <w:b/>
                <w:color w:val="FFFFFF"/>
                <w:sz w:val="15"/>
              </w:rPr>
              <w:t>Katman</w:t>
            </w:r>
          </w:p>
        </w:tc>
        <w:tc>
          <w:tcPr>
            <w:tcW w:type="dxa" w:w="3249"/>
            <w:tcMar>
              <w:top w:w="85" w:type="dxa"/>
              <w:start w:w="90" w:type="dxa"/>
              <w:bottom w:w="85" w:type="dxa"/>
              <w:end w:w="90" w:type="dxa"/>
            </w:tcMar>
            <w:vAlign w:val="center"/>
            <w:shd w:fill="123B63"/>
          </w:tcPr>
          <w:p>
            <w:r>
              <w:rPr>
                <w:rFonts w:ascii="Carlito" w:hAnsi="Carlito"/>
                <w:b/>
                <w:color w:val="FFFFFF"/>
                <w:sz w:val="15"/>
              </w:rPr>
              <w:t>Temel KPI</w:t>
            </w:r>
          </w:p>
        </w:tc>
        <w:tc>
          <w:tcPr>
            <w:tcW w:type="dxa" w:w="3249"/>
            <w:tcMar>
              <w:top w:w="85" w:type="dxa"/>
              <w:start w:w="90" w:type="dxa"/>
              <w:bottom w:w="85" w:type="dxa"/>
              <w:end w:w="90" w:type="dxa"/>
            </w:tcMar>
            <w:vAlign w:val="center"/>
            <w:shd w:fill="123B63"/>
          </w:tcPr>
          <w:p>
            <w:r>
              <w:rPr>
                <w:rFonts w:ascii="Carlito" w:hAnsi="Carlito"/>
                <w:b/>
                <w:color w:val="FFFFFF"/>
                <w:sz w:val="15"/>
              </w:rPr>
              <w:t>Yorum</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Model</w:t>
            </w:r>
          </w:p>
        </w:tc>
        <w:tc>
          <w:tcPr>
            <w:tcW w:type="dxa" w:w="3249"/>
            <w:tcMar>
              <w:top w:w="85" w:type="dxa"/>
              <w:start w:w="90" w:type="dxa"/>
              <w:bottom w:w="85" w:type="dxa"/>
              <w:end w:w="90" w:type="dxa"/>
            </w:tcMar>
            <w:vAlign w:val="center"/>
          </w:tcPr>
          <w:p>
            <w:pPr>
              <w:spacing w:after="0"/>
              <w:jc w:val="left"/>
            </w:pPr>
            <w:r>
              <w:rPr>
                <w:rFonts w:ascii="Carlito" w:hAnsi="Carlito"/>
                <w:sz w:val="15"/>
              </w:rPr>
              <w:t>PR-AUC</w:t>
            </w:r>
          </w:p>
        </w:tc>
        <w:tc>
          <w:tcPr>
            <w:tcW w:type="dxa" w:w="3249"/>
            <w:tcMar>
              <w:top w:w="85" w:type="dxa"/>
              <w:start w:w="90" w:type="dxa"/>
              <w:bottom w:w="85" w:type="dxa"/>
              <w:end w:w="90" w:type="dxa"/>
            </w:tcMar>
            <w:vAlign w:val="center"/>
          </w:tcPr>
          <w:p>
            <w:pPr>
              <w:spacing w:after="0"/>
              <w:jc w:val="left"/>
            </w:pPr>
            <w:r>
              <w:rPr>
                <w:rFonts w:ascii="Carlito" w:hAnsi="Carlito"/>
                <w:sz w:val="15"/>
              </w:rPr>
              <w:t>Nadir şüpheli sınıfta ana ayrım gücü.</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Model/operasyon</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Recall@K ve Precision@K</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Sınırlı inceleme bütçesinde üst sıradaki vakaların kalitesi.</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Operasyon</w:t>
            </w:r>
          </w:p>
        </w:tc>
        <w:tc>
          <w:tcPr>
            <w:tcW w:type="dxa" w:w="3249"/>
            <w:tcMar>
              <w:top w:w="85" w:type="dxa"/>
              <w:start w:w="90" w:type="dxa"/>
              <w:bottom w:w="85" w:type="dxa"/>
              <w:end w:w="90" w:type="dxa"/>
            </w:tcMar>
            <w:vAlign w:val="center"/>
          </w:tcPr>
          <w:p>
            <w:pPr>
              <w:spacing w:after="0"/>
              <w:jc w:val="left"/>
            </w:pPr>
            <w:r>
              <w:rPr>
                <w:rFonts w:ascii="Carlito" w:hAnsi="Carlito"/>
                <w:sz w:val="15"/>
              </w:rPr>
              <w:t>Yanlış pozitif oranı + uyarı hacmi</w:t>
            </w:r>
          </w:p>
        </w:tc>
        <w:tc>
          <w:tcPr>
            <w:tcW w:type="dxa" w:w="3249"/>
            <w:tcMar>
              <w:top w:w="85" w:type="dxa"/>
              <w:start w:w="90" w:type="dxa"/>
              <w:bottom w:w="85" w:type="dxa"/>
              <w:end w:w="90" w:type="dxa"/>
            </w:tcMar>
            <w:vAlign w:val="center"/>
          </w:tcPr>
          <w:p>
            <w:pPr>
              <w:spacing w:after="0"/>
              <w:jc w:val="left"/>
            </w:pPr>
            <w:r>
              <w:rPr>
                <w:rFonts w:ascii="Carlito" w:hAnsi="Carlito"/>
                <w:sz w:val="15"/>
              </w:rPr>
              <w:t>Gereksiz inceleme ve potansiyel müşteri müdahalesinin temsili göstergesi.</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Operasyon</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Analist-saat başına risk kapsaması</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Aynı kaynakla daha değerli vakaya ulaşma.</w:t>
            </w:r>
          </w:p>
        </w:tc>
      </w:tr>
      <w:tr>
        <w:trPr>
          <w:cantSplit/>
        </w:trPr>
        <w:tc>
          <w:tcPr>
            <w:tcW w:type="dxa" w:w="3249"/>
            <w:tcMar>
              <w:top w:w="85" w:type="dxa"/>
              <w:start w:w="90" w:type="dxa"/>
              <w:bottom w:w="85" w:type="dxa"/>
              <w:end w:w="90" w:type="dxa"/>
            </w:tcMar>
            <w:vAlign w:val="center"/>
          </w:tcPr>
          <w:p>
            <w:pPr>
              <w:spacing w:after="0"/>
              <w:jc w:val="left"/>
            </w:pPr>
            <w:r>
              <w:rPr>
                <w:rFonts w:ascii="Carlito" w:hAnsi="Carlito"/>
                <w:sz w:val="15"/>
              </w:rPr>
              <w:t>Müşteri deneyimi (pilot)</w:t>
            </w:r>
          </w:p>
        </w:tc>
        <w:tc>
          <w:tcPr>
            <w:tcW w:type="dxa" w:w="3249"/>
            <w:tcMar>
              <w:top w:w="85" w:type="dxa"/>
              <w:start w:w="90" w:type="dxa"/>
              <w:bottom w:w="85" w:type="dxa"/>
              <w:end w:w="90" w:type="dxa"/>
            </w:tcMar>
            <w:vAlign w:val="center"/>
          </w:tcPr>
          <w:p>
            <w:pPr>
              <w:spacing w:after="0"/>
              <w:jc w:val="left"/>
            </w:pPr>
            <w:r>
              <w:rPr>
                <w:rFonts w:ascii="Carlito" w:hAnsi="Carlito"/>
                <w:sz w:val="15"/>
              </w:rPr>
              <w:t>Gereksiz doğrulama, tamamlama, güvenlik kaynaklı terk, şikâyet/CSAT</w:t>
            </w:r>
          </w:p>
        </w:tc>
        <w:tc>
          <w:tcPr>
            <w:tcW w:type="dxa" w:w="3249"/>
            <w:tcMar>
              <w:top w:w="85" w:type="dxa"/>
              <w:start w:w="90" w:type="dxa"/>
              <w:bottom w:w="85" w:type="dxa"/>
              <w:end w:w="90" w:type="dxa"/>
            </w:tcMar>
            <w:vAlign w:val="center"/>
          </w:tcPr>
          <w:p>
            <w:pPr>
              <w:spacing w:after="0"/>
              <w:jc w:val="left"/>
            </w:pPr>
            <w:r>
              <w:rPr>
                <w:rFonts w:ascii="Carlito" w:hAnsi="Carlito"/>
                <w:sz w:val="15"/>
              </w:rPr>
              <w:t>Sentetik veride ölçülmez; banka pilotunda test edilir.</w:t>
            </w:r>
          </w:p>
        </w:tc>
      </w:tr>
      <w:tr>
        <w:trPr>
          <w:cantSplit/>
        </w:trPr>
        <w:tc>
          <w:tcPr>
            <w:tcW w:type="dxa" w:w="3249"/>
            <w:tcMar>
              <w:top w:w="85" w:type="dxa"/>
              <w:start w:w="90" w:type="dxa"/>
              <w:bottom w:w="85" w:type="dxa"/>
              <w:end w:w="90" w:type="dxa"/>
            </w:tcMar>
            <w:vAlign w:val="center"/>
            <w:shd w:fill="F3F5F7"/>
          </w:tcPr>
          <w:p>
            <w:pPr>
              <w:spacing w:after="0"/>
              <w:jc w:val="left"/>
            </w:pPr>
            <w:r>
              <w:rPr>
                <w:rFonts w:ascii="Carlito" w:hAnsi="Carlito"/>
                <w:sz w:val="15"/>
              </w:rPr>
              <w:t>Ticari doğrulama</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Demo→pilot, pilot→ücretli, pilot ROI</w:t>
            </w:r>
          </w:p>
        </w:tc>
        <w:tc>
          <w:tcPr>
            <w:tcW w:type="dxa" w:w="3249"/>
            <w:tcMar>
              <w:top w:w="85" w:type="dxa"/>
              <w:start w:w="90" w:type="dxa"/>
              <w:bottom w:w="85" w:type="dxa"/>
              <w:end w:w="90" w:type="dxa"/>
            </w:tcMar>
            <w:vAlign w:val="center"/>
            <w:shd w:fill="F3F5F7"/>
          </w:tcPr>
          <w:p>
            <w:pPr>
              <w:spacing w:after="0"/>
              <w:jc w:val="left"/>
            </w:pPr>
            <w:r>
              <w:rPr>
                <w:rFonts w:ascii="Carlito" w:hAnsi="Carlito"/>
                <w:sz w:val="15"/>
              </w:rPr>
              <w:t>Kurumsal benimseme ve ürün değerini sınar.</w:t>
            </w:r>
          </w:p>
        </w:tc>
      </w:tr>
    </w:tbl>
    <w:p>
      <w:pPr>
        <w:pStyle w:val="Heading1"/>
        <w:keepNext/>
      </w:pPr>
      <w:r>
        <w:t>4. Teknoloji Değerlendirmesi</w:t>
      </w:r>
    </w:p>
    <w:p>
      <w:pPr>
        <w:pStyle w:val="Heading2"/>
        <w:keepNext/>
      </w:pPr>
      <w:r>
        <w:t>4.1 Teknoloji seçme ilkesi: aşamalı karmaşıklık</w:t>
      </w:r>
    </w:p>
    <w:p>
      <w:pPr>
        <w:jc w:val="both"/>
      </w:pPr>
      <w:r>
        <w:rPr>
          <w:i w:val="0"/>
        </w:rPr>
        <w:t>Teknoloji yığını, mümkün olan en fazla AI bileşenini kullanmak için değil, araştırma sorusuna en temiz yanıtı verecek biçimde kurulmalıdır. Bu nedenle önce güçlü tablo tabanlı referans, sonra graf özellikleri, ardından GNN deneyi gelir. Anomali tespiti, optimizasyon ve LLM katmanı çekirdek karşılaştırma çalıştıktan sonra eklenir. Bu sıra aynı zamanda model karmaşıklığına karşı adil bir karşı-olgusal karşılaştırma yaratır.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624"/>
            <w:tcMar>
              <w:top w:w="85" w:type="dxa"/>
              <w:start w:w="90" w:type="dxa"/>
              <w:bottom w:w="85" w:type="dxa"/>
              <w:end w:w="90" w:type="dxa"/>
            </w:tcMar>
            <w:vAlign w:val="center"/>
            <w:shd w:fill="123B63"/>
          </w:tcPr>
          <w:p>
            <w:r>
              <w:rPr>
                <w:rFonts w:ascii="Carlito" w:hAnsi="Carlito"/>
                <w:b/>
                <w:color w:val="FFFFFF"/>
                <w:sz w:val="15"/>
              </w:rPr>
              <w:t>1. Referans</w:t>
            </w:r>
          </w:p>
        </w:tc>
        <w:tc>
          <w:tcPr>
            <w:tcW w:type="dxa" w:w="1624"/>
            <w:tcMar>
              <w:top w:w="85" w:type="dxa"/>
              <w:start w:w="90" w:type="dxa"/>
              <w:bottom w:w="85" w:type="dxa"/>
              <w:end w:w="90" w:type="dxa"/>
            </w:tcMar>
            <w:vAlign w:val="center"/>
            <w:shd w:fill="123B63"/>
          </w:tcPr>
          <w:p>
            <w:r>
              <w:rPr>
                <w:rFonts w:ascii="Carlito" w:hAnsi="Carlito"/>
                <w:b/>
                <w:color w:val="FFFFFF"/>
                <w:sz w:val="15"/>
              </w:rPr>
              <w:t>2. Graf</w:t>
            </w:r>
          </w:p>
        </w:tc>
        <w:tc>
          <w:tcPr>
            <w:tcW w:type="dxa" w:w="1624"/>
            <w:tcMar>
              <w:top w:w="85" w:type="dxa"/>
              <w:start w:w="90" w:type="dxa"/>
              <w:bottom w:w="85" w:type="dxa"/>
              <w:end w:w="90" w:type="dxa"/>
            </w:tcMar>
            <w:vAlign w:val="center"/>
            <w:shd w:fill="123B63"/>
          </w:tcPr>
          <w:p>
            <w:r>
              <w:rPr>
                <w:rFonts w:ascii="Carlito" w:hAnsi="Carlito"/>
                <w:sz w:val="15"/>
              </w:rPr>
              <w:t>3. Graf yapay zekâ</w:t>
            </w:r>
          </w:p>
        </w:tc>
        <w:tc>
          <w:tcPr>
            <w:tcW w:type="dxa" w:w="1624"/>
            <w:tcMar>
              <w:top w:w="85" w:type="dxa"/>
              <w:start w:w="90" w:type="dxa"/>
              <w:bottom w:w="85" w:type="dxa"/>
              <w:end w:w="90" w:type="dxa"/>
            </w:tcMar>
            <w:vAlign w:val="center"/>
            <w:shd w:fill="123B63"/>
          </w:tcPr>
          <w:p>
            <w:r>
              <w:rPr>
                <w:rFonts w:ascii="Carlito" w:hAnsi="Carlito"/>
                <w:b/>
                <w:color w:val="FFFFFF"/>
                <w:sz w:val="15"/>
              </w:rPr>
              <w:t>4. Açıklama</w:t>
            </w:r>
          </w:p>
        </w:tc>
        <w:tc>
          <w:tcPr>
            <w:tcW w:type="dxa" w:w="1624"/>
            <w:tcMar>
              <w:top w:w="85" w:type="dxa"/>
              <w:start w:w="90" w:type="dxa"/>
              <w:bottom w:w="85" w:type="dxa"/>
              <w:end w:w="90" w:type="dxa"/>
            </w:tcMar>
            <w:vAlign w:val="center"/>
            <w:shd w:fill="123B63"/>
          </w:tcPr>
          <w:p>
            <w:r>
              <w:rPr>
                <w:rFonts w:ascii="Carlito" w:hAnsi="Carlito"/>
                <w:b/>
                <w:color w:val="FFFFFF"/>
                <w:sz w:val="15"/>
              </w:rPr>
              <w:t>5. Öncelik</w:t>
            </w:r>
          </w:p>
        </w:tc>
        <w:tc>
          <w:tcPr>
            <w:tcW w:type="dxa" w:w="1624"/>
            <w:tcMar>
              <w:top w:w="85" w:type="dxa"/>
              <w:start w:w="90" w:type="dxa"/>
              <w:bottom w:w="85" w:type="dxa"/>
              <w:end w:w="90" w:type="dxa"/>
            </w:tcMar>
            <w:vAlign w:val="center"/>
            <w:shd w:fill="123B63"/>
          </w:tcPr>
          <w:p>
            <w:r>
              <w:rPr>
                <w:rFonts w:ascii="Carlito" w:hAnsi="Carlito"/>
                <w:b/>
                <w:color w:val="FFFFFF"/>
                <w:sz w:val="15"/>
              </w:rPr>
              <w:t>6. Sunum</w:t>
            </w:r>
          </w:p>
        </w:tc>
      </w:tr>
      <w:tr>
        <w:trPr>
          <w:cantSplit/>
        </w:trPr>
        <w:tc>
          <w:tcPr>
            <w:tcW w:type="dxa" w:w="1624"/>
            <w:tcMar>
              <w:top w:w="85" w:type="dxa"/>
              <w:start w:w="90" w:type="dxa"/>
              <w:bottom w:w="85" w:type="dxa"/>
              <w:end w:w="90" w:type="dxa"/>
            </w:tcMar>
            <w:vAlign w:val="center"/>
          </w:tcPr>
          <w:p>
            <w:pPr>
              <w:spacing w:after="0"/>
              <w:jc w:val="left"/>
            </w:pPr>
            <w:r>
              <w:rPr>
                <w:rFonts w:ascii="Carlito" w:hAnsi="Carlito"/>
                <w:sz w:val="15"/>
              </w:rPr>
              <w:t>XGBoost / LightGBM</w:t>
            </w:r>
          </w:p>
        </w:tc>
        <w:tc>
          <w:tcPr>
            <w:tcW w:type="dxa" w:w="1624"/>
            <w:tcMar>
              <w:top w:w="85" w:type="dxa"/>
              <w:start w:w="90" w:type="dxa"/>
              <w:bottom w:w="85" w:type="dxa"/>
              <w:end w:w="90" w:type="dxa"/>
            </w:tcMar>
            <w:vAlign w:val="center"/>
          </w:tcPr>
          <w:p>
            <w:pPr>
              <w:spacing w:after="0"/>
              <w:jc w:val="left"/>
            </w:pPr>
            <w:r>
              <w:rPr>
                <w:rFonts w:ascii="Carlito" w:hAnsi="Carlito"/>
                <w:sz w:val="15"/>
              </w:rPr>
              <w:t>NetworkX özellikleri</w:t>
            </w:r>
          </w:p>
        </w:tc>
        <w:tc>
          <w:tcPr>
            <w:tcW w:type="dxa" w:w="1624"/>
            <w:tcMar>
              <w:top w:w="85" w:type="dxa"/>
              <w:start w:w="90" w:type="dxa"/>
              <w:bottom w:w="85" w:type="dxa"/>
              <w:end w:w="90" w:type="dxa"/>
            </w:tcMar>
            <w:vAlign w:val="center"/>
          </w:tcPr>
          <w:p>
            <w:pPr>
              <w:spacing w:after="0"/>
              <w:jc w:val="left"/>
            </w:pPr>
            <w:r>
              <w:rPr>
                <w:rFonts w:ascii="Carlito" w:hAnsi="Carlito"/>
                <w:sz w:val="15"/>
              </w:rPr>
              <w:t>PyTorch Geometric</w:t>
            </w:r>
          </w:p>
        </w:tc>
        <w:tc>
          <w:tcPr>
            <w:tcW w:type="dxa" w:w="1624"/>
            <w:tcMar>
              <w:top w:w="85" w:type="dxa"/>
              <w:start w:w="90" w:type="dxa"/>
              <w:bottom w:w="85" w:type="dxa"/>
              <w:end w:w="90" w:type="dxa"/>
            </w:tcMar>
            <w:vAlign w:val="center"/>
          </w:tcPr>
          <w:p>
            <w:pPr>
              <w:spacing w:after="0"/>
              <w:jc w:val="left"/>
            </w:pPr>
            <w:r>
              <w:rPr>
                <w:rFonts w:ascii="Carlito" w:hAnsi="Carlito"/>
                <w:sz w:val="15"/>
              </w:rPr>
              <w:t>SHAP + ağ kanıtı</w:t>
            </w:r>
          </w:p>
        </w:tc>
        <w:tc>
          <w:tcPr>
            <w:tcW w:type="dxa" w:w="1624"/>
            <w:tcMar>
              <w:top w:w="85" w:type="dxa"/>
              <w:start w:w="90" w:type="dxa"/>
              <w:bottom w:w="85" w:type="dxa"/>
              <w:end w:w="90" w:type="dxa"/>
            </w:tcMar>
            <w:vAlign w:val="center"/>
          </w:tcPr>
          <w:p>
            <w:pPr>
              <w:spacing w:after="0"/>
              <w:jc w:val="left"/>
            </w:pPr>
            <w:r>
              <w:rPr>
                <w:rFonts w:ascii="Carlito" w:hAnsi="Carlito"/>
                <w:sz w:val="15"/>
              </w:rPr>
              <w:t>OR-Tools / fayda skoru</w:t>
            </w:r>
          </w:p>
        </w:tc>
        <w:tc>
          <w:tcPr>
            <w:tcW w:type="dxa" w:w="1624"/>
            <w:tcMar>
              <w:top w:w="85" w:type="dxa"/>
              <w:start w:w="90" w:type="dxa"/>
              <w:bottom w:w="85" w:type="dxa"/>
              <w:end w:w="90" w:type="dxa"/>
            </w:tcMar>
            <w:vAlign w:val="center"/>
          </w:tcPr>
          <w:p>
            <w:pPr>
              <w:spacing w:after="0"/>
              <w:jc w:val="left"/>
            </w:pPr>
            <w:r>
              <w:rPr>
                <w:rFonts w:ascii="Carlito" w:hAnsi="Carlito"/>
                <w:sz w:val="15"/>
              </w:rPr>
              <w:t>Streamlit + kısıtlı LLM</w:t>
            </w:r>
          </w:p>
        </w:tc>
      </w:tr>
    </w:tbl>
    <w:p>
      <w:pPr>
        <w:pStyle w:val="Heading2"/>
        <w:keepNext/>
      </w:pPr>
      <w:r>
        <w:t>4.2 İşlem-seviyesi referans: Lojistik Regresyon, Rastgele Orman, XGBoost/LightGBM</w:t>
      </w:r>
    </w:p>
    <w:p>
      <w:pPr>
        <w:jc w:val="both"/>
      </w:pPr>
      <w:r>
        <w:rPr>
          <w:i w:val="0"/>
        </w:rPr>
        <w:t>Lojistik Regresyon açıklanabilir doğrusal referans, Rastgele Orman doğrusal olmayan ilişkiler için ikinci referans, XGBoost/LightGBM ise yapılandırılmış ve dengesiz veride güçlü üretim kalitesinde referans olarak kullanılacaktır. Model seçimi önceden sabitlenmeyecek; doğrulama performansında en güçlü tablo tabanlı model, graf yaklaşımlarının gerçek karşılaştırma noktası olacaktır.</w:t>
      </w:r>
    </w:p>
    <w:p>
      <w:pPr>
        <w:jc w:val="both"/>
      </w:pPr>
      <w:r>
        <w:rPr>
          <w:i w:val="0"/>
        </w:rPr>
        <w:t>Gradyan artırma seçeneğinin ek avantajı, sınıf ağırlıklandırma, eşik ayarlama ve SHAP tabanlı yerel açıklamayı görece düşük mühendislik maliyetiyle desteklemesidir. Blanuša et al. (2024) bulguları da graf özelliği + gradyan artırma seçeneğinin finansal suçta güçlü bir rakip olduğunu gösterdiği için bu model yalnızca “referans model” diye küçümsenmemelidir.</w:t>
      </w:r>
    </w:p>
    <w:p>
      <w:pPr>
        <w:pStyle w:val="Heading2"/>
        <w:keepNext/>
      </w:pPr>
      <w:r>
        <w:t>4.3 Graf oluşturma ve özellik mühendisliği: NetworkX</w:t>
      </w:r>
    </w:p>
    <w:p>
      <w:pPr>
        <w:jc w:val="both"/>
      </w:pPr>
      <w:r>
        <w:rPr>
          <w:i w:val="0"/>
        </w:rPr>
        <w:t>NetworkX, capstone ölçeğinde graf kurma ve özelliği doğrulama için şeffaf bir başlangıçtır. giriş/çıkış derecesi, PageRank, bağlı bileşenler, kısa yollar ve özel akış değişkenleri kolayca hesaplanabilir; ayrıca şüpheli alt-graflar tekrar üretilebilir biçimde çıkarılabilir. Dezavantajı çok büyük graflarda bellek ve hız sınırıdır. Bu nedenle ilk prototip kontrollü altkümelerde geliştirilmeli, ölçek problemi gerçekten ortaya çıkarsa daha özel graf altyapısına geçilmelidir.</w:t>
      </w:r>
    </w:p>
    <w:p>
      <w:pPr>
        <w:pStyle w:val="Heading2"/>
        <w:keepNext/>
      </w:pPr>
      <w:r>
        <w:t>4.4 GNN çerçevesi: PyTorch Geometric ve model seçimi</w:t>
      </w:r>
    </w:p>
    <w:p>
      <w:pPr>
        <w:jc w:val="both"/>
      </w:pPr>
      <w:r>
        <w:rPr>
          <w:i w:val="0"/>
        </w:rPr>
        <w:t>PyTorch Geometric, GraphSAGE, GCN, GAT ve heterojen graf operatörlerini hazır veri yapılarıyla sunduğu için capstone için uygundur. İlk GNN olarak GraphSAGE önerilir: komşuluk örneklemesi, endüktif kullanım ve mini-yığın desteği uygulanabilirlik açısından güçlüdür (Hamilton et al., 2017). GCN ikinci referans, GAT ise komşuların farklı ağırlıklarla toplanmasının yararlı olup olmadığını test etmek için ikincil model olabilir.</w:t>
      </w:r>
    </w:p>
    <w:p>
      <w:pPr>
        <w:jc w:val="both"/>
      </w:pPr>
      <w:r>
        <w:rPr>
          <w:i w:val="0"/>
        </w:rPr>
        <w:t>Finansal grafın yönlü ve çoklu kenarlı yapısı unutulmamalıdır. İlk sürüm tekrarlı kenar veya yön bilgisini basitleştirirse bu durum yöntem sınırlılığı olarak belgelenmelidir. Egressy et al. (2024) ve FraudGT (Lin et al., 2024), kenar özelliklerinin ve yönlü yapının önemini gösterdiği için daha ileri model ancak çekirdek deneyde bu bilgiyi kaybetmenin ölçülebilir sorun yarattığı görülürse gerekçelendirilmelidir.</w:t>
      </w:r>
    </w:p>
    <w:p>
      <w:pPr>
        <w:pStyle w:val="Heading2"/>
        <w:keepNext/>
      </w:pPr>
      <w:r>
        <w:t>4.5 Anomali tespiti</w:t>
      </w:r>
    </w:p>
    <w:p>
      <w:pPr>
        <w:jc w:val="both"/>
      </w:pPr>
      <w:r>
        <w:rPr>
          <w:i w:val="0"/>
        </w:rPr>
        <w:t>İlk anomali modeli olarak Isolation Forest önerilir. Graf ve hesap düzeyinde türetilmiş sayısal özelliklerle hızlı eğitilir, çıktı skoru kolay açıklanır ve çekirdek GNN deneyini geciktirmez. Graf otoenkoder, temsil düzeyinde anomali için ileri seçenektir. Anomali skoru, denetimli risk skoruyla görünmez biçimde birleştirilmek yerine panelde ayrı sinyal olarak gösterilmelidir.</w:t>
      </w:r>
    </w:p>
    <w:p>
      <w:pPr>
        <w:pStyle w:val="Heading2"/>
        <w:keepNext/>
      </w:pPr>
      <w:r>
        <w:t>4.6 Açıklanabilirlik</w:t>
      </w:r>
    </w:p>
    <w:p>
      <w:pPr>
        <w:jc w:val="both"/>
      </w:pPr>
      <w:r>
        <w:rPr>
          <w:i w:val="0"/>
        </w:rPr>
        <w:t>Açıklanabilirlik iki ayrı soruya cevap vermelidir: sistem hangi gerçeği gözledi ve model bu gerçeğe ne kadar önem verdi? Birinci soru işlem yolu, tutar, zaman, fan-in/out ve komşuluk gibi doğrudan gözlemlerle; ikinci soru ağaç tabanlı modellerde SHAP, GNN’de ise doğrulanmış alt-graf/özellik atıflarıyla yanıtlanır. Bu ayrım, “dikkat ağırlığı = açıklama” gibi metodolojik olarak zayıf kısayollardan kaçınmayı sağlar.</w:t>
      </w:r>
    </w:p>
    <w:p>
      <w:pPr>
        <w:pStyle w:val="Heading2"/>
        <w:keepNext/>
      </w:pPr>
      <w:r>
        <w:t>4.7 Analist kapasitesi ve optimizasyon</w:t>
      </w:r>
    </w:p>
    <w:p>
      <w:pPr>
        <w:jc w:val="both"/>
      </w:pPr>
      <w:r>
        <w:rPr>
          <w:i w:val="0"/>
        </w:rPr>
        <w:t>Risk olasılığı tek başına inceleme sırasını belirlemek zorunda değildir. Finansal maruziyet, ağın yapısal önemi, beklenen önlenebilir kayıp ve tahmini inceleme süresi aynı karar problemine eklenebilir. İlk sürümde şeffaf bir ağırlıklı fayda skoru yeterlidir. Parametreler güvenilir biçimde tanımlanabildiğinde OR-Tools ile analist-saat ve vaka kapasitesi kısıtları altında beklenen faydayı maksimize eden karma tamsayılı model kurulabilir. Varsayımları zayıf bir optimizasyon modeli yerine basit ve denetlenebilir sıralama tercih edilmelidir.</w:t>
      </w:r>
    </w:p>
    <w:p>
      <w:pPr>
        <w:pStyle w:val="Heading2"/>
        <w:keepNext/>
      </w:pPr>
      <w:r>
        <w:t>4.8 Üretken yapay zekâ ile vaka özeti</w:t>
      </w:r>
    </w:p>
    <w:p>
      <w:pPr>
        <w:jc w:val="both"/>
      </w:pPr>
      <w:r>
        <w:t>Büyük dil modeli (LLM), karar verici değil metinleştirme katmanıdır. İsteme yalnızca önceden hesaplanmış alanlar verilir: risk skoru, giriş/çıkış karşı taraf sayısı, elde tutma süresi sinyali, dairesel akış göstergesi, şüpheli komşu sayısı ve model açıklamaları. Modelin yeni kanıt üretmesi, hukuki sonuç çıkarması veya “suçlu” gibi bir etiket kullanması yasaklanmalıdır. Çıktı “yüksek öncelikli inceleme adayı” gibi operasyonel fakat isnat içermeyen bir dille hazırlanmalı ve analist onayından geçmelidir.</w:t>
      </w:r>
    </w:p>
    <w:p>
      <w:pPr>
        <w:pStyle w:val="Heading2"/>
        <w:keepNext/>
      </w:pPr>
      <w:r>
        <w:t>4.9 Analist arayüzü: Streamlit</w:t>
      </w:r>
    </w:p>
    <w:p>
      <w:pPr>
        <w:jc w:val="both"/>
      </w:pPr>
      <w:r>
        <w:t>Streamlit, hızlı ürün prototipi için yeterlidir; kurumsal bir vaka yönetimi sisteminin yerini alması beklenmez. Final demoda ağ görselleştirmesi, vaka kanıt kartları, öncelik kuyruğu, eşik kontrolü ve işlem-seviyesi referans ile graf model arasındaki karşılaştırma gösterilmelidir. Arayüzün ana soruları şunlar olmalıdır: “Neden bu ağ?”, “Hangi kanıtlar var?”, “Analist neyi önce incelemeli?” ve “Bu karar, yanlış pozitif kaynaklı gereksiz müdahaleyi nasıl azaltabilir?”</w:t>
      </w:r>
    </w:p>
    <w:p>
      <w:pPr>
        <w:pStyle w:val="Heading2"/>
        <w:keepNext/>
      </w:pPr>
      <w:r>
        <w:t>4.10 Teknoloji karar matrisi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tcMar>
              <w:top w:w="85" w:type="dxa"/>
              <w:start w:w="90" w:type="dxa"/>
              <w:bottom w:w="85" w:type="dxa"/>
              <w:end w:w="90" w:type="dxa"/>
            </w:tcMar>
            <w:vAlign w:val="center"/>
            <w:shd w:fill="123B63"/>
          </w:tcPr>
          <w:p>
            <w:r>
              <w:rPr>
                <w:rFonts w:ascii="Carlito" w:hAnsi="Carlito"/>
                <w:b/>
                <w:color w:val="FFFFFF"/>
                <w:sz w:val="15"/>
              </w:rPr>
              <w:t>Teknoloji</w:t>
            </w:r>
          </w:p>
        </w:tc>
        <w:tc>
          <w:tcPr>
            <w:tcW w:type="dxa" w:w="2436"/>
            <w:tcMar>
              <w:top w:w="85" w:type="dxa"/>
              <w:start w:w="90" w:type="dxa"/>
              <w:bottom w:w="85" w:type="dxa"/>
              <w:end w:w="90" w:type="dxa"/>
            </w:tcMar>
            <w:vAlign w:val="center"/>
            <w:shd w:fill="123B63"/>
          </w:tcPr>
          <w:p>
            <w:r>
              <w:rPr>
                <w:rFonts w:ascii="Carlito" w:hAnsi="Carlito"/>
                <w:b/>
                <w:color w:val="FFFFFF"/>
                <w:sz w:val="15"/>
              </w:rPr>
              <w:t>Güçlü yön</w:t>
            </w:r>
          </w:p>
        </w:tc>
        <w:tc>
          <w:tcPr>
            <w:tcW w:type="dxa" w:w="2436"/>
            <w:tcMar>
              <w:top w:w="85" w:type="dxa"/>
              <w:start w:w="90" w:type="dxa"/>
              <w:bottom w:w="85" w:type="dxa"/>
              <w:end w:w="90" w:type="dxa"/>
            </w:tcMar>
            <w:vAlign w:val="center"/>
            <w:shd w:fill="123B63"/>
          </w:tcPr>
          <w:p>
            <w:r>
              <w:rPr>
                <w:rFonts w:ascii="Carlito" w:hAnsi="Carlito"/>
                <w:b/>
                <w:color w:val="FFFFFF"/>
                <w:sz w:val="15"/>
              </w:rPr>
              <w:t>Sınırlılık</w:t>
            </w:r>
          </w:p>
        </w:tc>
        <w:tc>
          <w:tcPr>
            <w:tcW w:type="dxa" w:w="2436"/>
            <w:tcMar>
              <w:top w:w="85" w:type="dxa"/>
              <w:start w:w="90" w:type="dxa"/>
              <w:bottom w:w="85" w:type="dxa"/>
              <w:end w:w="90" w:type="dxa"/>
            </w:tcMar>
            <w:vAlign w:val="center"/>
            <w:shd w:fill="123B63"/>
          </w:tcPr>
          <w:p>
            <w:r>
              <w:rPr>
                <w:rFonts w:ascii="Carlito" w:hAnsi="Carlito"/>
                <w:b/>
                <w:color w:val="FFFFFF"/>
                <w:sz w:val="15"/>
              </w:rPr>
              <w:t>ARGUS kararı</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XGBoost / LightGBM</w:t>
            </w:r>
          </w:p>
        </w:tc>
        <w:tc>
          <w:tcPr>
            <w:tcW w:type="dxa" w:w="2436"/>
            <w:tcMar>
              <w:top w:w="85" w:type="dxa"/>
              <w:start w:w="90" w:type="dxa"/>
              <w:bottom w:w="85" w:type="dxa"/>
              <w:end w:w="90" w:type="dxa"/>
            </w:tcMar>
            <w:vAlign w:val="center"/>
          </w:tcPr>
          <w:p>
            <w:pPr>
              <w:spacing w:after="0"/>
              <w:jc w:val="left"/>
            </w:pPr>
            <w:r>
              <w:rPr>
                <w:rFonts w:ascii="Carlito" w:hAnsi="Carlito"/>
                <w:sz w:val="15"/>
              </w:rPr>
              <w:t>Güçlü tablo tabanlı performans, olgun ekosistem, sınıf ağırlıklandırma, SHAP</w:t>
            </w:r>
          </w:p>
        </w:tc>
        <w:tc>
          <w:tcPr>
            <w:tcW w:type="dxa" w:w="2436"/>
            <w:tcMar>
              <w:top w:w="85" w:type="dxa"/>
              <w:start w:w="90" w:type="dxa"/>
              <w:bottom w:w="85" w:type="dxa"/>
              <w:end w:w="90" w:type="dxa"/>
            </w:tcMar>
            <w:vAlign w:val="center"/>
          </w:tcPr>
          <w:p>
            <w:pPr>
              <w:spacing w:after="0"/>
              <w:jc w:val="left"/>
            </w:pPr>
            <w:r>
              <w:rPr>
                <w:rFonts w:ascii="Carlito" w:hAnsi="Carlito"/>
                <w:sz w:val="15"/>
              </w:rPr>
              <w:t>Ağ topolojisini doğal olarak öğrenmez</w:t>
            </w:r>
          </w:p>
        </w:tc>
        <w:tc>
          <w:tcPr>
            <w:tcW w:type="dxa" w:w="2436"/>
            <w:tcMar>
              <w:top w:w="85" w:type="dxa"/>
              <w:start w:w="90" w:type="dxa"/>
              <w:bottom w:w="85" w:type="dxa"/>
              <w:end w:w="90" w:type="dxa"/>
            </w:tcMar>
            <w:vAlign w:val="center"/>
          </w:tcPr>
          <w:p>
            <w:pPr>
              <w:spacing w:after="0"/>
              <w:jc w:val="left"/>
            </w:pPr>
            <w:r>
              <w:rPr>
                <w:rFonts w:ascii="Carlito" w:hAnsi="Carlito"/>
                <w:sz w:val="15"/>
              </w:rPr>
              <w:t>Zorunlu referans</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NetworkX</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Şeffaf graf özellikleri ve alt-graf çıkarımı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Çok büyük graflarda ölçek sınırlı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Çekirdek graf pipeline</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GraphSAGE / GCN</w:t>
            </w:r>
          </w:p>
        </w:tc>
        <w:tc>
          <w:tcPr>
            <w:tcW w:type="dxa" w:w="2436"/>
            <w:tcMar>
              <w:top w:w="85" w:type="dxa"/>
              <w:start w:w="90" w:type="dxa"/>
              <w:bottom w:w="85" w:type="dxa"/>
              <w:end w:w="90" w:type="dxa"/>
            </w:tcMar>
            <w:vAlign w:val="center"/>
          </w:tcPr>
          <w:p>
            <w:pPr>
              <w:spacing w:after="0"/>
              <w:jc w:val="left"/>
            </w:pPr>
            <w:r>
              <w:rPr>
                <w:rFonts w:ascii="Carlito" w:hAnsi="Carlito"/>
                <w:sz w:val="15"/>
              </w:rPr>
              <w:t>Komşuluk bağlamını öğrenir; PyG ile uygulanabilir</w:t>
            </w:r>
          </w:p>
        </w:tc>
        <w:tc>
          <w:tcPr>
            <w:tcW w:type="dxa" w:w="2436"/>
            <w:tcMar>
              <w:top w:w="85" w:type="dxa"/>
              <w:start w:w="90" w:type="dxa"/>
              <w:bottom w:w="85" w:type="dxa"/>
              <w:end w:w="90" w:type="dxa"/>
            </w:tcMar>
            <w:vAlign w:val="center"/>
          </w:tcPr>
          <w:p>
            <w:pPr>
              <w:spacing w:after="0"/>
              <w:jc w:val="left"/>
            </w:pPr>
            <w:r>
              <w:rPr>
                <w:rFonts w:ascii="Carlito" w:hAnsi="Carlito"/>
                <w:sz w:val="15"/>
              </w:rPr>
              <w:t>Yön ve çoklu kenar dikkat ister; hesaplama maliyeti</w:t>
            </w:r>
          </w:p>
        </w:tc>
        <w:tc>
          <w:tcPr>
            <w:tcW w:type="dxa" w:w="2436"/>
            <w:tcMar>
              <w:top w:w="85" w:type="dxa"/>
              <w:start w:w="90" w:type="dxa"/>
              <w:bottom w:w="85" w:type="dxa"/>
              <w:end w:w="90" w:type="dxa"/>
            </w:tcMar>
            <w:vAlign w:val="center"/>
          </w:tcPr>
          <w:p>
            <w:pPr>
              <w:spacing w:after="0"/>
              <w:jc w:val="left"/>
            </w:pPr>
            <w:r>
              <w:rPr>
                <w:rFonts w:ascii="Carlito" w:hAnsi="Carlito"/>
                <w:sz w:val="15"/>
              </w:rPr>
              <w:t>Graf özelliklerinden sonra çekirdek deney</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GAT</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Komşular için öğrenilebilir ağırlık</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Dikkat ağırlıkları otomatik açıklama değildir; ek maliyet</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İkincil GNN</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R-GCN / heterojen GNN</w:t>
            </w:r>
          </w:p>
        </w:tc>
        <w:tc>
          <w:tcPr>
            <w:tcW w:type="dxa" w:w="2436"/>
            <w:tcMar>
              <w:top w:w="85" w:type="dxa"/>
              <w:start w:w="90" w:type="dxa"/>
              <w:bottom w:w="85" w:type="dxa"/>
              <w:end w:w="90" w:type="dxa"/>
            </w:tcMar>
            <w:vAlign w:val="center"/>
          </w:tcPr>
          <w:p>
            <w:pPr>
              <w:spacing w:after="0"/>
              <w:jc w:val="left"/>
            </w:pPr>
            <w:r>
              <w:rPr>
                <w:rFonts w:ascii="Carlito" w:hAnsi="Carlito"/>
                <w:sz w:val="15"/>
              </w:rPr>
              <w:t>İlişki tiplerini daha doğru modeller</w:t>
            </w:r>
          </w:p>
        </w:tc>
        <w:tc>
          <w:tcPr>
            <w:tcW w:type="dxa" w:w="2436"/>
            <w:tcMar>
              <w:top w:w="85" w:type="dxa"/>
              <w:start w:w="90" w:type="dxa"/>
              <w:bottom w:w="85" w:type="dxa"/>
              <w:end w:w="90" w:type="dxa"/>
            </w:tcMar>
            <w:vAlign w:val="center"/>
          </w:tcPr>
          <w:p>
            <w:pPr>
              <w:spacing w:after="0"/>
              <w:jc w:val="left"/>
            </w:pPr>
            <w:r>
              <w:rPr>
                <w:rFonts w:ascii="Carlito" w:hAnsi="Carlito"/>
                <w:sz w:val="15"/>
              </w:rPr>
              <w:t>Uygulama karmaşıklığı yüksek</w:t>
            </w:r>
          </w:p>
        </w:tc>
        <w:tc>
          <w:tcPr>
            <w:tcW w:type="dxa" w:w="2436"/>
            <w:tcMar>
              <w:top w:w="85" w:type="dxa"/>
              <w:start w:w="90" w:type="dxa"/>
              <w:bottom w:w="85" w:type="dxa"/>
              <w:end w:w="90" w:type="dxa"/>
            </w:tcMar>
            <w:vAlign w:val="center"/>
          </w:tcPr>
          <w:p>
            <w:pPr>
              <w:spacing w:after="0"/>
              <w:jc w:val="left"/>
            </w:pPr>
            <w:r>
              <w:rPr>
                <w:rFonts w:ascii="Carlito" w:hAnsi="Carlito"/>
                <w:sz w:val="15"/>
              </w:rPr>
              <w:t>İleri hedef</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Isolation Forest</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Hızlı ve düşük maliyetli anomali sinyali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Graf-native değil; anomali ≠ suç</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Önerilen ek katman</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SHAP</w:t>
            </w:r>
          </w:p>
        </w:tc>
        <w:tc>
          <w:tcPr>
            <w:tcW w:type="dxa" w:w="2436"/>
            <w:tcMar>
              <w:top w:w="85" w:type="dxa"/>
              <w:start w:w="90" w:type="dxa"/>
              <w:bottom w:w="85" w:type="dxa"/>
              <w:end w:w="90" w:type="dxa"/>
            </w:tcMar>
            <w:vAlign w:val="center"/>
          </w:tcPr>
          <w:p>
            <w:pPr>
              <w:spacing w:after="0"/>
              <w:jc w:val="left"/>
            </w:pPr>
            <w:r>
              <w:rPr>
                <w:rFonts w:ascii="Carlito" w:hAnsi="Carlito"/>
                <w:sz w:val="15"/>
              </w:rPr>
              <w:t>Ağaç tabanlı modelde yerel açıklama</w:t>
            </w:r>
          </w:p>
        </w:tc>
        <w:tc>
          <w:tcPr>
            <w:tcW w:type="dxa" w:w="2436"/>
            <w:tcMar>
              <w:top w:w="85" w:type="dxa"/>
              <w:start w:w="90" w:type="dxa"/>
              <w:bottom w:w="85" w:type="dxa"/>
              <w:end w:w="90" w:type="dxa"/>
            </w:tcMar>
            <w:vAlign w:val="center"/>
          </w:tcPr>
          <w:p>
            <w:pPr>
              <w:spacing w:after="0"/>
              <w:jc w:val="left"/>
            </w:pPr>
            <w:r>
              <w:rPr>
                <w:rFonts w:ascii="Carlito" w:hAnsi="Carlito"/>
                <w:sz w:val="15"/>
              </w:rPr>
              <w:t>GNN açıklamasını çözmez</w:t>
            </w:r>
          </w:p>
        </w:tc>
        <w:tc>
          <w:tcPr>
            <w:tcW w:type="dxa" w:w="2436"/>
            <w:tcMar>
              <w:top w:w="85" w:type="dxa"/>
              <w:start w:w="90" w:type="dxa"/>
              <w:bottom w:w="85" w:type="dxa"/>
              <w:end w:w="90" w:type="dxa"/>
            </w:tcMar>
            <w:vAlign w:val="center"/>
          </w:tcPr>
          <w:p>
            <w:pPr>
              <w:spacing w:after="0"/>
              <w:jc w:val="left"/>
            </w:pPr>
            <w:r>
              <w:rPr>
                <w:rFonts w:ascii="Carlito" w:hAnsi="Carlito"/>
                <w:sz w:val="15"/>
              </w:rPr>
              <w:t>Referans ve graf-özellikli modelde kullan</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OR-Tools</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Kapasite kısıtlı kaynak tahsisi</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Fayda fonksiyonu varsayımlarına bağlı</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Sıralama çalıştıktan sonra opsiyonel</w:t>
            </w:r>
          </w:p>
        </w:tc>
      </w:tr>
      <w:tr>
        <w:trPr>
          <w:cantSplit/>
        </w:trPr>
        <w:tc>
          <w:tcPr>
            <w:tcW w:type="dxa" w:w="2436"/>
            <w:tcMar>
              <w:top w:w="85" w:type="dxa"/>
              <w:start w:w="90" w:type="dxa"/>
              <w:bottom w:w="85" w:type="dxa"/>
              <w:end w:w="90" w:type="dxa"/>
            </w:tcMar>
            <w:vAlign w:val="center"/>
          </w:tcPr>
          <w:p>
            <w:pPr>
              <w:spacing w:after="0"/>
              <w:jc w:val="left"/>
            </w:pPr>
            <w:r>
              <w:rPr>
                <w:rFonts w:ascii="Carlito" w:hAnsi="Carlito"/>
                <w:sz w:val="15"/>
              </w:rPr>
              <w:t>LLM vaka özeti</w:t>
            </w:r>
          </w:p>
        </w:tc>
        <w:tc>
          <w:tcPr>
            <w:tcW w:type="dxa" w:w="2436"/>
            <w:tcMar>
              <w:top w:w="85" w:type="dxa"/>
              <w:start w:w="90" w:type="dxa"/>
              <w:bottom w:w="85" w:type="dxa"/>
              <w:end w:w="90" w:type="dxa"/>
            </w:tcMar>
            <w:vAlign w:val="center"/>
          </w:tcPr>
          <w:p>
            <w:pPr>
              <w:spacing w:after="0"/>
              <w:jc w:val="left"/>
            </w:pPr>
            <w:r>
              <w:rPr>
                <w:rFonts w:ascii="Carlito" w:hAnsi="Carlito"/>
                <w:sz w:val="15"/>
              </w:rPr>
              <w:t>Okunabilir, standart vaka notu</w:t>
            </w:r>
          </w:p>
        </w:tc>
        <w:tc>
          <w:tcPr>
            <w:tcW w:type="dxa" w:w="2436"/>
            <w:tcMar>
              <w:top w:w="85" w:type="dxa"/>
              <w:start w:w="90" w:type="dxa"/>
              <w:bottom w:w="85" w:type="dxa"/>
              <w:end w:w="90" w:type="dxa"/>
            </w:tcMar>
            <w:vAlign w:val="center"/>
          </w:tcPr>
          <w:p>
            <w:pPr>
              <w:spacing w:after="0"/>
              <w:jc w:val="left"/>
            </w:pPr>
            <w:r>
              <w:rPr>
                <w:rFonts w:ascii="Carlito" w:hAnsi="Carlito"/>
                <w:sz w:val="15"/>
              </w:rPr>
              <w:t>Halüsinasyon / aşırı yorum riski</w:t>
            </w:r>
          </w:p>
        </w:tc>
        <w:tc>
          <w:tcPr>
            <w:tcW w:type="dxa" w:w="2436"/>
            <w:tcMar>
              <w:top w:w="85" w:type="dxa"/>
              <w:start w:w="90" w:type="dxa"/>
              <w:bottom w:w="85" w:type="dxa"/>
              <w:end w:w="90" w:type="dxa"/>
            </w:tcMar>
            <w:vAlign w:val="center"/>
          </w:tcPr>
          <w:p>
            <w:pPr>
              <w:spacing w:after="0"/>
              <w:jc w:val="left"/>
            </w:pPr>
            <w:r>
              <w:rPr>
                <w:rFonts w:ascii="Carlito" w:hAnsi="Carlito"/>
                <w:sz w:val="15"/>
              </w:rPr>
              <w:t>Kanıt-kısıtlı ve insan onaylı</w:t>
            </w:r>
          </w:p>
        </w:tc>
      </w:tr>
      <w:tr>
        <w:trPr>
          <w:cantSplit/>
        </w:trPr>
        <w:tc>
          <w:tcPr>
            <w:tcW w:type="dxa" w:w="2436"/>
            <w:tcMar>
              <w:top w:w="85" w:type="dxa"/>
              <w:start w:w="90" w:type="dxa"/>
              <w:bottom w:w="85" w:type="dxa"/>
              <w:end w:w="90" w:type="dxa"/>
            </w:tcMar>
            <w:vAlign w:val="center"/>
            <w:shd w:fill="F3F5F7"/>
          </w:tcPr>
          <w:p>
            <w:pPr>
              <w:spacing w:after="0"/>
              <w:jc w:val="left"/>
            </w:pPr>
            <w:r>
              <w:rPr>
                <w:rFonts w:ascii="Carlito" w:hAnsi="Carlito"/>
                <w:sz w:val="15"/>
              </w:rPr>
              <w:t>Streamlit</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Hızlı, interaktif demo</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Kurumsal kullanıcı arayüzü veya vaka yönetim platformu değildir</w:t>
            </w:r>
          </w:p>
        </w:tc>
        <w:tc>
          <w:tcPr>
            <w:tcW w:type="dxa" w:w="2436"/>
            <w:tcMar>
              <w:top w:w="85" w:type="dxa"/>
              <w:start w:w="90" w:type="dxa"/>
              <w:bottom w:w="85" w:type="dxa"/>
              <w:end w:w="90" w:type="dxa"/>
            </w:tcMar>
            <w:vAlign w:val="center"/>
            <w:shd w:fill="F3F5F7"/>
          </w:tcPr>
          <w:p>
            <w:pPr>
              <w:spacing w:after="0"/>
              <w:jc w:val="left"/>
            </w:pPr>
            <w:r>
              <w:rPr>
                <w:rFonts w:ascii="Carlito" w:hAnsi="Carlito"/>
                <w:sz w:val="15"/>
              </w:rPr>
              <w:t>Capstone kavram kanıtı (PoC) için uygun</w:t>
            </w:r>
          </w:p>
        </w:tc>
      </w:tr>
    </w:tbl>
    <w:p>
      <w:pPr>
        <w:pStyle w:val="Heading2"/>
        <w:keepNext/>
      </w:pPr>
      <w:r>
        <w:t>4.11 Gerçek dünya örnekleri ve rekabetten öğrenilenler</w:t>
      </w:r>
    </w:p>
    <w:p>
      <w:pPr>
        <w:jc w:val="both"/>
      </w:pPr>
      <w:r>
        <w:t>Quantexa’nın finansal suç ürünleri varlık çözümleme, graf üretimi ve bağlamsal izleme üzerine kuruludur. Şirketin 2025’te orta ölçekli ve topluluk bankalarına yönelik duyurduğu Cloud AML çözümü, gizli ilişkilerin görünür kılınması, yanlış pozitiflerin azaltılması ve inceleme süresinin kısaltılması gibi faydaları öne çıkarır (Quantexa, 2025). Feedzai ise kural tabanlı kontrolleri, davranış profillerini ve makine öğrenmesini aynı AML iş akışında birleştirmekte; uyarı önceliklendirme ve yanlış pozitif azaltmayı temel ürün hedefleri arasında konumlandırmaktadır (Feedzai, 2026b). Feedzai’nin 2026 tarihli ve 630’dan fazla AML profesyonelinin katıldığı sektör araştırmasında, katılımcıların %54’ü yanlış pozitifleri azaltmayı ve doğruluğu artırmayı öncelikli ihtiyaç olarak belirtmiştir (Feedzai, 2026a). Bu bulgu bağımsız bir akademik performans kanıtı değildir; ancak ARGUS’un ele aldığı operasyonel sorunun güncel pazar karşılığını göstermesi bakımından değerlidir.</w:t>
      </w:r>
    </w:p>
    <w:p>
      <w:pPr>
        <w:jc w:val="both"/>
      </w:pPr>
      <w:r>
        <w:t>ARGUS’un rekabet iddiası daha dar tutulmalıdır: açık sentetik veri üzerinde graf bilgisinin değerini güçlü bir tablo tabanlı referansa karşı ölçen, bir ağın neden işaretlendiğini gösteren, sabit analist kapasitesinde operasyonel faydayı hesaplayan ve yanlış pozitifleri müşteri deneyimi hipotezine bağlayan şeffaf bir kavram kanıtı geliştirmek.</w:t>
      </w:r>
    </w:p>
    <w:p>
      <w:pPr>
        <w:pStyle w:val="Heading2"/>
        <w:keepNext/>
      </w:pPr>
      <w:r>
        <w:t>4.12 Sorumlu yapay zekâ, riskler ve yönetişim</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tcMar>
              <w:top w:w="85" w:type="dxa"/>
              <w:start w:w="90" w:type="dxa"/>
              <w:bottom w:w="85" w:type="dxa"/>
              <w:end w:w="90" w:type="dxa"/>
            </w:tcMar>
            <w:vAlign w:val="center"/>
            <w:shd w:fill="123B63"/>
          </w:tcPr>
          <w:p>
            <w:r>
              <w:rPr>
                <w:rFonts w:ascii="Carlito" w:hAnsi="Carlito"/>
                <w:b/>
                <w:color w:val="FFFFFF"/>
                <w:sz w:val="15"/>
              </w:rPr>
              <w:t>Risk</w:t>
            </w:r>
          </w:p>
        </w:tc>
        <w:tc>
          <w:tcPr>
            <w:tcW w:type="dxa" w:w="4873"/>
            <w:tcMar>
              <w:top w:w="85" w:type="dxa"/>
              <w:start w:w="90" w:type="dxa"/>
              <w:bottom w:w="85" w:type="dxa"/>
              <w:end w:w="90" w:type="dxa"/>
            </w:tcMar>
            <w:vAlign w:val="center"/>
            <w:shd w:fill="123B63"/>
          </w:tcPr>
          <w:p>
            <w:r>
              <w:rPr>
                <w:rFonts w:ascii="Carlito" w:hAnsi="Carlito"/>
                <w:b/>
                <w:color w:val="FFFFFF"/>
                <w:sz w:val="15"/>
              </w:rPr>
              <w:t>Kontrol</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Yanlış pozitif / müşteri zararı</w:t>
            </w:r>
          </w:p>
        </w:tc>
        <w:tc>
          <w:tcPr>
            <w:tcW w:type="dxa" w:w="4873"/>
            <w:tcMar>
              <w:top w:w="85" w:type="dxa"/>
              <w:start w:w="90" w:type="dxa"/>
              <w:bottom w:w="85" w:type="dxa"/>
              <w:end w:w="90" w:type="dxa"/>
            </w:tcMar>
            <w:vAlign w:val="center"/>
          </w:tcPr>
          <w:p>
            <w:pPr>
              <w:spacing w:after="0"/>
              <w:jc w:val="left"/>
            </w:pPr>
            <w:r>
              <w:rPr>
                <w:rFonts w:ascii="Carlito" w:hAnsi="Carlito"/>
                <w:sz w:val="15"/>
              </w:rPr>
              <w:t>İnsan incelemesi; eşik ayarlama; FPR ve müdahale oranlarının birlikte izlenmesi.</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Yanlış negatif / kaçan suç</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Recall@K; ileri aşamada anomali sinyali; gelecekte analist geri besleme döngüsü.</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LLM halüsinasyonu</w:t>
            </w:r>
          </w:p>
        </w:tc>
        <w:tc>
          <w:tcPr>
            <w:tcW w:type="dxa" w:w="4873"/>
            <w:tcMar>
              <w:top w:w="85" w:type="dxa"/>
              <w:start w:w="90" w:type="dxa"/>
              <w:bottom w:w="85" w:type="dxa"/>
              <w:end w:w="90" w:type="dxa"/>
            </w:tcMar>
            <w:vAlign w:val="center"/>
          </w:tcPr>
          <w:p>
            <w:pPr>
              <w:spacing w:after="0"/>
              <w:jc w:val="left"/>
            </w:pPr>
            <w:r>
              <w:rPr>
                <w:rFonts w:ascii="Carlito" w:hAnsi="Carlito"/>
                <w:sz w:val="15"/>
              </w:rPr>
              <w:t>Kanıt-listeli yapılandırılmış girdi; yeni olgu/hukuki sonuç yasağı; insan onayı.</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Açıklama yanılsaması</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Ham gözlem, türetilmiş özellik ve model katkısı ayrı etiketlenir.</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Gizlilik</w:t>
            </w:r>
          </w:p>
        </w:tc>
        <w:tc>
          <w:tcPr>
            <w:tcW w:type="dxa" w:w="4873"/>
            <w:tcMar>
              <w:top w:w="85" w:type="dxa"/>
              <w:start w:w="90" w:type="dxa"/>
              <w:bottom w:w="85" w:type="dxa"/>
              <w:end w:w="90" w:type="dxa"/>
            </w:tcMar>
            <w:vAlign w:val="center"/>
          </w:tcPr>
          <w:p>
            <w:pPr>
              <w:spacing w:after="0"/>
              <w:jc w:val="left"/>
            </w:pPr>
            <w:r>
              <w:rPr>
                <w:rFonts w:ascii="Carlito" w:hAnsi="Carlito"/>
                <w:sz w:val="15"/>
              </w:rPr>
              <w:t>Kavram kanıtında (PoC) sentetik veri; pilotta kurum kontrollü veri minimizasyonu ve pseudonimleştirme.</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Yanlılık / vekil değişken riski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Hesap/işlem bağlamlarında hata analizi; korunan özellik çıkarımı veya otomatik yaptırım yok.</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Model kayması</w:t>
            </w:r>
          </w:p>
        </w:tc>
        <w:tc>
          <w:tcPr>
            <w:tcW w:type="dxa" w:w="4873"/>
            <w:tcMar>
              <w:top w:w="85" w:type="dxa"/>
              <w:start w:w="90" w:type="dxa"/>
              <w:bottom w:w="85" w:type="dxa"/>
              <w:end w:w="90" w:type="dxa"/>
            </w:tcMar>
            <w:vAlign w:val="center"/>
          </w:tcPr>
          <w:p>
            <w:pPr>
              <w:spacing w:after="0"/>
              <w:jc w:val="left"/>
            </w:pPr>
            <w:r>
              <w:rPr>
                <w:rFonts w:ascii="Carlito" w:hAnsi="Carlito"/>
                <w:sz w:val="15"/>
              </w:rPr>
              <w:t>Veri ve model sürümleme; yeniden eğitim kriterleri ve geri bildirim planı.</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Sentetik sonuçların aşırı genellenmesi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Karşılaştırma sonucu ≠ üretim etkinliği; her tabloda kavram kanıtı (PoC) sınırı belirtilir.</w:t>
            </w:r>
          </w:p>
        </w:tc>
      </w:tr>
    </w:tbl>
    <w:p>
      <w:pPr>
        <w:pStyle w:val="Heading1"/>
        <w:keepNext/>
      </w:pPr>
      <w:r>
        <w:t>5. Entegre Deney ve Uygulama Planı</w:t>
      </w:r>
    </w:p>
    <w:p>
      <w:pPr>
        <w:pStyle w:val="Heading2"/>
        <w:keepNext/>
      </w:pPr>
      <w:r>
        <w:t>5.1 Minimum uygulanabilir capstone</w:t>
      </w:r>
    </w:p>
    <w:p>
      <w:pPr>
        <w:pStyle w:val="ListNumber"/>
        <w:spacing w:after="60"/>
        <w:ind w:left="369" w:hanging="159"/>
        <w:jc w:val="left"/>
      </w:pPr>
      <w:r>
        <w:rPr>
          <w:rFonts w:ascii="Carlito" w:hAnsi="Carlito"/>
          <w:sz w:val="20"/>
        </w:rPr>
        <w:t>IBM AML veri dosyasını hazırlamak; şema, sınıf oranı, zaman alanları ve hesap kimliklerini doğrulamak; yeniden üretilebilir EDA not defterini oluşturmak.</w:t>
      </w:r>
    </w:p>
    <w:p>
      <w:pPr>
        <w:pStyle w:val="ListNumber"/>
        <w:spacing w:after="60"/>
        <w:ind w:left="369" w:hanging="159"/>
        <w:jc w:val="left"/>
      </w:pPr>
      <w:r>
        <w:rPr>
          <w:rFonts w:ascii="Carlito" w:hAnsi="Carlito"/>
          <w:sz w:val="20"/>
        </w:rPr>
        <w:t>Lojistik Regresyon, Rastgele Orman ve XGBoost/LightGBM modellerini aynı veri bölmesi üzerinde eğitmek; en güçlü işlem-seviyesi modeli seçmek.</w:t>
      </w:r>
    </w:p>
    <w:p>
      <w:pPr>
        <w:pStyle w:val="ListNumber"/>
        <w:spacing w:after="60"/>
        <w:ind w:left="369" w:hanging="159"/>
        <w:jc w:val="left"/>
      </w:pPr>
      <w:r>
        <w:rPr>
          <w:rFonts w:ascii="Carlito" w:hAnsi="Carlito"/>
          <w:sz w:val="20"/>
        </w:rPr>
        <w:t>Yönlü hesap-transfer grafını kurmak ve çekirdek graf/zaman özelliklerini üretmek.</w:t>
      </w:r>
    </w:p>
    <w:p>
      <w:pPr>
        <w:pStyle w:val="ListNumber"/>
        <w:spacing w:after="60"/>
        <w:ind w:left="369" w:hanging="159"/>
        <w:jc w:val="left"/>
      </w:pPr>
      <w:r>
        <w:rPr>
          <w:rFonts w:ascii="Carlito" w:hAnsi="Carlito"/>
          <w:sz w:val="20"/>
        </w:rPr>
        <w:t>Aynı veri bölmesi üzerinde graf özellikli gradyan artırma ve en az bir GNN (öncelikle GraphSAGE) eğitmek.</w:t>
      </w:r>
    </w:p>
    <w:p>
      <w:pPr>
        <w:pStyle w:val="ListNumber"/>
        <w:spacing w:after="60"/>
        <w:ind w:left="369" w:hanging="159"/>
        <w:jc w:val="left"/>
      </w:pPr>
      <w:r>
        <w:rPr>
          <w:rFonts w:ascii="Carlito" w:hAnsi="Carlito"/>
          <w:sz w:val="20"/>
        </w:rPr>
        <w:t>PR-AUC, Recall@K, Precision@K/F1, yanlış pozitif oranı ve uyarı hacmiyle karşılaştırmalı sonuç üretmek.</w:t>
      </w:r>
    </w:p>
    <w:p>
      <w:pPr>
        <w:pStyle w:val="ListNumber"/>
        <w:spacing w:after="60"/>
        <w:ind w:left="369" w:hanging="159"/>
        <w:jc w:val="left"/>
      </w:pPr>
      <w:r>
        <w:rPr>
          <w:rFonts w:ascii="Carlito" w:hAnsi="Carlito"/>
          <w:sz w:val="20"/>
        </w:rPr>
        <w:t>Her işaretli ağ için en az üç somut kanıt gösterecek açıklama katmanını kurmak.</w:t>
      </w:r>
    </w:p>
    <w:p>
      <w:pPr>
        <w:pStyle w:val="ListNumber"/>
        <w:spacing w:after="60"/>
        <w:ind w:left="369" w:hanging="159"/>
        <w:jc w:val="left"/>
      </w:pPr>
      <w:r>
        <w:rPr>
          <w:rFonts w:ascii="Carlito" w:hAnsi="Carlito"/>
          <w:sz w:val="20"/>
        </w:rPr>
        <w:t>Streamlit Ağ İnceleme Paneli’nde alt-graf, kanıt, skor ve öncelik kuyruğunu göstermek.</w:t>
      </w:r>
    </w:p>
    <w:p>
      <w:pPr>
        <w:pStyle w:val="Heading2"/>
        <w:keepNext/>
      </w:pPr>
      <w:r>
        <w:t>5.2 İleri katmanlar</w:t>
      </w:r>
    </w:p>
    <w:p>
      <w:pPr>
        <w:pStyle w:val="ListBullet"/>
        <w:spacing w:after="50"/>
        <w:ind w:left="312" w:hanging="142"/>
        <w:jc w:val="left"/>
      </w:pPr>
      <w:r>
        <w:rPr>
          <w:rFonts w:ascii="Carlito" w:hAnsi="Carlito"/>
          <w:sz w:val="20"/>
        </w:rPr>
        <w:t>Isolation Forest veya graf otoenkoder ile yeni/alışılmadık ağ sinyali.</w:t>
      </w:r>
    </w:p>
    <w:p>
      <w:pPr>
        <w:pStyle w:val="ListBullet"/>
        <w:spacing w:after="50"/>
        <w:ind w:left="312" w:hanging="142"/>
        <w:jc w:val="left"/>
      </w:pPr>
      <w:r>
        <w:rPr>
          <w:rFonts w:ascii="Carlito" w:hAnsi="Carlito"/>
          <w:sz w:val="20"/>
        </w:rPr>
        <w:t>Analist-saat kısıtlı fayda skoru veya karma tamsayılı önceliklendirme.</w:t>
      </w:r>
    </w:p>
    <w:p>
      <w:pPr>
        <w:pStyle w:val="ListBullet"/>
        <w:spacing w:after="50"/>
        <w:ind w:left="312" w:hanging="142"/>
        <w:jc w:val="left"/>
      </w:pPr>
      <w:r>
        <w:rPr>
          <w:rFonts w:ascii="Carlito" w:hAnsi="Carlito"/>
          <w:sz w:val="20"/>
        </w:rPr>
        <w:t>Sadece verilen kanıtı özetleyen insan-onaylı LLM vaka notu.</w:t>
      </w:r>
    </w:p>
    <w:p>
      <w:pPr>
        <w:pStyle w:val="ListBullet"/>
        <w:spacing w:after="50"/>
        <w:ind w:left="312" w:hanging="142"/>
        <w:jc w:val="left"/>
      </w:pPr>
      <w:r>
        <w:rPr>
          <w:rFonts w:ascii="Carlito" w:hAnsi="Carlito"/>
          <w:sz w:val="20"/>
        </w:rPr>
        <w:t>Yanlış pozitif azalmasını doğrulama/terk varsayımlarına bağlayan, açıkça senaryo olarak etiketlenmiş müşteri deneyimi simülatörü.</w:t>
      </w:r>
    </w:p>
    <w:p>
      <w:pPr>
        <w:pStyle w:val="Heading2"/>
        <w:keepNext/>
      </w:pPr>
      <w:r>
        <w:t>5.3 Başarı ölçütleri</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tcMar>
              <w:top w:w="85" w:type="dxa"/>
              <w:start w:w="90" w:type="dxa"/>
              <w:bottom w:w="85" w:type="dxa"/>
              <w:end w:w="90" w:type="dxa"/>
            </w:tcMar>
            <w:vAlign w:val="center"/>
            <w:shd w:fill="123B63"/>
          </w:tcPr>
          <w:p>
            <w:r>
              <w:rPr>
                <w:rFonts w:ascii="Carlito" w:hAnsi="Carlito"/>
                <w:b/>
                <w:color w:val="FFFFFF"/>
                <w:sz w:val="15"/>
              </w:rPr>
              <w:t>Boyut</w:t>
            </w:r>
          </w:p>
        </w:tc>
        <w:tc>
          <w:tcPr>
            <w:tcW w:type="dxa" w:w="4873"/>
            <w:tcMar>
              <w:top w:w="85" w:type="dxa"/>
              <w:start w:w="90" w:type="dxa"/>
              <w:bottom w:w="85" w:type="dxa"/>
              <w:end w:w="90" w:type="dxa"/>
            </w:tcMar>
            <w:vAlign w:val="center"/>
            <w:shd w:fill="123B63"/>
          </w:tcPr>
          <w:p>
            <w:r>
              <w:rPr>
                <w:rFonts w:ascii="Carlito" w:hAnsi="Carlito"/>
                <w:b/>
                <w:color w:val="FFFFFF"/>
                <w:sz w:val="15"/>
              </w:rPr>
              <w:t>Başarı ölçütü</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Araştırma</w:t>
            </w:r>
          </w:p>
        </w:tc>
        <w:tc>
          <w:tcPr>
            <w:tcW w:type="dxa" w:w="4873"/>
            <w:tcMar>
              <w:top w:w="85" w:type="dxa"/>
              <w:start w:w="90" w:type="dxa"/>
              <w:bottom w:w="85" w:type="dxa"/>
              <w:end w:w="90" w:type="dxa"/>
            </w:tcMar>
            <w:vAlign w:val="center"/>
          </w:tcPr>
          <w:p>
            <w:pPr>
              <w:spacing w:after="0"/>
              <w:jc w:val="left"/>
            </w:pPr>
            <w:r>
              <w:rPr>
                <w:rFonts w:ascii="Carlito" w:hAnsi="Carlito"/>
                <w:sz w:val="15"/>
              </w:rPr>
              <w:t>Graf yaklaşımı, zayıf değil en güçlü işlem-seviyesi referansa karşı adil biçimde karşılaştırılır.</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Model</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PR-AUC, Recall@K, Precision/F1, FPR ve uyarı hacmi; mümkünse farklı rastgele başlangıçlar ve veri bölmeleri arasındaki varyans.</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Açıklanabilirlik</w:t>
            </w:r>
          </w:p>
        </w:tc>
        <w:tc>
          <w:tcPr>
            <w:tcW w:type="dxa" w:w="4873"/>
            <w:tcMar>
              <w:top w:w="85" w:type="dxa"/>
              <w:start w:w="90" w:type="dxa"/>
              <w:bottom w:w="85" w:type="dxa"/>
              <w:end w:w="90" w:type="dxa"/>
            </w:tcMar>
            <w:vAlign w:val="center"/>
          </w:tcPr>
          <w:p>
            <w:pPr>
              <w:spacing w:after="0"/>
              <w:jc w:val="left"/>
            </w:pPr>
            <w:r>
              <w:rPr>
                <w:rFonts w:ascii="Carlito" w:hAnsi="Carlito"/>
                <w:sz w:val="15"/>
              </w:rPr>
              <w:t>Her işaretli ağ için en az üç denetlenebilir işlem/ağ gerekçesi.</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Operasyon</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Aynı K veya analist-saat bütçesinde daha yüksek şüpheli vaka kapsaması / beklenen fayda.</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Pazarlama/müşteri deneyimi</w:t>
            </w:r>
          </w:p>
        </w:tc>
        <w:tc>
          <w:tcPr>
            <w:tcW w:type="dxa" w:w="4873"/>
            <w:tcMar>
              <w:top w:w="85" w:type="dxa"/>
              <w:start w:w="90" w:type="dxa"/>
              <w:bottom w:w="85" w:type="dxa"/>
              <w:end w:w="90" w:type="dxa"/>
            </w:tcMar>
            <w:vAlign w:val="center"/>
          </w:tcPr>
          <w:p>
            <w:pPr>
              <w:spacing w:after="0"/>
              <w:jc w:val="left"/>
            </w:pPr>
            <w:r>
              <w:rPr>
                <w:rFonts w:ascii="Carlito" w:hAnsi="Carlito"/>
                <w:sz w:val="15"/>
              </w:rPr>
              <w:t>FPR düşüşünün kaç gereksiz müdahaleyi potansiyel olarak önlediği sayısallaştırılır; gerçek müşteri deneyimi KPI’ları yalnızca pilot aşamasında ölçülecek göstergeler olarak belirtilir.</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Ürün</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Çalışan Streamlit panel: öncelik kuyruğu, alt-graf, kanıt, açıklama ve vaka notu.</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Sorumlu yapay zekâ</w:t>
            </w:r>
          </w:p>
        </w:tc>
        <w:tc>
          <w:tcPr>
            <w:tcW w:type="dxa" w:w="4873"/>
            <w:tcMar>
              <w:top w:w="85" w:type="dxa"/>
              <w:start w:w="90" w:type="dxa"/>
              <w:bottom w:w="85" w:type="dxa"/>
              <w:end w:w="90" w:type="dxa"/>
            </w:tcMar>
            <w:vAlign w:val="center"/>
          </w:tcPr>
          <w:p>
            <w:pPr>
              <w:spacing w:after="0"/>
              <w:jc w:val="left"/>
            </w:pPr>
            <w:r>
              <w:rPr>
                <w:rFonts w:ascii="Carlito" w:hAnsi="Carlito"/>
                <w:sz w:val="15"/>
              </w:rPr>
              <w:t>Otomatik yaptırım yok; suçlu etiketi yok; belirsizlik ve veri sınırları açık.</w:t>
            </w:r>
          </w:p>
        </w:tc>
      </w:tr>
    </w:tbl>
    <w:p>
      <w:pPr>
        <w:pStyle w:val="Heading2"/>
        <w:keepNext/>
      </w:pPr>
      <w:r>
        <w:t>5.4 Önerilen deney sırası</w:t>
      </w:r>
    </w:p>
    <w:p>
      <w:pPr>
        <w:jc w:val="both"/>
      </w:pPr>
      <w:r>
        <w:rPr>
          <w:i w:val="0"/>
        </w:rPr>
        <w:t>Jüri açısından en güçlü anlatım tek bir “en iyi skor” değil, kontrollü bir ablasyon sırasıdır. Önce yalnızca işlem özellikleriyle XGBoost/LightGBM; sonra aynı modele graf özellikleri; sonra GNN; son olarak sabit K veya analist-saat kapasitesinde operasyonel etki gösterilmelidir. Bu sıra, karmaşık modelin gerçekten ek değer yaratıp yaratmadığını görünür kılar ve teknik sonucu iş değerine bağlar.</w:t>
      </w:r>
    </w:p>
    <w:p>
      <w:pPr>
        <w:pStyle w:val="Heading1"/>
        <w:keepNext/>
      </w:pPr>
      <w:r>
        <w:t>6. Sonuç</w:t>
      </w:r>
    </w:p>
    <w:p>
      <w:pPr>
        <w:jc w:val="both"/>
      </w:pPr>
      <w:r>
        <w:rPr>
          <w:i w:val="0"/>
        </w:rPr>
        <w:t>İncelenen akademik ve sektörel kaynaklar ARGUS’un temel varsayımını desteklemektedir: finansal suç davranışı tekil işlemlerden ibaret değildir; ilişkisel ve zamansal ağ yapısı, işlem-seviyesi sınıflandırıcıların doğrudan temsil etmediği bilgi taşıyabilir. Egressy et al. (2024), yönlü çoklu graf yapısının finansal suç tespitinde önemini; Johannessen ve Jullum (2025), gerçek bankacılık verisinde heterojen ilişkilerin değerini; Project Hertha ise ağ-geneli analitiğin yeni ve karmaşık örüntülerde tamamlayıcı potansiyelini ortaya koymaktadır.</w:t>
      </w:r>
    </w:p>
    <w:p>
      <w:pPr>
        <w:jc w:val="both"/>
      </w:pPr>
      <w:r>
        <w:rPr>
          <w:i w:val="0"/>
        </w:rPr>
        <w:t>Buna karşılık literatür, GNN kullanmanın kendi başına araştırma sonucu olmadığını da açıkça göstermektedir. Graph Feature Preprocessor çalışmasında graf özellikleriyle zenginleştirilmiş gradyan artırma güçlü GNN tabanlarına karşı rekabetçi sonuçlar vermiştir. Bu nedenle ARGUS’un teknik kalitesi, mimari sayısından çok karşılaştırma disiplinine bağlıdır. Güçlü işlem-seviyesi referans, kontrollü graf özellikli deneyi, tek bir savunulabilir GNN ve operasyonel Recall@K analizi capstone’un çekirdeği için yeterlidir.</w:t>
      </w:r>
    </w:p>
    <w:p>
      <w:pPr>
        <w:jc w:val="both"/>
      </w:pPr>
      <w:r>
        <w:rPr>
          <w:i w:val="0"/>
        </w:rPr>
        <w:t>Pazarlamada Yapay Zekâ açısından belirleyici katkı, dolandırıcılık modelini müşteri deneyimiyle ölçülebilir fakat temkinli biçimde bağlamaktır. Yanlış pozitif oranı bu bağın merkezindedir: modelde gereksiz risk işaretlerinin azalması, gelecekteki banka pilotunda gereksiz doğrulama ve blokajların azalmasına; bunun da işlem tamamlama, terk, şikâyet ve güven gibi sonuçlara yansımasına ilişkin test edilebilir bir hipotez üretir. Sentetik veri bu son halkayı kanıtlamaz; çalışmanın akademik güvenilirliği de tam olarak bu sınırı açıkça kabul etmesine bağlıdır.</w:t>
      </w:r>
    </w:p>
    <w:p>
      <w:pPr>
        <w:jc w:val="both"/>
      </w:pPr>
      <w:r>
        <w:t>Sonuç olarak ARGUS, “daha iyi bir GNN” iddiasıyla değil; sınırlı dolandırıcılık/AML operasyon kapasitesini gerçekten önemli ağlara yönlendirmeyi, analiste denetlenebilir bir neden-sonuç izi sunmayı ve meşru müşteriyi gereksiz güvenlik sürtünmesinden korumayı hedefleyen bir karar-destek sistemi olarak konumlandırılmalıdır. Bu çerçeve teknik araştırmayı, operasyonel kararı ve pazarlama değerini aynı ölçüm zincirinde birleştirir.</w:t>
      </w:r>
    </w:p>
    <w:p>
      <w:r/>
    </w:p>
    <w:p>
      <w:pPr>
        <w:pStyle w:val="Heading1"/>
        <w:keepNext/>
      </w:pPr>
      <w:r>
        <w:t>Kaynakça</w:t>
      </w:r>
    </w:p>
    <w:p>
      <w:pPr>
        <w:spacing w:after="80"/>
        <w:ind w:left="369" w:hanging="369"/>
        <w:jc w:val="left"/>
      </w:pPr>
      <w:r>
        <w:rPr>
          <w:rFonts w:ascii="Carlito" w:hAnsi="Carlito"/>
          <w:sz w:val="18"/>
        </w:rPr>
        <w:t>Altman, E., Blanuša, J., von Niederhäusern, L., Egressy, B., Anghel, A., &amp; Atasu, K. (2023). Realistic synthetic financial transactions for anti-money laundering models. Advances in Neural Information Processing Systems, 36 (Datasets and Benchmarks Track). https://doi.org/10.52202/075280-1300</w:t>
      </w:r>
    </w:p>
    <w:p>
      <w:pPr>
        <w:spacing w:after="80"/>
        <w:ind w:left="369" w:hanging="369"/>
        <w:jc w:val="left"/>
      </w:pPr>
      <w:r>
        <w:rPr>
          <w:rFonts w:ascii="Carlito" w:hAnsi="Carlito"/>
          <w:sz w:val="18"/>
        </w:rPr>
        <w:t>Bank for International Settlements Innovation Hub. (2025). Project Hertha: Identifying financial crime patterns in real-time retail payment systems. https://www.bis.org/publ/othp96.htm</w:t>
      </w:r>
    </w:p>
    <w:p>
      <w:pPr>
        <w:spacing w:after="80"/>
        <w:ind w:left="369" w:hanging="369"/>
        <w:jc w:val="left"/>
      </w:pPr>
      <w:r>
        <w:rPr>
          <w:rFonts w:ascii="Carlito" w:hAnsi="Carlito"/>
          <w:sz w:val="18"/>
        </w:rPr>
        <w:t>Blanuša, J., Cravero Baraja, M., Anghel, A., von Niederhäusern, L., Altman, E., Pozidis, H., &amp; Atasu, K. (2024). Graph Feature Preprocessor: Real-time subgraph-based feature extraction for financial crime detection. Proceedings of the 5th ACM International Conference on AI in Finance, 222–230. https://doi.org/10.1145/3677052.3698674</w:t>
      </w:r>
    </w:p>
    <w:p>
      <w:pPr>
        <w:spacing w:after="80"/>
        <w:ind w:left="369" w:hanging="369"/>
        <w:jc w:val="left"/>
      </w:pPr>
      <w:r>
        <w:rPr>
          <w:rFonts w:ascii="Carlito" w:hAnsi="Carlito"/>
          <w:sz w:val="18"/>
        </w:rPr>
        <w:t>Cardoso, M., Saleiro, P., &amp; Bizarro, P. (2022). LaundroGraph: Self-supervised graph representation learning for anti-money laundering. Proceedings of the 3rd ACM International Conference on AI in Finance, 130–138. https://doi.org/10.1145/3533271.3561727</w:t>
      </w:r>
    </w:p>
    <w:p>
      <w:pPr>
        <w:spacing w:after="80"/>
        <w:ind w:left="369" w:hanging="369"/>
        <w:jc w:val="left"/>
      </w:pPr>
      <w:r>
        <w:rPr>
          <w:rFonts w:ascii="Carlito" w:hAnsi="Carlito"/>
          <w:sz w:val="18"/>
        </w:rPr>
        <w:t>Egressy, B., von Niederhäusern, L., Blanuša, J., Altman, E., Wattenhofer, R., &amp; Atasu, K. (2024). Provably powerful graph neural networks for directed multigraphs. Proceedings of the AAAI Conference on Artificial Intelligence, 38(10), 11838–11846. https://doi.org/10.1609/aaai.v38i10.29069</w:t>
      </w:r>
    </w:p>
    <w:p>
      <w:pPr>
        <w:spacing w:after="80"/>
        <w:ind w:left="369" w:hanging="369"/>
        <w:jc w:val="left"/>
      </w:pPr>
      <w:r>
        <w:rPr>
          <w:rFonts w:ascii="Carlito" w:hAnsi="Carlito"/>
          <w:sz w:val="18"/>
        </w:rPr>
        <w:t>European Banking Authority &amp; European Central Bank. (2025). Report on payment fraud: 2025 edition. European Banking Authority.</w:t>
      </w:r>
    </w:p>
    <w:p>
      <w:pPr>
        <w:spacing w:after="80"/>
        <w:ind w:left="369" w:hanging="369"/>
        <w:jc w:val="left"/>
      </w:pPr>
      <w:r>
        <w:rPr>
          <w:rFonts w:ascii="Carlito" w:hAnsi="Carlito"/>
          <w:sz w:val="18"/>
        </w:rPr>
        <w:t>Feedzai. (2026a). The State of Global Anti-Money Laundering Compliance Report. https://www.feedzai.com/resource/aml-report/</w:t>
      </w:r>
    </w:p>
    <w:p>
      <w:pPr>
        <w:spacing w:after="80"/>
        <w:ind w:left="369" w:hanging="369"/>
      </w:pPr>
      <w:r>
        <w:rPr>
          <w:rFonts w:ascii="Carlito" w:hAnsi="Carlito"/>
          <w:sz w:val="18"/>
        </w:rPr>
        <w:t>Feedzai. (2026b). Anti-money laundering transaction monitoring. https://www.feedzai.com/resource/anti-money-laundering-transaction-monitoring/</w:t>
      </w:r>
    </w:p>
    <w:p>
      <w:pPr>
        <w:spacing w:after="80"/>
        <w:ind w:left="369" w:hanging="369"/>
        <w:jc w:val="left"/>
      </w:pPr>
      <w:r>
        <w:rPr>
          <w:rFonts w:ascii="Carlito" w:hAnsi="Carlito"/>
          <w:sz w:val="18"/>
        </w:rPr>
        <w:t>Hamilton, W. L., Ying, R., &amp; Leskovec, J. (2017). Inductive representation learning on large graphs. Advances in Neural Information Processing Systems, 30.</w:t>
      </w:r>
    </w:p>
    <w:p>
      <w:pPr>
        <w:spacing w:after="80"/>
        <w:ind w:left="369" w:hanging="369"/>
        <w:jc w:val="left"/>
      </w:pPr>
      <w:r>
        <w:rPr>
          <w:rFonts w:ascii="Carlito" w:hAnsi="Carlito"/>
          <w:sz w:val="18"/>
        </w:rPr>
        <w:t>IBM. (2026). AML-Data: Synthetic financial transactions for anti-money laundering research [GitHub repository]. https://github.com/IBM/AML-Data</w:t>
      </w:r>
    </w:p>
    <w:p>
      <w:pPr>
        <w:spacing w:after="80"/>
        <w:ind w:left="369" w:hanging="369"/>
        <w:jc w:val="left"/>
      </w:pPr>
      <w:r>
        <w:rPr>
          <w:rFonts w:ascii="Carlito" w:hAnsi="Carlito"/>
          <w:sz w:val="18"/>
        </w:rPr>
        <w:t>Johannessen, F., &amp; Jullum, M. (2025). Finding money launderers using heterogeneous graph neural networks. The Journal of Finance and Data Science, 11, 100175. https://doi.org/10.1016/j.jfds.2025.100175</w:t>
      </w:r>
    </w:p>
    <w:p>
      <w:pPr>
        <w:spacing w:after="80"/>
        <w:ind w:left="369" w:hanging="369"/>
        <w:jc w:val="left"/>
      </w:pPr>
      <w:r>
        <w:rPr>
          <w:rFonts w:ascii="Carlito" w:hAnsi="Carlito"/>
          <w:sz w:val="18"/>
        </w:rPr>
        <w:t>Lin, J., Guo, X., Zhu, Y., Mitchell, S., Altman, E., &amp; Shun, J. (2024). FraudGT: A simple, effective, and efficient graph transformer for financial fraud detection. Proceedings of the 5th ACM International Conference on AI in Finance, 292–300. https://doi.org/10.1145/3677052.3698648</w:t>
      </w:r>
    </w:p>
    <w:p>
      <w:pPr>
        <w:spacing w:after="80"/>
        <w:ind w:left="369" w:hanging="369"/>
        <w:jc w:val="left"/>
      </w:pPr>
      <w:r>
        <w:rPr>
          <w:rFonts w:ascii="Carlito" w:hAnsi="Carlito"/>
          <w:sz w:val="18"/>
        </w:rPr>
        <w:t>Lopez-Rojas, E. A., Elmir, A., &amp; Axelsson, S. (2016). PaySim: A financial mobile money simulator for fraud detection. Proceedings of the 28th European Modeling and Simulation Symposium, 249–255.</w:t>
      </w:r>
    </w:p>
    <w:p>
      <w:pPr>
        <w:spacing w:after="80"/>
        <w:ind w:left="369" w:hanging="369"/>
        <w:jc w:val="left"/>
      </w:pPr>
      <w:r>
        <w:rPr>
          <w:rFonts w:ascii="Carlito" w:hAnsi="Carlito"/>
          <w:sz w:val="18"/>
        </w:rPr>
        <w:t>Lundberg, S. M., &amp; Lee, S.-I. (2017). A unified approach to interpreting model predictions. Advances in Neural Information Processing Systems, 30.</w:t>
      </w:r>
    </w:p>
    <w:p>
      <w:pPr>
        <w:spacing w:after="80"/>
        <w:ind w:left="369" w:hanging="369"/>
        <w:jc w:val="left"/>
      </w:pPr>
      <w:r>
        <w:rPr>
          <w:rFonts w:ascii="Carlito" w:hAnsi="Carlito"/>
          <w:sz w:val="18"/>
        </w:rPr>
        <w:t>Quantexa. (2025, September 16). Quantexa launches Cloud AML product for U.S. mid-size and community banks. https://www.quantexa.com/press/quantexa-launches-cloud-aml-product-for-u-s-mid-size-and-community-banks/</w:t>
      </w:r>
    </w:p>
    <w:p>
      <w:pPr>
        <w:spacing w:after="80"/>
        <w:ind w:left="369" w:hanging="369"/>
        <w:jc w:val="left"/>
      </w:pPr>
      <w:r>
        <w:rPr>
          <w:rFonts w:ascii="Carlito" w:hAnsi="Carlito"/>
          <w:sz w:val="18"/>
        </w:rPr>
        <w:t>Saito, T., &amp; Rehmsmeier, M. (2015). The precision-recall plot is more informative than the ROC plot when evaluating binary classifiers on imbalanced datasets. PLOS ONE, 10(3), e0118432. https://doi.org/10.1371/journal.pone.0118432</w:t>
      </w:r>
    </w:p>
    <w:p>
      <w:pPr>
        <w:spacing w:after="80"/>
        <w:ind w:left="369" w:hanging="369"/>
        <w:jc w:val="left"/>
      </w:pPr>
      <w:r>
        <w:rPr>
          <w:rFonts w:ascii="Carlito" w:hAnsi="Carlito"/>
          <w:sz w:val="18"/>
        </w:rPr>
        <w:t>Visa. (2024, February 27). A tale of two transactions: How the power of data and AI can reduce false declines and improve the customer experience. Visa Perspectives.</w:t>
      </w:r>
    </w:p>
    <w:p>
      <w:pPr>
        <w:spacing w:after="80"/>
        <w:ind w:left="369" w:hanging="369"/>
        <w:jc w:val="left"/>
      </w:pPr>
      <w:r>
        <w:rPr>
          <w:rFonts w:ascii="Carlito" w:hAnsi="Carlito"/>
          <w:sz w:val="18"/>
        </w:rPr>
        <w:t>Vorobyev, I., &amp; Krivitskaya, A. (2022). Reducing false positives in bank anti-fraud systems based on rule induction in distributed tree-based models. Computers &amp; Security, 120, 102786. https://doi.org/10.1016/j.cose.2022.102786</w:t>
      </w:r>
    </w:p>
    <w:p>
      <w:pPr>
        <w:spacing w:after="80"/>
        <w:ind w:left="369" w:hanging="369"/>
        <w:jc w:val="left"/>
      </w:pPr>
      <w:r>
        <w:rPr>
          <w:rFonts w:ascii="Carlito" w:hAnsi="Carlito"/>
          <w:sz w:val="18"/>
        </w:rPr>
        <w:t>Wang, D., Chen, B., &amp; Chen, J. (2019). Credit card fraud detection strategies with consumer incentives. Omega, 88, 179–195. https://doi.org/10.1016/j.omega.2018.07.001</w:t>
      </w:r>
    </w:p>
    <w:p>
      <w:pPr>
        <w:spacing w:after="80"/>
        <w:ind w:left="369" w:hanging="369"/>
        <w:jc w:val="left"/>
      </w:pPr>
      <w:r>
        <w:rPr>
          <w:rFonts w:ascii="Carlito" w:hAnsi="Carlito"/>
          <w:sz w:val="18"/>
        </w:rPr>
        <w:t>Ying, R., Bourgeois, D., You, J., Zitnik, M., &amp; Leskovec, J. (2019). GNNExplainer: Generating explanations for graph neural networks. Advances in Neural Information Processing Systems, 32.</w:t>
      </w:r>
    </w:p>
    <w:p>
      <w:r>
        <w:br w:type="page"/>
      </w:r>
    </w:p>
    <w:p>
      <w:pPr>
        <w:pStyle w:val="Heading1"/>
        <w:keepNext/>
      </w:pPr>
      <w:r>
        <w:t>Ek A — Ödev Yönergesi ile Eşleşme</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tcMar>
              <w:top w:w="85" w:type="dxa"/>
              <w:start w:w="90" w:type="dxa"/>
              <w:bottom w:w="85" w:type="dxa"/>
              <w:end w:w="90" w:type="dxa"/>
            </w:tcMar>
            <w:vAlign w:val="center"/>
            <w:shd w:fill="123B63"/>
          </w:tcPr>
          <w:p>
            <w:r>
              <w:rPr>
                <w:rFonts w:ascii="Carlito" w:hAnsi="Carlito"/>
                <w:b/>
                <w:color w:val="FFFFFF"/>
                <w:sz w:val="15"/>
              </w:rPr>
              <w:t>Ödev gerekliliği</w:t>
            </w:r>
          </w:p>
        </w:tc>
        <w:tc>
          <w:tcPr>
            <w:tcW w:type="dxa" w:w="4873"/>
            <w:tcMar>
              <w:top w:w="85" w:type="dxa"/>
              <w:start w:w="90" w:type="dxa"/>
              <w:bottom w:w="85" w:type="dxa"/>
              <w:end w:w="90" w:type="dxa"/>
            </w:tcMar>
            <w:vAlign w:val="center"/>
            <w:shd w:fill="123B63"/>
          </w:tcPr>
          <w:p>
            <w:r>
              <w:rPr>
                <w:rFonts w:ascii="Carlito" w:hAnsi="Carlito"/>
                <w:b/>
                <w:color w:val="FFFFFF"/>
                <w:sz w:val="15"/>
              </w:rPr>
              <w:t>Belgede karşılandığı bölüm</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Literatür: pazarlama problemi ve neden önemli olduğu</w:t>
            </w:r>
          </w:p>
        </w:tc>
        <w:tc>
          <w:tcPr>
            <w:tcW w:type="dxa" w:w="4873"/>
            <w:tcMar>
              <w:top w:w="85" w:type="dxa"/>
              <w:start w:w="90" w:type="dxa"/>
              <w:bottom w:w="85" w:type="dxa"/>
              <w:end w:w="90" w:type="dxa"/>
            </w:tcMar>
            <w:vAlign w:val="center"/>
          </w:tcPr>
          <w:p>
            <w:pPr>
              <w:spacing w:after="0"/>
              <w:jc w:val="left"/>
            </w:pPr>
            <w:r>
              <w:rPr>
                <w:rFonts w:ascii="Carlito" w:hAnsi="Carlito"/>
                <w:sz w:val="15"/>
              </w:rPr>
              <w:t>1.1; 2.7</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Literatür: hedef müşteri / müşteri yolculuğu / bağlam</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1.2</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Literatür: araştırma soruları</w:t>
            </w:r>
          </w:p>
        </w:tc>
        <w:tc>
          <w:tcPr>
            <w:tcW w:type="dxa" w:w="4873"/>
            <w:tcMar>
              <w:top w:w="85" w:type="dxa"/>
              <w:start w:w="90" w:type="dxa"/>
              <w:bottom w:w="85" w:type="dxa"/>
              <w:end w:w="90" w:type="dxa"/>
            </w:tcMar>
            <w:vAlign w:val="center"/>
          </w:tcPr>
          <w:p>
            <w:pPr>
              <w:spacing w:after="0"/>
              <w:jc w:val="left"/>
            </w:pPr>
            <w:r>
              <w:rPr>
                <w:rFonts w:ascii="Carlito" w:hAnsi="Carlito"/>
                <w:sz w:val="15"/>
              </w:rPr>
              <w:t>1.3</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Literatür: tematik organizasyon ve kaynak sentezi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2.1–2.10; Tablo 1</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Literatür: yöntem, veri, bulgu ve katkı karşılaştırması</w:t>
            </w:r>
          </w:p>
        </w:tc>
        <w:tc>
          <w:tcPr>
            <w:tcW w:type="dxa" w:w="4873"/>
            <w:tcMar>
              <w:top w:w="85" w:type="dxa"/>
              <w:start w:w="90" w:type="dxa"/>
              <w:bottom w:w="85" w:type="dxa"/>
              <w:end w:w="90" w:type="dxa"/>
            </w:tcMar>
            <w:vAlign w:val="center"/>
          </w:tcPr>
          <w:p>
            <w:pPr>
              <w:spacing w:after="0"/>
              <w:jc w:val="left"/>
            </w:pPr>
            <w:r>
              <w:rPr>
                <w:rFonts w:ascii="Carlito" w:hAnsi="Carlito"/>
                <w:sz w:val="15"/>
              </w:rPr>
              <w:t>2.3–2.10; Tablo 1</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Literatür: pazarlama boşluğu ve ARGUS yanıtı</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2.7; 2.10</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Veri: kaynak, format, granülarite ve değişkenler</w:t>
            </w:r>
          </w:p>
        </w:tc>
        <w:tc>
          <w:tcPr>
            <w:tcW w:type="dxa" w:w="4873"/>
            <w:tcMar>
              <w:top w:w="85" w:type="dxa"/>
              <w:start w:w="90" w:type="dxa"/>
              <w:bottom w:w="85" w:type="dxa"/>
              <w:end w:w="90" w:type="dxa"/>
            </w:tcMar>
            <w:vAlign w:val="center"/>
          </w:tcPr>
          <w:p>
            <w:pPr>
              <w:spacing w:after="0"/>
              <w:jc w:val="left"/>
            </w:pPr>
            <w:r>
              <w:rPr>
                <w:rFonts w:ascii="Carlito" w:hAnsi="Carlito"/>
                <w:sz w:val="15"/>
              </w:rPr>
              <w:t>3.2–3.3</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Veri: kalite, gizlilik ve sınırlılıklar</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3.4</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Veri: EDA ve pazarlama içgörüsü planı</w:t>
            </w:r>
          </w:p>
        </w:tc>
        <w:tc>
          <w:tcPr>
            <w:tcW w:type="dxa" w:w="4873"/>
            <w:tcMar>
              <w:top w:w="85" w:type="dxa"/>
              <w:start w:w="90" w:type="dxa"/>
              <w:bottom w:w="85" w:type="dxa"/>
              <w:end w:w="90" w:type="dxa"/>
            </w:tcMar>
            <w:vAlign w:val="center"/>
          </w:tcPr>
          <w:p>
            <w:pPr>
              <w:spacing w:after="0"/>
              <w:jc w:val="left"/>
            </w:pPr>
            <w:r>
              <w:rPr>
                <w:rFonts w:ascii="Carlito" w:hAnsi="Carlito"/>
                <w:sz w:val="15"/>
              </w:rPr>
              <w:t>3.5; 3.7</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Teknoloji: araç/model özeti ve kullanım gerekçesi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4.1–4.9</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Teknoloji: karşılaştırma ve değerlendirme</w:t>
            </w:r>
          </w:p>
        </w:tc>
        <w:tc>
          <w:tcPr>
            <w:tcW w:type="dxa" w:w="4873"/>
            <w:tcMar>
              <w:top w:w="85" w:type="dxa"/>
              <w:start w:w="90" w:type="dxa"/>
              <w:bottom w:w="85" w:type="dxa"/>
              <w:end w:w="90" w:type="dxa"/>
            </w:tcMar>
            <w:vAlign w:val="center"/>
          </w:tcPr>
          <w:p>
            <w:pPr>
              <w:spacing w:after="0"/>
              <w:jc w:val="left"/>
            </w:pPr>
            <w:r>
              <w:rPr>
                <w:rFonts w:ascii="Carlito" w:hAnsi="Carlito"/>
                <w:sz w:val="15"/>
              </w:rPr>
              <w:t>4.10</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Teknoloji: gerçek kullanım örnekleri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4.11</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Teknoloji: riskler ve fırsatlar</w:t>
            </w:r>
          </w:p>
        </w:tc>
        <w:tc>
          <w:tcPr>
            <w:tcW w:type="dxa" w:w="4873"/>
            <w:tcMar>
              <w:top w:w="85" w:type="dxa"/>
              <w:start w:w="90" w:type="dxa"/>
              <w:bottom w:w="85" w:type="dxa"/>
              <w:end w:w="90" w:type="dxa"/>
            </w:tcMar>
            <w:vAlign w:val="center"/>
          </w:tcPr>
          <w:p>
            <w:pPr>
              <w:spacing w:after="0"/>
              <w:jc w:val="left"/>
            </w:pPr>
            <w:r>
              <w:rPr>
                <w:rFonts w:ascii="Carlito" w:hAnsi="Carlito"/>
                <w:sz w:val="15"/>
              </w:rPr>
              <w:t>4.12</w:t>
            </w:r>
          </w:p>
        </w:tc>
      </w:tr>
      <w:tr>
        <w:trPr>
          <w:cantSplit/>
        </w:trPr>
        <w:tc>
          <w:tcPr>
            <w:tcW w:type="dxa" w:w="4873"/>
            <w:tcMar>
              <w:top w:w="85" w:type="dxa"/>
              <w:start w:w="90" w:type="dxa"/>
              <w:bottom w:w="85" w:type="dxa"/>
              <w:end w:w="90" w:type="dxa"/>
            </w:tcMar>
            <w:vAlign w:val="center"/>
            <w:shd w:fill="F3F5F7"/>
          </w:tcPr>
          <w:p>
            <w:pPr>
              <w:spacing w:after="0"/>
              <w:jc w:val="left"/>
            </w:pPr>
            <w:r>
              <w:rPr>
                <w:rFonts w:ascii="Carlito" w:hAnsi="Carlito"/>
                <w:sz w:val="15"/>
              </w:rPr>
              <w:t>Sonuç: pazarlama ve iş değeri</w:t>
            </w:r>
          </w:p>
        </w:tc>
        <w:tc>
          <w:tcPr>
            <w:tcW w:type="dxa" w:w="4873"/>
            <w:tcMar>
              <w:top w:w="85" w:type="dxa"/>
              <w:start w:w="90" w:type="dxa"/>
              <w:bottom w:w="85" w:type="dxa"/>
              <w:end w:w="90" w:type="dxa"/>
            </w:tcMar>
            <w:vAlign w:val="center"/>
            <w:shd w:fill="F3F5F7"/>
          </w:tcPr>
          <w:p>
            <w:pPr>
              <w:spacing w:after="0"/>
              <w:jc w:val="left"/>
            </w:pPr>
            <w:r>
              <w:rPr>
                <w:rFonts w:ascii="Carlito" w:hAnsi="Carlito"/>
                <w:sz w:val="15"/>
              </w:rPr>
              <w:t>6</w:t>
            </w:r>
          </w:p>
        </w:tc>
      </w:tr>
      <w:tr>
        <w:trPr>
          <w:cantSplit/>
        </w:trPr>
        <w:tc>
          <w:tcPr>
            <w:tcW w:type="dxa" w:w="4873"/>
            <w:tcMar>
              <w:top w:w="85" w:type="dxa"/>
              <w:start w:w="90" w:type="dxa"/>
              <w:bottom w:w="85" w:type="dxa"/>
              <w:end w:w="90" w:type="dxa"/>
            </w:tcMar>
            <w:vAlign w:val="center"/>
          </w:tcPr>
          <w:p>
            <w:pPr>
              <w:spacing w:after="0"/>
              <w:jc w:val="left"/>
            </w:pPr>
            <w:r>
              <w:rPr>
                <w:rFonts w:ascii="Carlito" w:hAnsi="Carlito"/>
                <w:sz w:val="15"/>
              </w:rPr>
              <w:t>Kaynakların doğru gösterimi</w:t>
            </w:r>
          </w:p>
        </w:tc>
        <w:tc>
          <w:tcPr>
            <w:tcW w:type="dxa" w:w="4873"/>
            <w:tcMar>
              <w:top w:w="85" w:type="dxa"/>
              <w:start w:w="90" w:type="dxa"/>
              <w:bottom w:w="85" w:type="dxa"/>
              <w:end w:w="90" w:type="dxa"/>
            </w:tcMar>
            <w:vAlign w:val="center"/>
          </w:tcPr>
          <w:p>
            <w:pPr>
              <w:spacing w:after="0"/>
              <w:jc w:val="left"/>
            </w:pPr>
            <w:r>
              <w:rPr>
                <w:rFonts w:ascii="Carlito" w:hAnsi="Carlito"/>
                <w:sz w:val="15"/>
              </w:rPr>
              <w:t>Kaynakça</w:t>
            </w:r>
          </w:p>
        </w:tc>
      </w:tr>
    </w:tbl>
    <w:sectPr w:rsidR="00FC693F" w:rsidRPr="0006063C" w:rsidSect="00034616">
      <w:headerReference w:type="default" r:id="rId9"/>
      <w:footerReference w:type="default" r:id="rId10"/>
      <w:pgSz w:w="12240" w:h="15840"/>
      <w:pgMar w:top="1077"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üçükNot"/>
      <w:jc w:val="left"/>
    </w:pPr>
    <w:r>
      <w:t>Samsung Innovation Campus · Ayşe Ulaşlı · Gizem Özcan</w:t>
    </w:r>
    <w:r>
      <w:tab/>
    </w:r>
  </w:p>
  <w:p>
    <w:pPr>
      <w:jc w:val="right"/>
    </w:pPr>
    <w:r>
      <w:rPr>
        <w:color w:val="66717D"/>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üçükNot"/>
      <w:jc w:val="right"/>
    </w:pPr>
    <w:r>
      <w:rPr>
        <w:b/>
        <w:color w:val="123B63"/>
      </w:rPr>
      <w:t>ARGUS AI  |  LİTERATÜR · VERİ · TEKNOLOJİ İNCELEMESİ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rlito" w:hAnsi="Carlito" w:eastAsia="Carlito"/>
      <w:b/>
      <w:bCs/>
      <w:color w:val="123B63"/>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148A8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eastAsia="Carlito"/>
      <w:b/>
      <w:color w:val="123B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ÖzetMetni">
    <w:name w:val="Özet Metni"/>
    <w:pPr>
      <w:spacing w:line="269" w:lineRule="auto" w:after="120"/>
    </w:pPr>
    <w:rPr>
      <w:rFonts w:ascii="Carlito" w:hAnsi="Carlito" w:eastAsia="Carlito"/>
      <w:i w:val="0"/>
      <w:sz w:val="21"/>
    </w:rPr>
  </w:style>
  <w:style w:type="paragraph" w:customStyle="1" w:styleId="KüçükNot">
    <w:name w:val="Küçük Not"/>
    <w:pPr>
      <w:spacing w:after="60"/>
    </w:pPr>
    <w:rPr>
      <w:rFonts w:ascii="Carlito" w:hAnsi="Carlito" w:eastAsia="Carlito"/>
      <w:color w:val="6671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AI - Literatür İncelemesi, Veri Araştırması ve Teknoloji Değerlendirmesi</dc:title>
  <dc:subject>Samsung Innovation Campus AI in Marketing Capstone</dc:subject>
  <dc:creator>Ayşe Ulaşlı; Gizem Özcan</dc:creator>
  <cp:keywords>ARGUS AI, AML, fraud, graph neural network, customer experience, false positive, AI in Marketing</cp:keywords>
  <dc:description>generated by python-docx</dc:description>
  <cp:lastModifiedBy/>
  <cp:revision>1</cp:revision>
  <dcterms:created xsi:type="dcterms:W3CDTF">2013-12-23T23:15:00Z</dcterms:created>
  <dcterms:modified xsi:type="dcterms:W3CDTF">2013-12-23T23:15:00Z</dcterms:modified>
  <cp:category/>
</cp:coreProperties>
</file>