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widowControl/>
      </w:pPr>
      <w:r>
        <w:rPr>
          <w:rFonts w:ascii="Arial" w:hAnsi="Arial"/>
          <w:b/>
          <w:color w:val="1F8A87"/>
          <w:sz w:val="22"/>
        </w:rPr>
        <w:t>PAZARLAMADA YAPAY ZEKÂ · CAPSTONE PROJESİ</w:t>
      </w:r>
    </w:p>
    <w:p>
      <w:pPr>
        <w:spacing w:before="440" w:after="0"/>
        <w:jc w:val="center"/>
        <w:widowControl/>
      </w:pPr>
      <w:r>
        <w:rPr>
          <w:rFonts w:ascii="Arial" w:hAnsi="Arial"/>
          <w:b/>
          <w:color w:val="17324D"/>
          <w:sz w:val="56"/>
        </w:rPr>
        <w:t>ARGUS AI</w:t>
      </w:r>
    </w:p>
    <w:p>
      <w:pPr>
        <w:spacing w:after="240"/>
        <w:jc w:val="center"/>
        <w:widowControl/>
      </w:pPr>
      <w:r>
        <w:rPr>
          <w:rFonts w:ascii="Arial" w:hAnsi="Arial"/>
          <w:b/>
          <w:color w:val="1F2933"/>
          <w:sz w:val="34"/>
        </w:rPr>
        <w:t>Konsept Notu ve Uygulama Planı</w:t>
      </w:r>
    </w:p>
    <w:p>
      <w:pPr>
        <w:spacing w:after="100"/>
        <w:jc w:val="center"/>
        <w:widowControl/>
      </w:pPr>
      <w:r>
        <w:rPr>
          <w:rFonts w:ascii="Arial" w:hAnsi="Arial"/>
          <w:b/>
          <w:color w:val="17324D"/>
          <w:sz w:val="25"/>
        </w:rPr>
        <w:t>Graf Tabanlı Finansal Suç ve Hesap Ağı İstihbaratı</w:t>
      </w:r>
    </w:p>
    <w:p>
      <w:pPr>
        <w:spacing w:after="720"/>
        <w:jc w:val="center"/>
        <w:widowControl/>
      </w:pPr>
      <w:r>
        <w:rPr>
          <w:rFonts w:ascii="Arial" w:hAnsi="Arial"/>
          <w:i/>
          <w:color w:val="667085"/>
          <w:sz w:val="21"/>
        </w:rPr>
        <w:t>“Şüpheli işlemlerden şüpheli ağlara.”</w:t>
      </w:r>
    </w:p>
    <w:p>
      <w:pPr>
        <w:jc w:val="center"/>
        <w:widowControl/>
      </w:pPr>
      <w:r>
        <w:rPr>
          <w:rFonts w:ascii="Arial" w:hAnsi="Arial"/>
          <w:b/>
          <w:color w:val="1F2933"/>
          <w:sz w:val="22"/>
        </w:rPr>
        <w:t>Ayşe Ulaşlı  ·  Gizem Özcan</w:t>
      </w:r>
    </w:p>
    <w:p>
      <w:pPr>
        <w:jc w:val="center"/>
        <w:widowControl/>
      </w:pPr>
      <w:r>
        <w:rPr>
          <w:rFonts w:ascii="Arial" w:hAnsi="Arial"/>
          <w:color w:val="667085"/>
          <w:sz w:val="20"/>
        </w:rPr>
        <w:t>Samsung Innovation Campus  ·  Ağustos 2026</w:t>
      </w:r>
    </w:p>
    <w:p>
      <w:pPr>
        <w:widowControl/>
      </w:pPr>
      <w:r>
        <w:br w:type="page"/>
      </w:r>
    </w:p>
    <w:p>
      <w:pPr>
        <w:pStyle w:val="Heading1"/>
        <w:keepNext/>
        <w:spacing w:before="200" w:after="100"/>
        <w:widowControl/>
      </w:pPr>
      <w:r>
        <w:rPr>
          <w:rFonts w:ascii="Arial" w:hAnsi="Arial"/>
          <w:b/>
          <w:color w:val="17324D"/>
          <w:sz w:val="28"/>
        </w:rPr>
        <w:t>Proje Bilgileri</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381"/>
            <w:shd w:fill="EEF3F7"/>
            <w:vAlign w:val="center"/>
          </w:tcPr>
          <w:p>
            <w:pPr>
              <w:spacing w:after="0" w:before="0"/>
            </w:pPr>
            <w:r>
              <w:rPr>
                <w:rFonts w:ascii="Arial" w:hAnsi="Arial"/>
                <w:b/>
                <w:color w:val="17324D"/>
                <w:sz w:val="18"/>
              </w:rPr>
              <w:t>Proje Başlığı</w:t>
            </w:r>
          </w:p>
        </w:tc>
        <w:tc>
          <w:tcPr>
            <w:tcW w:type="dxa" w:w="6973"/>
            <w:vAlign w:val="center"/>
          </w:tcPr>
          <w:p>
            <w:pPr>
              <w:spacing w:after="0" w:before="0"/>
            </w:pPr>
            <w:r>
              <w:rPr>
                <w:rFonts w:ascii="Arial" w:hAnsi="Arial"/>
                <w:b w:val="0"/>
                <w:color w:val="1F2933"/>
                <w:sz w:val="18"/>
              </w:rPr>
              <w:t>ARGUS AI: Graf Tabanlı Finansal Suç ve Hesap Ağı İstihbaratı</w:t>
            </w:r>
          </w:p>
        </w:tc>
      </w:tr>
      <w:tr>
        <w:trPr>
          <w:cantSplit/>
        </w:trPr>
        <w:tc>
          <w:tcPr>
            <w:tcW w:type="dxa" w:w="2381"/>
            <w:shd w:fill="EEF3F7"/>
            <w:vAlign w:val="center"/>
          </w:tcPr>
          <w:p>
            <w:pPr>
              <w:spacing w:after="0" w:before="0"/>
            </w:pPr>
            <w:r>
              <w:rPr>
                <w:rFonts w:ascii="Arial" w:hAnsi="Arial"/>
                <w:b/>
                <w:color w:val="17324D"/>
                <w:sz w:val="18"/>
              </w:rPr>
              <w:t>Ekip Üyeleri</w:t>
            </w:r>
          </w:p>
        </w:tc>
        <w:tc>
          <w:tcPr>
            <w:tcW w:type="dxa" w:w="6973"/>
            <w:vAlign w:val="center"/>
          </w:tcPr>
          <w:p>
            <w:pPr>
              <w:spacing w:after="0" w:before="0"/>
            </w:pPr>
            <w:r>
              <w:rPr>
                <w:rFonts w:ascii="Arial" w:hAnsi="Arial"/>
                <w:b w:val="0"/>
                <w:color w:val="1F2933"/>
                <w:sz w:val="18"/>
              </w:rPr>
              <w:t>Ayşe Ulaşlı · Gizem Özcan</w:t>
            </w:r>
          </w:p>
        </w:tc>
      </w:tr>
      <w:tr>
        <w:trPr>
          <w:cantSplit/>
        </w:trPr>
        <w:tc>
          <w:tcPr>
            <w:tcW w:type="dxa" w:w="2381"/>
            <w:shd w:fill="EEF3F7"/>
            <w:vAlign w:val="center"/>
          </w:tcPr>
          <w:p>
            <w:pPr>
              <w:spacing w:after="0" w:before="0"/>
            </w:pPr>
            <w:r>
              <w:rPr>
                <w:rFonts w:ascii="Arial" w:hAnsi="Arial"/>
                <w:b/>
                <w:color w:val="17324D"/>
                <w:sz w:val="18"/>
              </w:rPr>
              <w:t>Birincil Hedef Segment</w:t>
            </w:r>
          </w:p>
        </w:tc>
        <w:tc>
          <w:tcPr>
            <w:tcW w:type="dxa" w:w="6973"/>
            <w:vAlign w:val="center"/>
          </w:tcPr>
          <w:p>
            <w:pPr>
              <w:spacing w:after="0" w:before="0"/>
            </w:pPr>
            <w:r>
              <w:rPr>
                <w:rFonts w:ascii="Arial" w:hAnsi="Arial"/>
                <w:b w:val="0"/>
                <w:color w:val="1F2933"/>
                <w:sz w:val="18"/>
              </w:rPr>
              <w:t>Dijital bankalar</w:t>
            </w:r>
          </w:p>
        </w:tc>
      </w:tr>
      <w:tr>
        <w:trPr>
          <w:cantSplit/>
        </w:trPr>
        <w:tc>
          <w:tcPr>
            <w:tcW w:type="dxa" w:w="2381"/>
            <w:shd w:fill="EEF3F7"/>
            <w:vAlign w:val="center"/>
          </w:tcPr>
          <w:p>
            <w:pPr>
              <w:spacing w:after="0" w:before="0"/>
            </w:pPr>
            <w:r>
              <w:rPr>
                <w:rFonts w:ascii="Arial" w:hAnsi="Arial"/>
                <w:b/>
                <w:color w:val="17324D"/>
                <w:sz w:val="18"/>
              </w:rPr>
              <w:t>İkincil Hedef Segment</w:t>
            </w:r>
          </w:p>
        </w:tc>
        <w:tc>
          <w:tcPr>
            <w:tcW w:type="dxa" w:w="6973"/>
            <w:vAlign w:val="center"/>
          </w:tcPr>
          <w:p>
            <w:pPr>
              <w:spacing w:after="0" w:before="0"/>
            </w:pPr>
            <w:r>
              <w:rPr>
                <w:rFonts w:ascii="Arial" w:hAnsi="Arial"/>
                <w:b w:val="0"/>
                <w:color w:val="1F2933"/>
                <w:sz w:val="18"/>
              </w:rPr>
              <w:t>Küçük ve orta ölçekli bankalar</w:t>
            </w:r>
          </w:p>
        </w:tc>
      </w:tr>
      <w:tr>
        <w:trPr>
          <w:cantSplit/>
        </w:trPr>
        <w:tc>
          <w:tcPr>
            <w:tcW w:type="dxa" w:w="2381"/>
            <w:shd w:fill="EEF3F7"/>
            <w:vAlign w:val="center"/>
          </w:tcPr>
          <w:p>
            <w:pPr>
              <w:spacing w:after="0" w:before="0"/>
            </w:pPr>
            <w:r>
              <w:rPr>
                <w:rFonts w:ascii="Arial" w:hAnsi="Arial"/>
                <w:b/>
                <w:color w:val="17324D"/>
                <w:sz w:val="18"/>
              </w:rPr>
              <w:t>Temel Pazarlama Ekseni</w:t>
            </w:r>
          </w:p>
        </w:tc>
        <w:tc>
          <w:tcPr>
            <w:tcW w:type="dxa" w:w="6973"/>
            <w:vAlign w:val="center"/>
          </w:tcPr>
          <w:p>
            <w:pPr>
              <w:spacing w:after="0" w:before="0"/>
            </w:pPr>
            <w:r>
              <w:rPr>
                <w:rFonts w:ascii="Arial" w:hAnsi="Arial"/>
                <w:b w:val="0"/>
                <w:color w:val="1F2933"/>
                <w:sz w:val="18"/>
              </w:rPr>
              <w:t>Yanlış pozitiflerden kaynaklanan gereksiz güvenlik müdahalelerini ve meşru müşteri sürtünmesini azaltmak</w:t>
            </w:r>
          </w:p>
        </w:tc>
      </w:tr>
    </w:tbl>
    <w:p>
      <w:pPr>
        <w:widowControl/>
      </w:pPr>
    </w:p>
    <w:p>
      <w:pPr>
        <w:pStyle w:val="Heading1"/>
        <w:keepNext/>
        <w:spacing w:before="200" w:after="100"/>
        <w:widowControl/>
      </w:pPr>
      <w:r>
        <w:rPr>
          <w:rFonts w:ascii="Arial" w:hAnsi="Arial"/>
          <w:b/>
          <w:color w:val="17324D"/>
          <w:sz w:val="28"/>
        </w:rPr>
        <w:t>Konsept Notu</w:t>
      </w:r>
    </w:p>
    <w:p>
      <w:pPr>
        <w:pStyle w:val="Heading2"/>
        <w:keepNext/>
        <w:spacing w:before="140" w:after="100"/>
        <w:widowControl/>
      </w:pPr>
      <w:r>
        <w:rPr>
          <w:rFonts w:ascii="Arial" w:hAnsi="Arial"/>
          <w:b/>
          <w:color w:val="1F8A87"/>
          <w:sz w:val="23"/>
        </w:rPr>
        <w:t>1. Proje Genel Bakışı</w:t>
      </w:r>
    </w:p>
    <w:p>
      <w:pPr>
        <w:spacing w:after="100" w:line="271" w:lineRule="auto"/>
        <w:widowControl/>
      </w:pPr>
      <w:r>
        <w:rPr>
          <w:rFonts w:ascii="Arial" w:hAnsi="Arial"/>
          <w:i w:val="0"/>
          <w:color w:val="1F2933"/>
          <w:sz w:val="20"/>
        </w:rPr>
        <w:t>ARGUS AI, dijital bankalar ile küçük ve orta ölçekli bankaların finansal suç ve dolandırıcılık operasyonları için tasarlanan graf tabanlı bir karar-destek prototipidir. Sistem, işlemleri birbirinden bağımsız satırlar olarak değerlendirmek yerine hesaplar arasındaki para hareketini yönlü bir ağ olarak modeller. Böylece tek bir işlem normal görünse bile, çok kaynaktan para toplama, kısa sürede dağıtma, dairesel akış, hızlı el değiştirme ve koordineli komşuluk gibi örüntüler aynı bağlam içinde incelenebilir. Nihai kullanıcı fraud/AML analistidir; ekonomik alıcı uyum, finansal suç veya risk yönetimi birimleridir. Nihai tüketici sistemi doğrudan kullanmaz, ancak risk kararlarının yarattığı ek doğrulama, gecikme, blokaj veya işlem reddi gibi güvenlik müdahalelerini deneyimler.</w:t>
      </w:r>
    </w:p>
    <w:p>
      <w:pPr>
        <w:spacing w:after="100" w:line="271" w:lineRule="auto"/>
        <w:widowControl/>
      </w:pPr>
      <w:r>
        <w:rPr>
          <w:rFonts w:ascii="Arial" w:hAnsi="Arial"/>
          <w:i w:val="0"/>
          <w:color w:val="1F2933"/>
          <w:sz w:val="20"/>
        </w:rPr>
        <w:t>Projenin pazarlama problemi bu nedenle “daha fazla şüpheli işlem yakalamak”tan daha dardır: meşru müşterinin yanlış pozitif bir uyarı nedeniyle gereksiz sürtünme yaşaması. ARGUS’un değeri, gerçekten yüksek risk taşıyan ağları daha doğru sıralayarak sınırlı analist kapasitesini doğru vakalara yönlendirmek ve düşük riskli müşteriye yansıyan gereksiz müdahale olasılığını azaltmaktır. Teknik başarı ile pazarlama değeri arasındaki köprü metrik yanlış pozitif oranıdır. Sentetik veri doğrudan memnuniyet, terk veya şikâyet ölçmeyeceği için bu sonuçlar yalnızca gerçek kurum pilotunda test edilecek müşteri deneyimi KPI’ları olarak ele alınacaktır.</w:t>
      </w:r>
    </w:p>
    <w:p>
      <w:pPr>
        <w:pStyle w:val="Heading2"/>
        <w:keepNext/>
        <w:spacing w:before="140" w:after="100"/>
        <w:widowControl/>
      </w:pPr>
      <w:r>
        <w:rPr>
          <w:rFonts w:ascii="Arial" w:hAnsi="Arial"/>
          <w:b/>
          <w:color w:val="1F8A87"/>
          <w:sz w:val="23"/>
        </w:rPr>
        <w:t>2. Amaçlar ve Pazarlama KPI’ları</w:t>
      </w:r>
    </w:p>
    <w:p>
      <w:pPr>
        <w:spacing w:after="100" w:line="271" w:lineRule="auto"/>
        <w:widowControl/>
      </w:pPr>
      <w:r>
        <w:rPr>
          <w:rFonts w:ascii="Arial" w:hAnsi="Arial"/>
          <w:i w:val="0"/>
          <w:color w:val="1F2933"/>
          <w:sz w:val="20"/>
        </w:rPr>
        <w:t>ARGUS’un ana amacı graf bilgisinin, en güçlü işlem-seviyesi referans modele karşı gerçekten ek değer yaratıp yaratmadığını kontrollü biçimde ölçmektir. Başarı tek bir model skoruyla değil; model kalitesi, analist iş yükü ve müşteri sürtünmesi arasındaki zincir üzerinden değerlendirilecektir.</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2268"/>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7"/>
              </w:rPr>
              <w:t>Amaç</w:t>
            </w:r>
          </w:p>
        </w:tc>
        <w:tc>
          <w:tcPr>
            <w:tcW w:type="dxa" w:w="2494"/>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7"/>
              </w:rPr>
              <w:t>KPI / Başarı Ölçütü</w:t>
            </w:r>
          </w:p>
        </w:tc>
        <w:tc>
          <w:tcPr>
            <w:tcW w:type="dxa" w:w="4592"/>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7"/>
              </w:rPr>
              <w:t>Karşılaştırma ve Hedef</w:t>
            </w:r>
          </w:p>
        </w:tc>
      </w:tr>
      <w:tr>
        <w:trPr>
          <w:cantSplit/>
        </w:trPr>
        <w:tc>
          <w:tcPr>
            <w:tcW w:type="dxa" w:w="226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Şüpheli ağları daha iyi yakalamak</w:t>
            </w:r>
          </w:p>
        </w:tc>
        <w:tc>
          <w:tcPr>
            <w:tcW w:type="dxa" w:w="249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PR-AUC, Recall@K, Precision@K / F1</w:t>
            </w:r>
          </w:p>
        </w:tc>
        <w:tc>
          <w:tcPr>
            <w:tcW w:type="dxa" w:w="4592"/>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En güçlü işlem-seviyesi model referans alınır. Graf yaklaşımının PR-AUC ve sabit K’daki Recall@K sonuçlarında ölçülebilir kazanım sağlaması; kazanım yoksa daha yalın modelin tercih edilmesi başarı kuralıdır.</w:t>
            </w:r>
          </w:p>
        </w:tc>
      </w:tr>
      <w:tr>
        <w:trPr>
          <w:cantSplit/>
        </w:trPr>
        <w:tc>
          <w:tcPr>
            <w:tcW w:type="dxa" w:w="226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Gereksiz uyarı yükünü azaltmak</w:t>
            </w:r>
          </w:p>
        </w:tc>
        <w:tc>
          <w:tcPr>
            <w:tcW w:type="dxa" w:w="249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Yanlış pozitif oranı (FPR), uyarı hacmi</w:t>
            </w:r>
          </w:p>
        </w:tc>
        <w:tc>
          <w:tcPr>
            <w:tcW w:type="dxa" w:w="4592"/>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Aynı recall düzeyinde daha düşük FPR veya aynı FPR düzeyinde daha yüksek recall beklenir; eşik seçimi uyarı hacmi ve analist kapasitesiyle birlikte yapılır.</w:t>
            </w:r>
          </w:p>
        </w:tc>
      </w:tr>
      <w:tr>
        <w:trPr>
          <w:cantSplit/>
        </w:trPr>
        <w:tc>
          <w:tcPr>
            <w:tcW w:type="dxa" w:w="226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Analist kapasitesini daha verimli kullanmak</w:t>
            </w:r>
          </w:p>
        </w:tc>
        <w:tc>
          <w:tcPr>
            <w:tcW w:type="dxa" w:w="249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İlk K vakada risk kapsaması, analist-saat başına yakalanan şüpheli vaka</w:t>
            </w:r>
          </w:p>
        </w:tc>
        <w:tc>
          <w:tcPr>
            <w:tcW w:type="dxa" w:w="4592"/>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Aynı K / analist-saat bütçesinde işlem-seviyesi sıralamadan daha yüksek şüpheli vaka kapsaması.</w:t>
            </w:r>
          </w:p>
        </w:tc>
      </w:tr>
      <w:tr>
        <w:trPr>
          <w:cantSplit/>
        </w:trPr>
        <w:tc>
          <w:tcPr>
            <w:tcW w:type="dxa" w:w="226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Kararı denetlenebilir kılmak</w:t>
            </w:r>
          </w:p>
        </w:tc>
        <w:tc>
          <w:tcPr>
            <w:tcW w:type="dxa" w:w="249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Açıklama kapsaması, vaka notu tutarlılığı</w:t>
            </w:r>
          </w:p>
        </w:tc>
        <w:tc>
          <w:tcPr>
            <w:tcW w:type="dxa" w:w="4592"/>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Üst sıralı her vaka için en az üç somut işlem/ağ kanıtı; LLM notunda yeni olgu veya hukuki sonuç bulunmaması.</w:t>
            </w:r>
          </w:p>
        </w:tc>
      </w:tr>
      <w:tr>
        <w:trPr>
          <w:cantSplit/>
        </w:trPr>
        <w:tc>
          <w:tcPr>
            <w:tcW w:type="dxa" w:w="226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Müşteri deneyimi etkisini pilotta doğrulamak</w:t>
            </w:r>
          </w:p>
        </w:tc>
        <w:tc>
          <w:tcPr>
            <w:tcW w:type="dxa" w:w="249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Gereksiz doğrulama, işlem tamamlama, güvenlik kaynaklı terk, şikâyet/CSAT</w:t>
            </w:r>
          </w:p>
        </w:tc>
        <w:tc>
          <w:tcPr>
            <w:tcW w:type="dxa" w:w="4592"/>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Sentetik veride ölçülmez. Gerçek banka pilotunda kurumun mevcut güvenlik akışı baz alınarak önce/sonra veya kontrollü karşılaştırma yapılır.</w:t>
            </w:r>
          </w:p>
        </w:tc>
      </w:tr>
    </w:tbl>
    <w:p>
      <w:pPr>
        <w:spacing w:after="0"/>
        <w:widowControl/>
      </w:pPr>
    </w:p>
    <w:p>
      <w:pPr>
        <w:pStyle w:val="Heading2"/>
        <w:keepNext/>
        <w:spacing w:before="140" w:after="100"/>
        <w:widowControl/>
      </w:pPr>
      <w:r>
        <w:rPr>
          <w:rFonts w:ascii="Arial" w:hAnsi="Arial"/>
          <w:b/>
          <w:color w:val="1F8A87"/>
          <w:sz w:val="23"/>
        </w:rPr>
        <w:t>3. Arka Plan ve Pazarlama Bağlamı</w:t>
      </w:r>
    </w:p>
    <w:p>
      <w:pPr>
        <w:spacing w:after="100" w:line="271" w:lineRule="auto"/>
        <w:widowControl/>
      </w:pPr>
      <w:r>
        <w:rPr>
          <w:rFonts w:ascii="Arial" w:hAnsi="Arial"/>
          <w:i w:val="0"/>
          <w:color w:val="1F2933"/>
          <w:sz w:val="20"/>
        </w:rPr>
        <w:t>Finansal suç kontrolü bankalar için yalnızca kayıp önleme ve uyum konusu değildir; aynı zamanda dijital müşteri yolculuğunun bir parçasıdır. Bir risk sistemi gereğinden fazla alarm ürettiğinde bunun maliyeti analist zamanı ile sınırlı kalmaz. Ek doğrulama, işlem gecikmesi, geçici blokaj veya hatalı ret gibi karşılaşmalar güvenlik ile müşteri deneyimi arasında doğrudan bir gerilim yaratır. Wang, Chen ve Chen (2019), kredi kartı dolandırıcılık kararlarında yanlış retlerin tüketici açısından maliyet yarattığını ve doğrulama stratejisinin müşteri davranışıyla birlikte düşünülmesi gerektiğini göstermektedir. Benzer biçimde Vorobyev ve Krivitskaya (2022), gerçek banka verisinde yanlış pozitif oranını doğrudan operasyonel bir iyileştirme hedefi olarak ele almaktadır.</w:t>
      </w:r>
    </w:p>
    <w:p>
      <w:pPr>
        <w:spacing w:after="100" w:line="271" w:lineRule="auto"/>
        <w:widowControl/>
      </w:pPr>
      <w:r>
        <w:rPr>
          <w:rFonts w:ascii="Arial" w:hAnsi="Arial"/>
          <w:i w:val="0"/>
          <w:color w:val="1F2933"/>
          <w:sz w:val="20"/>
        </w:rPr>
        <w:t>Sorunun diğer boyutu, koordineli finansal suç örüntülerinin tekil işlem özelliklerine sığmamasıdır. Para birkaç hesap üzerinden kısa sürede toplanıp dağıtılabilir; aynı iki hesap arasında tekrar eden yönlü transferler veya kısa döngüler oluşabilir. BIS Innovation Hub ve Bank of England tarafından yürütülen Project Hertha, 1,8 milyon hesap ve 308 milyon sentetik işlemlik bir ödeme ekosisteminde ağ-geneli analitiğin bankalar ve ödeme hizmeti sağlayıcılarının başka yöntemlerle bulabileceklerine kıyasla %12 daha fazla yasa dışı hesap bulmasına ve daha önce görülmemiş davranışların tespitinde %26 iyileşmeye katkı verdiğini raporlamıştır (BIS Innovation Hub, 2025). Bu oranlar ARGUS için hedef değildir; sistem düzeyinde ağ bilgisinin tamamlayıcı değerini gösteren dış referanslardır. EBA ve ECB’nin 2025 ödeme dolandırıcılığı raporu da 2024’te Avrupa Ekonomik Alanı’ndaki ödeme dolandırıcılığı değerinin 4,2 milyar avroya yükseldiğini ve güçlü müşteri doğrulaması etkili kalırken suç yöntemlerinin değişmeye devam ettiğini göstermektedir (EBA &amp; ECB, 2025).</w:t>
      </w:r>
    </w:p>
    <w:p>
      <w:pPr>
        <w:spacing w:after="100" w:line="271" w:lineRule="auto"/>
        <w:widowControl/>
      </w:pPr>
      <w:r>
        <w:rPr>
          <w:rFonts w:ascii="Arial" w:hAnsi="Arial"/>
          <w:i w:val="0"/>
          <w:color w:val="1F2933"/>
          <w:sz w:val="20"/>
        </w:rPr>
        <w:t>Pazardaki ürünler de aynı problemin ticari karşılığını göstermektedir. Quantexa’nın 2025’te orta ölçekli ve topluluk bankalarına yönelik duyurduğu Cloud AML ürünü bağlamsal veri ve ağ analitiğini yanlış pozitifleri ve inceleme süresini azaltma vaadiyle konumlandırmaktadır; Feedzai ise kurallar, davranış profilleri ve makine öğrenmesini aynı AML iş akışında birleştirip uyarı önceliklendirmeyi öne çıkarmaktadır. Feedzai’nin 2026 tarihli ve 630’dan fazla AML profesyoneline dayanan sektör araştırmasında katılımcıların %54’ü yanlış pozitifleri azaltmayı ve doğruluğu artırmayı en önemli önceliklerden biri olarak belirtmiştir. Bu tür tedarikçi verileri bağımsız akademik performans kanıtı değil, problemin güncel pazar karşılığını gösteren sektör göstergeleri olarak kullanılacaktır.</w:t>
      </w:r>
    </w:p>
    <w:p>
      <w:pPr>
        <w:pStyle w:val="Heading2"/>
        <w:keepNext/>
        <w:spacing w:before="140" w:after="100"/>
        <w:widowControl/>
      </w:pPr>
      <w:r>
        <w:rPr>
          <w:rFonts w:ascii="Arial" w:hAnsi="Arial"/>
          <w:b/>
          <w:color w:val="1F8A87"/>
          <w:sz w:val="23"/>
        </w:rPr>
        <w:t>4. Önerilen Yapay Zekâ Metodolojisi</w:t>
      </w:r>
    </w:p>
    <w:p>
      <w:pPr>
        <w:spacing w:after="100" w:line="271" w:lineRule="auto"/>
        <w:widowControl/>
      </w:pPr>
      <w:r>
        <w:rPr>
          <w:rFonts w:ascii="Arial" w:hAnsi="Arial"/>
          <w:i w:val="0"/>
          <w:color w:val="1F2933"/>
          <w:sz w:val="20"/>
        </w:rPr>
        <w:t>Deney tasarımı aşamalı kurulacaktır. İlk olarak aynı veri bölünmesi üzerinde Lojistik Regresyon, Rastgele Orman ve XGBoost/LightGBM eğitilecek ve doğrulama performansına göre en güçlü işlem-seviyesi referans model seçilecektir. Ardından hesaplar düğüm, transferler yönlü kenar olacak şekilde finansal graf kurulacak; giriş/çıkış derecesi, fan-in/fan-out, PageRank, topluluk, hızlı aktarım, kısa elde tutma, riskli komşuluk ve kısa döngü gibi özellikler üretilecektir. Bu özellikler önce gradyan artırma modeline eklenerek “graf bilgisinin” model mimarisinden bağımsız katkısı ölçülecek, sonra en az bir GNN - öncelikle GraphSAGE - aynı veri ayrımında karşılaştırılacaktır. GraphSAGE’in endüktif yapısı ve komşuluk örnekleme yaklaşımı, yeni hesapların sürekli sisteme katıldığı bankacılık senaryosu için pratik bir başlangıçtır (Hamilton et al., 2017). Finansal ağın yönlü ve tekrarlı kenarlı yapısı nedeniyle GNN sonuçları Egressy et al. (2024) tarafından vurgulanan yön ve çoklu kenar kısıtları dikkate alınarak yorumlanacaktır.</w:t>
      </w:r>
    </w:p>
    <w:p>
      <w:pPr>
        <w:spacing w:after="100" w:line="271" w:lineRule="auto"/>
        <w:widowControl/>
      </w:pPr>
      <w:r>
        <w:rPr>
          <w:rFonts w:ascii="Arial" w:hAnsi="Arial"/>
          <w:i w:val="0"/>
          <w:color w:val="1F2933"/>
          <w:sz w:val="20"/>
        </w:rPr>
        <w:t>Değerlendirmede doğruluk veya yalnızca ROC-AUC kullanılmayacaktır. Sınıf dengesizliğinde PR-AUC daha anlamlı bir ayrım metriğidir (Saito &amp; Rehmsmeier, 2015); Recall@K ve Precision@K ise analistin gerçekte inceleyebileceği üst sıradaki vakaların kalitesini gösterir. FPR ve mutlak uyarı hacmi, model başarısını operasyonel gürültü ve potansiyel müşteri sürtünmesiyle ilişkilendirecektir. Mümkün olduğunda kronolojik veri ayrımı yapılacak, aynı hesap veya ağın eğitim ve test tarafında uygunsuz tekrarından doğabilecek sızıntı kontrol edilecek ve tüm modeller aynı bölünme üzerinde değerlendirilecektir.</w:t>
      </w:r>
    </w:p>
    <w:p>
      <w:pPr>
        <w:spacing w:after="100" w:line="271" w:lineRule="auto"/>
        <w:widowControl/>
      </w:pPr>
      <w:r>
        <w:rPr>
          <w:rFonts w:ascii="Arial" w:hAnsi="Arial"/>
          <w:i w:val="0"/>
          <w:color w:val="1F2933"/>
          <w:sz w:val="20"/>
        </w:rPr>
        <w:t>Açıklanabilirlik iki katmanda ele alınacaktır: gözlenen kanıt ve model katkısı. Gözlenen kanıt; para yolu, tutar, zaman, fan-in/fan-out, döngü ve komşuluk gibi doğrudan hesaplanabilir gerçeklerden oluşur. Ağaç tabanlı modellerde SHAP, graf modelinde ise uygun alt-graf/özellik açıklama yöntemi kullanılarak model katkısı ayrı gösterilir (Lundberg &amp; Lee, 2017; Ying et al., 2019). Üretken yapay zekâ karar verici değildir. LLM’e yalnızca önceden hesaplanmış risk skoru ve kanıt alanları verilecek; çıktı bu kanıtı kısa vaka notuna çevirecek, yeni olgu uyduramayacak, suç isnadı veya yaptırım önerisi üretemeyecek ve analist onayı olmadan son karar olarak kullanılmayacaktır.</w:t>
      </w:r>
    </w:p>
    <w:p>
      <w:pPr>
        <w:pStyle w:val="Heading2"/>
        <w:keepNext/>
        <w:spacing w:before="140" w:after="100"/>
        <w:widowControl/>
      </w:pPr>
      <w:r>
        <w:rPr>
          <w:rFonts w:ascii="Arial" w:hAnsi="Arial"/>
          <w:b/>
          <w:color w:val="1F8A87"/>
          <w:sz w:val="23"/>
        </w:rPr>
        <w:t>5. Mimari / İş Akışı Tasarımı</w:t>
      </w:r>
    </w:p>
    <w:p>
      <w:pPr>
        <w:spacing w:after="60"/>
        <w:jc w:val="center"/>
        <w:widowControl/>
      </w:pPr>
      <w:r>
        <w:drawing>
          <wp:inline xmlns:a="http://schemas.openxmlformats.org/drawingml/2006/main" xmlns:pic="http://schemas.openxmlformats.org/drawingml/2006/picture">
            <wp:extent cx="5903999" cy="3144445"/>
            <wp:docPr id="1" name="Picture 1"/>
            <wp:cNvGraphicFramePr>
              <a:graphicFrameLocks noChangeAspect="1"/>
            </wp:cNvGraphicFramePr>
            <a:graphic>
              <a:graphicData uri="http://schemas.openxmlformats.org/drawingml/2006/picture">
                <pic:pic>
                  <pic:nvPicPr>
                    <pic:cNvPr id="0" name="argus_workflow.png"/>
                    <pic:cNvPicPr/>
                  </pic:nvPicPr>
                  <pic:blipFill>
                    <a:blip r:embed="rId11"/>
                    <a:stretch>
                      <a:fillRect/>
                    </a:stretch>
                  </pic:blipFill>
                  <pic:spPr>
                    <a:xfrm>
                      <a:off x="0" y="0"/>
                      <a:ext cx="5903999" cy="3144445"/>
                    </a:xfrm>
                    <a:prstGeom prst="rect"/>
                  </pic:spPr>
                </pic:pic>
              </a:graphicData>
            </a:graphic>
          </wp:inline>
        </w:drawing>
      </w:r>
    </w:p>
    <w:p>
      <w:pPr>
        <w:jc w:val="center"/>
        <w:widowControl/>
      </w:pPr>
      <w:r>
        <w:rPr>
          <w:rFonts w:ascii="Arial" w:hAnsi="Arial"/>
          <w:i/>
          <w:color w:val="667085"/>
          <w:sz w:val="17"/>
        </w:rPr>
        <w:t>Şekil 1. ARGUS AI yüksek seviye veri, model, karar-destek ve ölçüm akışı.</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2381"/>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7"/>
              </w:rPr>
              <w:t>Bileşen</w:t>
            </w:r>
          </w:p>
        </w:tc>
        <w:tc>
          <w:tcPr>
            <w:tcW w:type="dxa" w:w="6973"/>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7"/>
              </w:rPr>
              <w:t>Rolü</w:t>
            </w:r>
          </w:p>
        </w:tc>
      </w:tr>
      <w:tr>
        <w:trPr>
          <w:cantSplit/>
        </w:trPr>
        <w:tc>
          <w:tcPr>
            <w:tcW w:type="dxa" w:w="238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Veri ve hazırlık</w:t>
            </w:r>
          </w:p>
        </w:tc>
        <w:tc>
          <w:tcPr>
            <w:tcW w:type="dxa" w:w="6973"/>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IBM AML işlemlerini temizler; şema, zaman, hesap kimliği, sınıf dengesizliği ve sızıntı kontrollerini yapar. PaySim yalnızca ikincil stres testi için kullanılır.</w:t>
            </w:r>
          </w:p>
        </w:tc>
      </w:tr>
      <w:tr>
        <w:trPr>
          <w:cantSplit/>
        </w:trPr>
        <w:tc>
          <w:tcPr>
            <w:tcW w:type="dxa" w:w="238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Referans model</w:t>
            </w:r>
          </w:p>
        </w:tc>
        <w:tc>
          <w:tcPr>
            <w:tcW w:type="dxa" w:w="6973"/>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Graf kullanılmadan ulaşılabilen en güçlü işlem-seviyesi performansı kurar; graf yaklaşımının gerçek karşılaştırma noktasıdır.</w:t>
            </w:r>
          </w:p>
        </w:tc>
      </w:tr>
      <w:tr>
        <w:trPr>
          <w:cantSplit/>
        </w:trPr>
        <w:tc>
          <w:tcPr>
            <w:tcW w:type="dxa" w:w="238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Finansal graf ve graf AI</w:t>
            </w:r>
          </w:p>
        </w:tc>
        <w:tc>
          <w:tcPr>
            <w:tcW w:type="dxa" w:w="6973"/>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Hesaplar arası ilişkileri ve zamansal/yapısal örüntüleri modele taşır; graf-zenginleştirilmiş gradyan artırma ve GraphSAGE karşılaştırılır.</w:t>
            </w:r>
          </w:p>
        </w:tc>
      </w:tr>
      <w:tr>
        <w:trPr>
          <w:cantSplit/>
        </w:trPr>
        <w:tc>
          <w:tcPr>
            <w:tcW w:type="dxa" w:w="238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Risk sıralama ve açıklama</w:t>
            </w:r>
          </w:p>
        </w:tc>
        <w:tc>
          <w:tcPr>
            <w:tcW w:type="dxa" w:w="6973"/>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Üst K vakayı sıralar; her vaka için ham ağ kanıtını ve model katkısını ayrı gösterir.</w:t>
            </w:r>
          </w:p>
        </w:tc>
      </w:tr>
      <w:tr>
        <w:trPr>
          <w:cantSplit/>
        </w:trPr>
        <w:tc>
          <w:tcPr>
            <w:tcW w:type="dxa" w:w="238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Analist paneli ve LLM notu</w:t>
            </w:r>
          </w:p>
        </w:tc>
        <w:tc>
          <w:tcPr>
            <w:tcW w:type="dxa" w:w="6973"/>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Streamlit üzerinde alt-graf, kanıt, skor ve öncelik kuyruğunu sunar; LLM yalnızca verilen kanıtı okunabilir vaka notuna dönüştürür.</w:t>
            </w:r>
          </w:p>
        </w:tc>
      </w:tr>
      <w:tr>
        <w:trPr>
          <w:cantSplit/>
        </w:trPr>
        <w:tc>
          <w:tcPr>
            <w:tcW w:type="dxa" w:w="238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İnsan kararı ve KPI geri beslemesi</w:t>
            </w:r>
          </w:p>
        </w:tc>
        <w:tc>
          <w:tcPr>
            <w:tcW w:type="dxa" w:w="6973"/>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Nihai karar analisttedir. FPR, Recall@K, uyarı hacmi ve analist yükü izlenir; gerçek pilotta müşteri deneyimi KPI’ları eklenir.</w:t>
            </w:r>
          </w:p>
        </w:tc>
      </w:tr>
    </w:tbl>
    <w:p>
      <w:pPr>
        <w:spacing w:after="0"/>
        <w:widowControl/>
      </w:pPr>
    </w:p>
    <w:p>
      <w:pPr>
        <w:pStyle w:val="Heading2"/>
        <w:keepNext/>
        <w:spacing w:before="140" w:after="100"/>
        <w:widowControl/>
      </w:pPr>
      <w:r>
        <w:rPr>
          <w:rFonts w:ascii="Arial" w:hAnsi="Arial"/>
          <w:b/>
          <w:color w:val="1F8A87"/>
          <w:sz w:val="23"/>
        </w:rPr>
        <w:t>6. Veri Kaynakları</w:t>
      </w:r>
    </w:p>
    <w:p>
      <w:pPr>
        <w:spacing w:after="100" w:line="271" w:lineRule="auto"/>
        <w:widowControl/>
      </w:pPr>
      <w:r>
        <w:rPr>
          <w:rFonts w:ascii="Arial" w:hAnsi="Arial"/>
          <w:i w:val="0"/>
          <w:color w:val="1F2933"/>
          <w:sz w:val="20"/>
        </w:rPr>
        <w:t>Ana veri kaynağı IBM Research tarafından yayımlanan AML-Data sentetik finansal işlem ailesidir. CSV biçimindeki veri banka transferleri, satın almalar, kredi kartı işlemleri ve çekler gibi hareketleri içerir; temel alanlar zaman damgası, kaynak banka/hesap, hedef banka/hesap, alınan ve ödenen tutar, para birimleri, ödeme formatı ve “Is Laundering” etiketidir. Veri gerçek kişilerin anonimleştirilmiş kayıtlarından değil, banka, birey ve şirket ajanlarının davranışlarını simüle eden çok-etmenli bir sanal dünyadan üretilmiştir (Altman et al., 2023; IBM, 2026). Ön işleme aşamasında şema ve veri tipi kontrolü, zaman alanının dönüştürülmesi, kategorik değişkenlerin kodlanması, ağır kuyruklu tutar değişkenleri için uygun dönüşümler, kronolojik/grup temelli veri bölme, sınıf ağırlıklandırma ve hesap-transfer grafının kurulması planlanmaktadır. Gerçek tekrarlı transferler yanlışlıkla kopya olarak silinmeyecek; yalnızca gerçek satır kopyaları ayrıştırılacaktır. PaySim, farklı işlem dağılımında ön işleme ve tablo tabanlı modelleri stres test etmek için ikincil veri olarak kullanılacak, dijital bankacılık AML performansının doğrudan kanıtı olarak sunulmayacaktır. Kavram kanıtında kişisel veri bulunmadığı için gizlilik riski düşüktür; gerçek kurum pilotunda veri minimizasyonu, pseudonimleştirme, erişim kontrolü ve amaçla sınırlı kullanım gerekecektir.</w:t>
      </w:r>
    </w:p>
    <w:p>
      <w:pPr>
        <w:pStyle w:val="Heading2"/>
        <w:keepNext/>
        <w:spacing w:before="140" w:after="100"/>
        <w:widowControl/>
      </w:pPr>
      <w:r>
        <w:rPr>
          <w:rFonts w:ascii="Arial" w:hAnsi="Arial"/>
          <w:b/>
          <w:color w:val="1F8A87"/>
          <w:sz w:val="23"/>
        </w:rPr>
        <w:t>7. Literatür ve Sektör İncelemesi</w:t>
      </w:r>
    </w:p>
    <w:p>
      <w:pPr>
        <w:spacing w:after="100" w:line="271" w:lineRule="auto"/>
        <w:widowControl/>
      </w:pPr>
      <w:r>
        <w:rPr>
          <w:rFonts w:ascii="Arial" w:hAnsi="Arial"/>
          <w:i w:val="0"/>
          <w:color w:val="1F2933"/>
          <w:sz w:val="20"/>
        </w:rPr>
        <w:t>Literatür, ARGUS’un iki temel tasarım kararını desteklemektedir: finansal suçun ilişkisel yapısını modellemek ve karmaşık bir GNN’nin üstünlüğünü peşinen varsaymamak. Altman et al. (2023), gerçekçi sentetik AML verisinin model karşılaştırmaları için açık ve etiketli bir test zemini sunduğunu gösterirken; Egressy et al. (2024) yönlü çoklu graflarda standart mesaj-geçişli GNN’lerin önemli yapısal bilgiyi kaçırabileceğini ve uygun uyarlamalarla finansal suç görevlerinde azınlık sınıfı F1 skorunun belirgin biçimde artabildiğini göstermektedir. Buna karşılık Blanuša et al. (2024), gerçek zamanlı graf özelliklerini gradyan artırma modellerine vererek bazı AML ve phishing senaryolarında standart GNN tabanlarını aşabildiğini göstermiştir; bu nedenle ARGUS’ta işlem-seviyesi referans → graf özellikli model → GNN sırası korunacaktır. Yanlış pozitiflerin pazarlama bağlantısı Wang et al. (2019) ve Vorobyev &amp; Krivitskaya (2022) ile desteklenirken, Project Hertha ağ-geneli analitiğin koordineli ve daha önce görülmemiş davranışlarda tamamlayıcı değerini sistem ölçeğinde göstermektedir. Sektörde Quantexa’nın bağlamsal graf yaklaşımı ve Feedzai’nin makine öğrenmesi destekli uyarı önceliklendirmesi benzer operasyonel ihtiyacın ticari karşılığını göstermektedir. ARGUS’un boşluğu “yeni bir AML platformu” geliştirmek değil; açık sentetik veri üzerinde graf bilgisinin ek değerini güçlü bir referansa karşı şeffaf biçimde ölçen, her riskli ağ için denetlenebilir kanıt sunan ve teknik sonucu yanlış pozitif-müşteri sürtünmesi zincirine bağlayan uygulanabilir bir karar-destek prototipi oluşturmaktır.</w:t>
      </w:r>
    </w:p>
    <w:p>
      <w:pPr>
        <w:pStyle w:val="Heading1"/>
        <w:keepNext/>
        <w:spacing w:before="200" w:after="100"/>
        <w:widowControl/>
      </w:pPr>
      <w:r>
        <w:rPr>
          <w:rFonts w:ascii="Arial" w:hAnsi="Arial"/>
          <w:b/>
          <w:color w:val="17324D"/>
          <w:sz w:val="28"/>
        </w:rPr>
        <w:t>Uygulama Planı</w:t>
      </w:r>
    </w:p>
    <w:p>
      <w:pPr>
        <w:pStyle w:val="Heading2"/>
        <w:keepNext/>
        <w:spacing w:before="140" w:after="100"/>
        <w:widowControl/>
      </w:pPr>
      <w:r>
        <w:rPr>
          <w:rFonts w:ascii="Arial" w:hAnsi="Arial"/>
          <w:b/>
          <w:color w:val="1F8A87"/>
          <w:sz w:val="23"/>
        </w:rPr>
        <w:t>1. Teknoloji Yığını</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871"/>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Katman</w:t>
            </w:r>
          </w:p>
        </w:tc>
        <w:tc>
          <w:tcPr>
            <w:tcW w:type="dxa" w:w="2835"/>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Teknoloji / Araç</w:t>
            </w:r>
          </w:p>
        </w:tc>
        <w:tc>
          <w:tcPr>
            <w:tcW w:type="dxa" w:w="4649"/>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Kullanım</w:t>
            </w:r>
          </w:p>
        </w:tc>
      </w:tr>
      <w:tr>
        <w:trPr>
          <w:cantSplit/>
        </w:trPr>
        <w:tc>
          <w:tcPr>
            <w:tcW w:type="dxa" w:w="187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Geliştirme</w:t>
            </w:r>
          </w:p>
        </w:tc>
        <w:tc>
          <w:tcPr>
            <w:tcW w:type="dxa" w:w="283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Python, Jupyter / VS Code, Git-GitHub</w:t>
            </w:r>
          </w:p>
        </w:tc>
        <w:tc>
          <w:tcPr>
            <w:tcW w:type="dxa" w:w="4649"/>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Veri hazırlığı, deney not defterleri, sürümleme ve tekrar üretilebilir çalışma akışı.</w:t>
            </w:r>
          </w:p>
        </w:tc>
      </w:tr>
      <w:tr>
        <w:trPr>
          <w:cantSplit/>
        </w:trPr>
        <w:tc>
          <w:tcPr>
            <w:tcW w:type="dxa" w:w="187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Veri işleme</w:t>
            </w:r>
          </w:p>
        </w:tc>
        <w:tc>
          <w:tcPr>
            <w:tcW w:type="dxa" w:w="283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pandas, NumPy, scikit-learn</w:t>
            </w:r>
          </w:p>
        </w:tc>
        <w:tc>
          <w:tcPr>
            <w:tcW w:type="dxa" w:w="4649"/>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Şema kontrolü, özellik hazırlığı, veri bölme, sınıf ağırlıklandırma ve temel ML akışı.</w:t>
            </w:r>
          </w:p>
        </w:tc>
      </w:tr>
      <w:tr>
        <w:trPr>
          <w:cantSplit/>
        </w:trPr>
        <w:tc>
          <w:tcPr>
            <w:tcW w:type="dxa" w:w="187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Referans modeller</w:t>
            </w:r>
          </w:p>
        </w:tc>
        <w:tc>
          <w:tcPr>
            <w:tcW w:type="dxa" w:w="283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Logistic Regression, Random Forest, XGBoost / LightGBM</w:t>
            </w:r>
          </w:p>
        </w:tc>
        <w:tc>
          <w:tcPr>
            <w:tcW w:type="dxa" w:w="4649"/>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İşlem-seviyesi güçlü karşılaştırma tabanı; sınıf dengesizliği ve eşik ayarlama.</w:t>
            </w:r>
          </w:p>
        </w:tc>
      </w:tr>
      <w:tr>
        <w:trPr>
          <w:cantSplit/>
        </w:trPr>
        <w:tc>
          <w:tcPr>
            <w:tcW w:type="dxa" w:w="187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Graf işleme</w:t>
            </w:r>
          </w:p>
        </w:tc>
        <w:tc>
          <w:tcPr>
            <w:tcW w:type="dxa" w:w="283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NetworkX</w:t>
            </w:r>
          </w:p>
        </w:tc>
        <w:tc>
          <w:tcPr>
            <w:tcW w:type="dxa" w:w="4649"/>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Yönlü hesap-transfer grafı, PageRank, derece, topluluk, motif ve alt-graf çıkarımı.</w:t>
            </w:r>
          </w:p>
        </w:tc>
      </w:tr>
      <w:tr>
        <w:trPr>
          <w:cantSplit/>
        </w:trPr>
        <w:tc>
          <w:tcPr>
            <w:tcW w:type="dxa" w:w="187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Graf öğrenme</w:t>
            </w:r>
          </w:p>
        </w:tc>
        <w:tc>
          <w:tcPr>
            <w:tcW w:type="dxa" w:w="283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PyTorch + PyTorch Geometric</w:t>
            </w:r>
          </w:p>
        </w:tc>
        <w:tc>
          <w:tcPr>
            <w:tcW w:type="dxa" w:w="4649"/>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GraphSAGE ana GNN; GCN/GAT ikincil karşılaştırma; gerekirse daha ileri yönlü/heterojen yaklaşım.</w:t>
            </w:r>
          </w:p>
        </w:tc>
      </w:tr>
      <w:tr>
        <w:trPr>
          <w:cantSplit/>
        </w:trPr>
        <w:tc>
          <w:tcPr>
            <w:tcW w:type="dxa" w:w="187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Açıklanabilirlik</w:t>
            </w:r>
          </w:p>
        </w:tc>
        <w:tc>
          <w:tcPr>
            <w:tcW w:type="dxa" w:w="283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SHAP; GNN için alt-graf/özellik açıklaması</w:t>
            </w:r>
          </w:p>
        </w:tc>
        <w:tc>
          <w:tcPr>
            <w:tcW w:type="dxa" w:w="4649"/>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Ham kanıt ile model katkısını ayrı göstermek.</w:t>
            </w:r>
          </w:p>
        </w:tc>
      </w:tr>
      <w:tr>
        <w:trPr>
          <w:cantSplit/>
        </w:trPr>
        <w:tc>
          <w:tcPr>
            <w:tcW w:type="dxa" w:w="187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Anomali (ileri katman)</w:t>
            </w:r>
          </w:p>
        </w:tc>
        <w:tc>
          <w:tcPr>
            <w:tcW w:type="dxa" w:w="283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Isolation Forest; opsiyonel graph autoencoder</w:t>
            </w:r>
          </w:p>
        </w:tc>
        <w:tc>
          <w:tcPr>
            <w:tcW w:type="dxa" w:w="4649"/>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Etiketsiz alışılmadık davranışı ayrı inceleme sinyali olarak üretmek.</w:t>
            </w:r>
          </w:p>
        </w:tc>
      </w:tr>
      <w:tr>
        <w:trPr>
          <w:cantSplit/>
        </w:trPr>
        <w:tc>
          <w:tcPr>
            <w:tcW w:type="dxa" w:w="187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Önceliklendirme (ileri katman)</w:t>
            </w:r>
          </w:p>
        </w:tc>
        <w:tc>
          <w:tcPr>
            <w:tcW w:type="dxa" w:w="283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Şeffaf fayda skoru; gerekirse Google OR-Tools</w:t>
            </w:r>
          </w:p>
        </w:tc>
        <w:tc>
          <w:tcPr>
            <w:tcW w:type="dxa" w:w="4649"/>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Analist-saat ve vaka kapasitesi altında en yüksek beklenen faydayı sıralamak.</w:t>
            </w:r>
          </w:p>
        </w:tc>
      </w:tr>
      <w:tr>
        <w:trPr>
          <w:cantSplit/>
        </w:trPr>
        <w:tc>
          <w:tcPr>
            <w:tcW w:type="dxa" w:w="187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Üretken AI</w:t>
            </w:r>
          </w:p>
        </w:tc>
        <w:tc>
          <w:tcPr>
            <w:tcW w:type="dxa" w:w="283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Kısıtlı LLM istemi / yapılandırılmış çıktı</w:t>
            </w:r>
          </w:p>
        </w:tc>
        <w:tc>
          <w:tcPr>
            <w:tcW w:type="dxa" w:w="4649"/>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Yalnızca model ve ağ kanıtını kısa, insan-onaylı vaka notuna çevirmek.</w:t>
            </w:r>
          </w:p>
        </w:tc>
      </w:tr>
      <w:tr>
        <w:trPr>
          <w:cantSplit/>
        </w:trPr>
        <w:tc>
          <w:tcPr>
            <w:tcW w:type="dxa" w:w="187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Demo / arayüz</w:t>
            </w:r>
          </w:p>
        </w:tc>
        <w:tc>
          <w:tcPr>
            <w:tcW w:type="dxa" w:w="283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Streamlit + NetworkX/PyVis benzeri ağ görünümü</w:t>
            </w:r>
          </w:p>
        </w:tc>
        <w:tc>
          <w:tcPr>
            <w:tcW w:type="dxa" w:w="4649"/>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Öncelik kuyruğu, alt-graf, kanıt kartları, eşik ve model karşılaştırması.</w:t>
            </w:r>
          </w:p>
        </w:tc>
      </w:tr>
    </w:tbl>
    <w:p>
      <w:pPr>
        <w:spacing w:after="0"/>
        <w:widowControl/>
      </w:pPr>
    </w:p>
    <w:p>
      <w:pPr>
        <w:pStyle w:val="Heading2"/>
        <w:keepNext/>
        <w:spacing w:before="140" w:after="100"/>
        <w:widowControl/>
      </w:pPr>
      <w:r>
        <w:rPr>
          <w:rFonts w:ascii="Arial" w:hAnsi="Arial"/>
          <w:b/>
          <w:color w:val="1F8A87"/>
          <w:sz w:val="23"/>
        </w:rPr>
        <w:t>2. Zaman Çizelgesi ve Görev Dağılımı</w:t>
      </w:r>
    </w:p>
    <w:p>
      <w:pPr>
        <w:spacing w:after="100" w:line="271" w:lineRule="auto"/>
        <w:widowControl/>
      </w:pPr>
      <w:r>
        <w:rPr>
          <w:rFonts w:ascii="Arial" w:hAnsi="Arial"/>
          <w:i w:val="0"/>
          <w:color w:val="1F2933"/>
          <w:sz w:val="20"/>
        </w:rPr>
        <w:t>Plan, çekirdek deneyin önce tamamlanacağı ve ileri katmanların çekirdeği geciktirmeyeceği altı haftalık bir uygulama sırasına göre hazırlanmıştır.</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cantSplit/>
        </w:trPr>
        <w:tc>
          <w:tcPr>
            <w:tcW w:type="dxa" w:w="4819"/>
            <w:shd w:fill="17324D"/>
          </w:tcPr>
          <w:p>
            <w:pPr>
              <w:jc w:val="left"/>
            </w:pPr>
            <w:r>
              <w:rPr>
                <w:rFonts w:ascii="Arial" w:hAnsi="Arial"/>
                <w:b/>
                <w:color w:val="FFFFFF"/>
                <w:sz w:val="17"/>
              </w:rPr>
              <w:t>Çalışma</w:t>
            </w:r>
          </w:p>
        </w:tc>
        <w:tc>
          <w:tcPr>
            <w:tcW w:type="dxa" w:w="765"/>
            <w:shd w:fill="17324D"/>
          </w:tcPr>
          <w:p>
            <w:pPr>
              <w:jc w:val="center"/>
            </w:pPr>
            <w:r>
              <w:rPr>
                <w:rFonts w:ascii="Arial" w:hAnsi="Arial"/>
                <w:b/>
                <w:color w:val="FFFFFF"/>
                <w:sz w:val="17"/>
              </w:rPr>
              <w:t>Hafta 1</w:t>
            </w:r>
          </w:p>
        </w:tc>
        <w:tc>
          <w:tcPr>
            <w:tcW w:type="dxa" w:w="765"/>
            <w:shd w:fill="17324D"/>
          </w:tcPr>
          <w:p>
            <w:pPr>
              <w:jc w:val="center"/>
            </w:pPr>
            <w:r>
              <w:rPr>
                <w:rFonts w:ascii="Arial" w:hAnsi="Arial"/>
                <w:b/>
                <w:color w:val="FFFFFF"/>
                <w:sz w:val="17"/>
              </w:rPr>
              <w:t>Hafta 2</w:t>
            </w:r>
          </w:p>
        </w:tc>
        <w:tc>
          <w:tcPr>
            <w:tcW w:type="dxa" w:w="765"/>
            <w:shd w:fill="17324D"/>
          </w:tcPr>
          <w:p>
            <w:pPr>
              <w:jc w:val="center"/>
            </w:pPr>
            <w:r>
              <w:rPr>
                <w:rFonts w:ascii="Arial" w:hAnsi="Arial"/>
                <w:b/>
                <w:color w:val="FFFFFF"/>
                <w:sz w:val="17"/>
              </w:rPr>
              <w:t>Hafta 3</w:t>
            </w:r>
          </w:p>
        </w:tc>
        <w:tc>
          <w:tcPr>
            <w:tcW w:type="dxa" w:w="765"/>
            <w:shd w:fill="17324D"/>
          </w:tcPr>
          <w:p>
            <w:pPr>
              <w:jc w:val="center"/>
            </w:pPr>
            <w:r>
              <w:rPr>
                <w:rFonts w:ascii="Arial" w:hAnsi="Arial"/>
                <w:b/>
                <w:color w:val="FFFFFF"/>
                <w:sz w:val="17"/>
              </w:rPr>
              <w:t>Hafta 4</w:t>
            </w:r>
          </w:p>
        </w:tc>
        <w:tc>
          <w:tcPr>
            <w:tcW w:type="dxa" w:w="765"/>
            <w:shd w:fill="17324D"/>
          </w:tcPr>
          <w:p>
            <w:pPr>
              <w:jc w:val="center"/>
            </w:pPr>
            <w:r>
              <w:rPr>
                <w:rFonts w:ascii="Arial" w:hAnsi="Arial"/>
                <w:b/>
                <w:color w:val="FFFFFF"/>
                <w:sz w:val="17"/>
              </w:rPr>
              <w:t>Hafta 5</w:t>
            </w:r>
          </w:p>
        </w:tc>
        <w:tc>
          <w:tcPr>
            <w:tcW w:type="dxa" w:w="765"/>
            <w:shd w:fill="17324D"/>
          </w:tcPr>
          <w:p>
            <w:pPr>
              <w:jc w:val="center"/>
            </w:pPr>
            <w:r>
              <w:rPr>
                <w:rFonts w:ascii="Arial" w:hAnsi="Arial"/>
                <w:b/>
                <w:color w:val="FFFFFF"/>
                <w:sz w:val="17"/>
              </w:rPr>
              <w:t>Hafta 6</w:t>
            </w:r>
          </w:p>
        </w:tc>
      </w:tr>
      <w:tr>
        <w:trPr>
          <w:cantSplit/>
        </w:trPr>
        <w:tc>
          <w:tcPr>
            <w:tcW w:type="dxa" w:w="4819"/>
            <w:vAlign w:val="center"/>
          </w:tcPr>
          <w:p>
            <w:pPr>
              <w:spacing w:after="0"/>
            </w:pPr>
            <w:r>
              <w:rPr>
                <w:rFonts w:ascii="Arial" w:hAnsi="Arial"/>
                <w:color w:val="1F2933"/>
                <w:sz w:val="17"/>
              </w:rPr>
              <w:t>Veri hazırlığı ve EDA</w:t>
            </w:r>
          </w:p>
        </w:tc>
        <w:tc>
          <w:tcPr>
            <w:tcW w:type="dxa" w:w="765"/>
            <w:vAlign w:val="center"/>
            <w:shd w:fill="1F8A87"/>
          </w:tcPr>
          <w:p>
            <w:pPr>
              <w:spacing w:after="0"/>
              <w:jc w:val="center"/>
            </w:pPr>
          </w:p>
        </w:tc>
        <w:tc>
          <w:tcPr>
            <w:tcW w:type="dxa" w:w="765"/>
            <w:vAlign w:val="center"/>
            <w:shd w:fill="1F8A87"/>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r>
      <w:tr>
        <w:trPr>
          <w:cantSplit/>
        </w:trPr>
        <w:tc>
          <w:tcPr>
            <w:tcW w:type="dxa" w:w="4819"/>
            <w:vAlign w:val="center"/>
          </w:tcPr>
          <w:p>
            <w:pPr>
              <w:spacing w:after="0"/>
            </w:pPr>
            <w:r>
              <w:rPr>
                <w:rFonts w:ascii="Arial" w:hAnsi="Arial"/>
                <w:color w:val="1F2933"/>
                <w:sz w:val="17"/>
              </w:rPr>
              <w:t>Referans modeller</w:t>
            </w:r>
          </w:p>
        </w:tc>
        <w:tc>
          <w:tcPr>
            <w:tcW w:type="dxa" w:w="765"/>
            <w:vAlign w:val="center"/>
            <w:shd w:fill="1F8A87"/>
          </w:tcPr>
          <w:p>
            <w:pPr>
              <w:spacing w:after="0"/>
              <w:jc w:val="center"/>
            </w:pPr>
          </w:p>
        </w:tc>
        <w:tc>
          <w:tcPr>
            <w:tcW w:type="dxa" w:w="765"/>
            <w:vAlign w:val="center"/>
            <w:shd w:fill="1F8A87"/>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r>
      <w:tr>
        <w:trPr>
          <w:cantSplit/>
        </w:trPr>
        <w:tc>
          <w:tcPr>
            <w:tcW w:type="dxa" w:w="4819"/>
            <w:vAlign w:val="center"/>
          </w:tcPr>
          <w:p>
            <w:pPr>
              <w:spacing w:after="0"/>
            </w:pPr>
            <w:r>
              <w:rPr>
                <w:rFonts w:ascii="Arial" w:hAnsi="Arial"/>
                <w:color w:val="1F2933"/>
                <w:sz w:val="17"/>
              </w:rPr>
              <w:t>Finansal graf</w:t>
            </w:r>
          </w:p>
        </w:tc>
        <w:tc>
          <w:tcPr>
            <w:tcW w:type="dxa" w:w="765"/>
            <w:vAlign w:val="center"/>
            <w:shd w:fill="F8FAFC"/>
          </w:tcPr>
          <w:p>
            <w:pPr>
              <w:spacing w:after="0"/>
              <w:jc w:val="center"/>
            </w:pPr>
          </w:p>
        </w:tc>
        <w:tc>
          <w:tcPr>
            <w:tcW w:type="dxa" w:w="765"/>
            <w:vAlign w:val="center"/>
            <w:shd w:fill="1F8A87"/>
          </w:tcPr>
          <w:p>
            <w:pPr>
              <w:spacing w:after="0"/>
              <w:jc w:val="center"/>
            </w:pPr>
          </w:p>
        </w:tc>
        <w:tc>
          <w:tcPr>
            <w:tcW w:type="dxa" w:w="765"/>
            <w:vAlign w:val="center"/>
            <w:shd w:fill="1F8A87"/>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r>
      <w:tr>
        <w:trPr>
          <w:cantSplit/>
        </w:trPr>
        <w:tc>
          <w:tcPr>
            <w:tcW w:type="dxa" w:w="4819"/>
            <w:vAlign w:val="center"/>
          </w:tcPr>
          <w:p>
            <w:pPr>
              <w:spacing w:after="0"/>
            </w:pPr>
            <w:r>
              <w:rPr>
                <w:rFonts w:ascii="Arial" w:hAnsi="Arial"/>
                <w:color w:val="1F2933"/>
                <w:sz w:val="17"/>
              </w:rPr>
              <w:t>Graf modeli + GNN</w:t>
            </w: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1F8A87"/>
          </w:tcPr>
          <w:p>
            <w:pPr>
              <w:spacing w:after="0"/>
              <w:jc w:val="center"/>
            </w:pPr>
          </w:p>
        </w:tc>
        <w:tc>
          <w:tcPr>
            <w:tcW w:type="dxa" w:w="765"/>
            <w:vAlign w:val="center"/>
            <w:shd w:fill="1F8A87"/>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r>
      <w:tr>
        <w:trPr>
          <w:cantSplit/>
        </w:trPr>
        <w:tc>
          <w:tcPr>
            <w:tcW w:type="dxa" w:w="4819"/>
            <w:vAlign w:val="center"/>
          </w:tcPr>
          <w:p>
            <w:pPr>
              <w:spacing w:after="0"/>
            </w:pPr>
            <w:r>
              <w:rPr>
                <w:rFonts w:ascii="Arial" w:hAnsi="Arial"/>
                <w:color w:val="1F2933"/>
                <w:sz w:val="17"/>
              </w:rPr>
              <w:t>Karşılaştırma ve açıklama</w:t>
            </w: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1F8A87"/>
          </w:tcPr>
          <w:p>
            <w:pPr>
              <w:spacing w:after="0"/>
              <w:jc w:val="center"/>
            </w:pPr>
          </w:p>
        </w:tc>
        <w:tc>
          <w:tcPr>
            <w:tcW w:type="dxa" w:w="765"/>
            <w:vAlign w:val="center"/>
            <w:shd w:fill="1F8A87"/>
          </w:tcPr>
          <w:p>
            <w:pPr>
              <w:spacing w:after="0"/>
              <w:jc w:val="center"/>
            </w:pPr>
          </w:p>
        </w:tc>
        <w:tc>
          <w:tcPr>
            <w:tcW w:type="dxa" w:w="765"/>
            <w:vAlign w:val="center"/>
            <w:shd w:fill="F8FAFC"/>
          </w:tcPr>
          <w:p>
            <w:pPr>
              <w:spacing w:after="0"/>
              <w:jc w:val="center"/>
            </w:pPr>
          </w:p>
        </w:tc>
      </w:tr>
      <w:tr>
        <w:trPr>
          <w:cantSplit/>
        </w:trPr>
        <w:tc>
          <w:tcPr>
            <w:tcW w:type="dxa" w:w="4819"/>
            <w:vAlign w:val="center"/>
          </w:tcPr>
          <w:p>
            <w:pPr>
              <w:spacing w:after="0"/>
            </w:pPr>
            <w:r>
              <w:rPr>
                <w:rFonts w:ascii="Arial" w:hAnsi="Arial"/>
                <w:color w:val="1F2933"/>
                <w:sz w:val="17"/>
              </w:rPr>
              <w:t>Panel + vaka notu</w:t>
            </w: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1F8A87"/>
          </w:tcPr>
          <w:p>
            <w:pPr>
              <w:spacing w:after="0"/>
              <w:jc w:val="center"/>
            </w:pPr>
          </w:p>
        </w:tc>
        <w:tc>
          <w:tcPr>
            <w:tcW w:type="dxa" w:w="765"/>
            <w:vAlign w:val="center"/>
            <w:shd w:fill="1F8A87"/>
          </w:tcPr>
          <w:p>
            <w:pPr>
              <w:spacing w:after="0"/>
              <w:jc w:val="center"/>
            </w:pPr>
          </w:p>
        </w:tc>
      </w:tr>
      <w:tr>
        <w:trPr>
          <w:cantSplit/>
        </w:trPr>
        <w:tc>
          <w:tcPr>
            <w:tcW w:type="dxa" w:w="4819"/>
            <w:vAlign w:val="center"/>
          </w:tcPr>
          <w:p>
            <w:pPr>
              <w:spacing w:after="0"/>
            </w:pPr>
            <w:r>
              <w:rPr>
                <w:rFonts w:ascii="Arial" w:hAnsi="Arial"/>
                <w:color w:val="1F2933"/>
                <w:sz w:val="17"/>
              </w:rPr>
              <w:t>İleri katmanlar</w:t>
            </w: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1F8A87"/>
          </w:tcPr>
          <w:p>
            <w:pPr>
              <w:spacing w:after="0"/>
              <w:jc w:val="center"/>
            </w:pPr>
          </w:p>
        </w:tc>
        <w:tc>
          <w:tcPr>
            <w:tcW w:type="dxa" w:w="765"/>
            <w:vAlign w:val="center"/>
            <w:shd w:fill="1F8A87"/>
          </w:tcPr>
          <w:p>
            <w:pPr>
              <w:spacing w:after="0"/>
              <w:jc w:val="center"/>
            </w:pPr>
          </w:p>
        </w:tc>
      </w:tr>
      <w:tr>
        <w:trPr>
          <w:cantSplit/>
        </w:trPr>
        <w:tc>
          <w:tcPr>
            <w:tcW w:type="dxa" w:w="4819"/>
            <w:vAlign w:val="center"/>
          </w:tcPr>
          <w:p>
            <w:pPr>
              <w:spacing w:after="0"/>
            </w:pPr>
            <w:r>
              <w:rPr>
                <w:rFonts w:ascii="Arial" w:hAnsi="Arial"/>
                <w:color w:val="1F2933"/>
                <w:sz w:val="17"/>
              </w:rPr>
              <w:t>Final demo ve sunum</w:t>
            </w: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F8FAFC"/>
          </w:tcPr>
          <w:p>
            <w:pPr>
              <w:spacing w:after="0"/>
              <w:jc w:val="center"/>
            </w:pPr>
          </w:p>
        </w:tc>
        <w:tc>
          <w:tcPr>
            <w:tcW w:type="dxa" w:w="765"/>
            <w:vAlign w:val="center"/>
            <w:shd w:fill="1F8A87"/>
          </w:tcPr>
          <w:p>
            <w:pPr>
              <w:spacing w:after="0"/>
              <w:jc w:val="center"/>
            </w:pPr>
          </w:p>
        </w:tc>
      </w:tr>
    </w:tbl>
    <w:p>
      <w:pPr>
        <w:widowControl/>
      </w:pP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2381"/>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İş Paketi</w:t>
            </w:r>
          </w:p>
        </w:tc>
        <w:tc>
          <w:tcPr>
            <w:tcW w:type="dxa" w:w="3458"/>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Ayşe Ulaşlı</w:t>
            </w:r>
          </w:p>
        </w:tc>
        <w:tc>
          <w:tcPr>
            <w:tcW w:type="dxa" w:w="3515"/>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Gizem Özcan</w:t>
            </w:r>
          </w:p>
        </w:tc>
      </w:tr>
      <w:tr>
        <w:trPr>
          <w:cantSplit/>
        </w:trPr>
        <w:tc>
          <w:tcPr>
            <w:tcW w:type="dxa" w:w="238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Veri hazırlığı ve EDA</w:t>
            </w:r>
          </w:p>
        </w:tc>
        <w:tc>
          <w:tcPr>
            <w:tcW w:type="dxa" w:w="345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Şema, veri bölme ve sızıntı kontrolleri; ortak EDA</w:t>
            </w:r>
          </w:p>
        </w:tc>
        <w:tc>
          <w:tcPr>
            <w:tcW w:type="dxa" w:w="351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EDA doğrulama, pazarlama/KPI ile ilgili veri alanlarının kontrolü</w:t>
            </w:r>
          </w:p>
        </w:tc>
      </w:tr>
      <w:tr>
        <w:trPr>
          <w:cantSplit/>
        </w:trPr>
        <w:tc>
          <w:tcPr>
            <w:tcW w:type="dxa" w:w="238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Referans modeller</w:t>
            </w:r>
          </w:p>
        </w:tc>
        <w:tc>
          <w:tcPr>
            <w:tcW w:type="dxa" w:w="345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Model geliştirme, tuning ve performans karşılaştırması</w:t>
            </w:r>
          </w:p>
        </w:tc>
        <w:tc>
          <w:tcPr>
            <w:tcW w:type="dxa" w:w="351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Metrik kontrolü, deney kayıtları ve sonuçların dokümantasyonu</w:t>
            </w:r>
          </w:p>
        </w:tc>
      </w:tr>
      <w:tr>
        <w:trPr>
          <w:cantSplit/>
        </w:trPr>
        <w:tc>
          <w:tcPr>
            <w:tcW w:type="dxa" w:w="238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Finansal graf</w:t>
            </w:r>
          </w:p>
        </w:tc>
        <w:tc>
          <w:tcPr>
            <w:tcW w:type="dxa" w:w="345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Graf inşası, graf özellikleri, motif ve akış değişkenleri</w:t>
            </w:r>
          </w:p>
        </w:tc>
        <w:tc>
          <w:tcPr>
            <w:tcW w:type="dxa" w:w="351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Alt-graf görselleştirme, örnek vaka kontrolü</w:t>
            </w:r>
          </w:p>
        </w:tc>
      </w:tr>
      <w:tr>
        <w:trPr>
          <w:cantSplit/>
        </w:trPr>
        <w:tc>
          <w:tcPr>
            <w:tcW w:type="dxa" w:w="238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GNN denemeleri</w:t>
            </w:r>
          </w:p>
        </w:tc>
        <w:tc>
          <w:tcPr>
            <w:tcW w:type="dxa" w:w="345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GraphSAGE/GCN/GAT uygulaması ve karşılaştırması</w:t>
            </w:r>
          </w:p>
        </w:tc>
        <w:tc>
          <w:tcPr>
            <w:tcW w:type="dxa" w:w="351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Deney sonuçlarının karşılaştırılması, açıklama ihtiyacının tanımlanması</w:t>
            </w:r>
          </w:p>
        </w:tc>
      </w:tr>
      <w:tr>
        <w:trPr>
          <w:cantSplit/>
        </w:trPr>
        <w:tc>
          <w:tcPr>
            <w:tcW w:type="dxa" w:w="238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Açıklanabilirlik</w:t>
            </w:r>
          </w:p>
        </w:tc>
        <w:tc>
          <w:tcPr>
            <w:tcW w:type="dxa" w:w="345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Teknik doğrulama, özellik ve alt-graf kontrolü</w:t>
            </w:r>
          </w:p>
        </w:tc>
        <w:tc>
          <w:tcPr>
            <w:tcW w:type="dxa" w:w="351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SHAP/GNN açıklama akışı ve analist diline çevrilmesi</w:t>
            </w:r>
          </w:p>
        </w:tc>
      </w:tr>
      <w:tr>
        <w:trPr>
          <w:cantSplit/>
        </w:trPr>
        <w:tc>
          <w:tcPr>
            <w:tcW w:type="dxa" w:w="238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Üretken AI vaka notu</w:t>
            </w:r>
          </w:p>
        </w:tc>
        <w:tc>
          <w:tcPr>
            <w:tcW w:type="dxa" w:w="345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Kanıt şeması ve doğruluk kontrol kuralları</w:t>
            </w:r>
          </w:p>
        </w:tc>
        <w:tc>
          <w:tcPr>
            <w:tcW w:type="dxa" w:w="351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İstem tasarımı, yapılandırılmış çıktı ve insan-onay akışı</w:t>
            </w:r>
          </w:p>
        </w:tc>
      </w:tr>
      <w:tr>
        <w:trPr>
          <w:cantSplit/>
        </w:trPr>
        <w:tc>
          <w:tcPr>
            <w:tcW w:type="dxa" w:w="238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Önceliklendirme</w:t>
            </w:r>
          </w:p>
        </w:tc>
        <w:tc>
          <w:tcPr>
            <w:tcW w:type="dxa" w:w="345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Fayda skoru / OR-Tools denemesi</w:t>
            </w:r>
          </w:p>
        </w:tc>
        <w:tc>
          <w:tcPr>
            <w:tcW w:type="dxa" w:w="351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Analist iş akışı ve kullanılabilirlik kontrolü</w:t>
            </w:r>
          </w:p>
        </w:tc>
      </w:tr>
      <w:tr>
        <w:trPr>
          <w:cantSplit/>
        </w:trPr>
        <w:tc>
          <w:tcPr>
            <w:tcW w:type="dxa" w:w="2381"/>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Streamlit panel</w:t>
            </w:r>
          </w:p>
        </w:tc>
        <w:tc>
          <w:tcPr>
            <w:tcW w:type="dxa" w:w="345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Model entegrasyonu ve skor servis katmanı</w:t>
            </w:r>
          </w:p>
        </w:tc>
        <w:tc>
          <w:tcPr>
            <w:tcW w:type="dxa" w:w="351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Arayüz, vaka görünümü, pazarlama ve demo akışı</w:t>
            </w:r>
          </w:p>
        </w:tc>
      </w:tr>
      <w:tr>
        <w:trPr>
          <w:cantSplit/>
        </w:trPr>
        <w:tc>
          <w:tcPr>
            <w:tcW w:type="dxa" w:w="2381"/>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Final değerlendirme ve sunum</w:t>
            </w:r>
          </w:p>
        </w:tc>
        <w:tc>
          <w:tcPr>
            <w:tcW w:type="dxa" w:w="345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Teknik sonuçlar ve deney savunusu</w:t>
            </w:r>
          </w:p>
        </w:tc>
        <w:tc>
          <w:tcPr>
            <w:tcW w:type="dxa" w:w="351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Pazarlama/CX ölçüm zinciri, anlatı ve sunum; final entegrasyon ortak</w:t>
            </w:r>
          </w:p>
        </w:tc>
      </w:tr>
    </w:tbl>
    <w:p>
      <w:pPr>
        <w:spacing w:after="0"/>
        <w:widowControl/>
      </w:pPr>
    </w:p>
    <w:p>
      <w:pPr>
        <w:pStyle w:val="Heading2"/>
        <w:keepNext/>
        <w:spacing w:before="140" w:after="100"/>
        <w:widowControl/>
      </w:pPr>
      <w:r>
        <w:rPr>
          <w:rFonts w:ascii="Arial" w:hAnsi="Arial"/>
          <w:b/>
          <w:color w:val="1F8A87"/>
          <w:sz w:val="23"/>
        </w:rPr>
        <w:t>3. Kilometre Taşları ve Teslimatlar</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2494"/>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7"/>
              </w:rPr>
              <w:t>Kilometre Taşı</w:t>
            </w:r>
          </w:p>
        </w:tc>
        <w:tc>
          <w:tcPr>
            <w:tcW w:type="dxa" w:w="6860"/>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7"/>
              </w:rPr>
              <w:t>Somut Çıktı / Tamamlanma Kanıtı</w:t>
            </w:r>
          </w:p>
        </w:tc>
      </w:tr>
      <w:tr>
        <w:trPr>
          <w:cantSplit/>
        </w:trPr>
        <w:tc>
          <w:tcPr>
            <w:tcW w:type="dxa" w:w="249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M1 - Veri hazır</w:t>
            </w:r>
          </w:p>
        </w:tc>
        <w:tc>
          <w:tcPr>
            <w:tcW w:type="dxa" w:w="6860"/>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Tekrar üretilebilir EDA not defteri; veri şeması, sınıf oranı, zaman ve hesap kimliği kontrolleri; eğitim/doğrulama/test ayrımı.</w:t>
            </w:r>
          </w:p>
        </w:tc>
      </w:tr>
      <w:tr>
        <w:trPr>
          <w:cantSplit/>
        </w:trPr>
        <w:tc>
          <w:tcPr>
            <w:tcW w:type="dxa" w:w="249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M2 - Referans kuruldu</w:t>
            </w:r>
          </w:p>
        </w:tc>
        <w:tc>
          <w:tcPr>
            <w:tcW w:type="dxa" w:w="6860"/>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Lojistik Regresyon, Rastgele Orman ve XGBoost/LightGBM sonuç tablosu; en güçlü işlem-seviyesi model seçimi.</w:t>
            </w:r>
          </w:p>
        </w:tc>
      </w:tr>
      <w:tr>
        <w:trPr>
          <w:cantSplit/>
        </w:trPr>
        <w:tc>
          <w:tcPr>
            <w:tcW w:type="dxa" w:w="249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M3 - Graf pipeline çalışıyor</w:t>
            </w:r>
          </w:p>
        </w:tc>
        <w:tc>
          <w:tcPr>
            <w:tcW w:type="dxa" w:w="6860"/>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Yönlü hesap-transfer grafı, çekirdek graf/zaman özellikleri ve en az üç örnek alt-graf görünümü.</w:t>
            </w:r>
          </w:p>
        </w:tc>
      </w:tr>
      <w:tr>
        <w:trPr>
          <w:cantSplit/>
        </w:trPr>
        <w:tc>
          <w:tcPr>
            <w:tcW w:type="dxa" w:w="249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M4 - Graf katkısı ölçüldü</w:t>
            </w:r>
          </w:p>
        </w:tc>
        <w:tc>
          <w:tcPr>
            <w:tcW w:type="dxa" w:w="6860"/>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Graf-zenginleştirilmiş model ve en az bir GNN için aynı veri bölmesinde PR-AUC, Recall@K, Precision/F1, FPR ve uyarı hacmi karşılaştırması.</w:t>
            </w:r>
          </w:p>
        </w:tc>
      </w:tr>
      <w:tr>
        <w:trPr>
          <w:cantSplit/>
        </w:trPr>
        <w:tc>
          <w:tcPr>
            <w:tcW w:type="dxa" w:w="249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M5 - Karar-destek prototipi</w:t>
            </w:r>
          </w:p>
        </w:tc>
        <w:tc>
          <w:tcPr>
            <w:tcW w:type="dxa" w:w="6860"/>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7"/>
              </w:rPr>
              <w:t>Üst K vaka için en az üç kanıt, açıklama görünümü, öncelik kuyruğu ve kanıt-kısıtlı vaka notu üreten Streamlit beta sürümü.</w:t>
            </w:r>
          </w:p>
        </w:tc>
      </w:tr>
      <w:tr>
        <w:trPr>
          <w:cantSplit/>
        </w:trPr>
        <w:tc>
          <w:tcPr>
            <w:tcW w:type="dxa" w:w="249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M6 - Final değerlendirme</w:t>
            </w:r>
          </w:p>
        </w:tc>
        <w:tc>
          <w:tcPr>
            <w:tcW w:type="dxa" w:w="6860"/>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7"/>
              </w:rPr>
              <w:t>Teknik ve operasyonel sonuçların birlikte raporlandığı çalışan demo; başarısız/başarılı hipotezlerin açıkça gösterildiği final sunumu ve dokümantasyon.</w:t>
            </w:r>
          </w:p>
        </w:tc>
      </w:tr>
    </w:tbl>
    <w:p>
      <w:pPr>
        <w:spacing w:after="0"/>
        <w:widowControl/>
      </w:pPr>
    </w:p>
    <w:p>
      <w:pPr>
        <w:pStyle w:val="Heading2"/>
        <w:keepNext/>
        <w:spacing w:before="140" w:after="100"/>
        <w:widowControl/>
      </w:pPr>
      <w:r>
        <w:rPr>
          <w:rFonts w:ascii="Arial" w:hAnsi="Arial"/>
          <w:b/>
          <w:color w:val="1F8A87"/>
          <w:sz w:val="23"/>
        </w:rPr>
        <w:t>4. Zorluklar ve Azaltma Stratejileri</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2154"/>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Risk</w:t>
            </w:r>
          </w:p>
        </w:tc>
        <w:tc>
          <w:tcPr>
            <w:tcW w:type="dxa" w:w="3118"/>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Olası Etki</w:t>
            </w:r>
          </w:p>
        </w:tc>
        <w:tc>
          <w:tcPr>
            <w:tcW w:type="dxa" w:w="4195"/>
            <w:vAlign w:val="center"/>
            <w:tcBorders>
              <w:top w:val="single" w:sz="5" w:color="CBD5E1"/>
              <w:left w:val="single" w:sz="5" w:color="CBD5E1"/>
              <w:bottom w:val="single" w:sz="5" w:color="CBD5E1"/>
              <w:right w:val="single" w:sz="5" w:color="CBD5E1"/>
            </w:tcBorders>
            <w:shd w:fill="17324D"/>
          </w:tcPr>
          <w:p>
            <w:pPr>
              <w:spacing w:after="0" w:before="0" w:line="245" w:lineRule="auto"/>
              <w:jc w:val="left"/>
            </w:pPr>
            <w:r>
              <w:rPr>
                <w:rFonts w:ascii="Arial" w:hAnsi="Arial"/>
                <w:b/>
                <w:color w:val="FFFFFF"/>
                <w:sz w:val="16"/>
              </w:rPr>
              <w:t>Azaltma / Geri Dönüş Planı</w:t>
            </w:r>
          </w:p>
        </w:tc>
      </w:tr>
      <w:tr>
        <w:trPr>
          <w:cantSplit/>
        </w:trPr>
        <w:tc>
          <w:tcPr>
            <w:tcW w:type="dxa" w:w="215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Aşırı sınıf dengesizliği</w:t>
            </w:r>
          </w:p>
        </w:tc>
        <w:tc>
          <w:tcPr>
            <w:tcW w:type="dxa" w:w="311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Doğruluk veya ROC-AUC yanıltıcı olabilir; azınlık sınıfı gözden kaçar.</w:t>
            </w:r>
          </w:p>
        </w:tc>
        <w:tc>
          <w:tcPr>
            <w:tcW w:type="dxa" w:w="419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PR-AUC ve Recall@K ana metrik; sınıf ağırlıkları, eşik ayarı ve gerekiyorsa kontrollü örnekleme.</w:t>
            </w:r>
          </w:p>
        </w:tc>
      </w:tr>
      <w:tr>
        <w:trPr>
          <w:cantSplit/>
        </w:trPr>
        <w:tc>
          <w:tcPr>
            <w:tcW w:type="dxa" w:w="215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Zamansal veya varlık sızıntısı</w:t>
            </w:r>
          </w:p>
        </w:tc>
        <w:tc>
          <w:tcPr>
            <w:tcW w:type="dxa" w:w="311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Test performansı yapay biçimde şişebilir.</w:t>
            </w:r>
          </w:p>
        </w:tc>
        <w:tc>
          <w:tcPr>
            <w:tcW w:type="dxa" w:w="419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Kronolojik ayrım; yalnızca geçmiş veriden özellik üretimi; hesap/ağ çakışma kontrolü ve gerektiğinde grup temelli split.</w:t>
            </w:r>
          </w:p>
        </w:tc>
      </w:tr>
      <w:tr>
        <w:trPr>
          <w:cantSplit/>
        </w:trPr>
        <w:tc>
          <w:tcPr>
            <w:tcW w:type="dxa" w:w="215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Graf ölçeği / bellek maliyeti</w:t>
            </w:r>
          </w:p>
        </w:tc>
        <w:tc>
          <w:tcPr>
            <w:tcW w:type="dxa" w:w="311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NetworkX veya GNN denemeleri tüm veri üzerinde yavaşlayabilir.</w:t>
            </w:r>
          </w:p>
        </w:tc>
        <w:tc>
          <w:tcPr>
            <w:tcW w:type="dxa" w:w="419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Önce HI-Small / kontrollü altküme; chunking ve örnekleme; çekirdek kanıt için graf-özellikli model yeterli geri dönüş seçeneği.</w:t>
            </w:r>
          </w:p>
        </w:tc>
      </w:tr>
      <w:tr>
        <w:trPr>
          <w:cantSplit/>
        </w:trPr>
        <w:tc>
          <w:tcPr>
            <w:tcW w:type="dxa" w:w="215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GNN referansı geçemiyor</w:t>
            </w:r>
          </w:p>
        </w:tc>
        <w:tc>
          <w:tcPr>
            <w:tcW w:type="dxa" w:w="311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Karmaşık model ek değer yaratmayabilir.</w:t>
            </w:r>
          </w:p>
        </w:tc>
        <w:tc>
          <w:tcPr>
            <w:tcW w:type="dxa" w:w="419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Sonucu başarısızlık olarak gizlememek; graf özellikli gradyan artırmayı aday nihai model olarak tutmak.</w:t>
            </w:r>
          </w:p>
        </w:tc>
      </w:tr>
      <w:tr>
        <w:trPr>
          <w:cantSplit/>
        </w:trPr>
        <w:tc>
          <w:tcPr>
            <w:tcW w:type="dxa" w:w="215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Yön ve çoklu kenar bilgisinin kaybı</w:t>
            </w:r>
          </w:p>
        </w:tc>
        <w:tc>
          <w:tcPr>
            <w:tcW w:type="dxa" w:w="311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Finansal akış yapısı basitleştirilir ve önemli motifler kaybolur.</w:t>
            </w:r>
          </w:p>
        </w:tc>
        <w:tc>
          <w:tcPr>
            <w:tcW w:type="dxa" w:w="419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Yönlü grafı korumak; tekrarlı transferleri gerçek kenar olarak tutmak; gerekirse yön duyarlı model uyarlaması.</w:t>
            </w:r>
          </w:p>
        </w:tc>
      </w:tr>
      <w:tr>
        <w:trPr>
          <w:cantSplit/>
        </w:trPr>
        <w:tc>
          <w:tcPr>
            <w:tcW w:type="dxa" w:w="215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LLM halüsinasyonu / aşırı yorum</w:t>
            </w:r>
          </w:p>
        </w:tc>
        <w:tc>
          <w:tcPr>
            <w:tcW w:type="dxa" w:w="311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Analiste yanlış veya suçlayıcı vaka notu sunulabilir.</w:t>
            </w:r>
          </w:p>
        </w:tc>
        <w:tc>
          <w:tcPr>
            <w:tcW w:type="dxa" w:w="419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Yalnızca yapılandırılmış kanıt alanları; yeni olgu ve hukuki sonuç yasağı; şablonlanmış çıktı; analist onayı.</w:t>
            </w:r>
          </w:p>
        </w:tc>
      </w:tr>
      <w:tr>
        <w:trPr>
          <w:cantSplit/>
        </w:trPr>
        <w:tc>
          <w:tcPr>
            <w:tcW w:type="dxa" w:w="215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Sentetik veriden aşırı genelleme</w:t>
            </w:r>
          </w:p>
        </w:tc>
        <w:tc>
          <w:tcPr>
            <w:tcW w:type="dxa" w:w="311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PoC sonucu gerçek banka performansı gibi algılanabilir.</w:t>
            </w:r>
          </w:p>
        </w:tc>
        <w:tc>
          <w:tcPr>
            <w:tcW w:type="dxa" w:w="419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Sonuçları yöntem karşılaştırması olarak raporlamak; müşteri ve üretim KPI’larını yalnızca pilot hipotezi olarak tanımlamak.</w:t>
            </w:r>
          </w:p>
        </w:tc>
      </w:tr>
      <w:tr>
        <w:trPr>
          <w:cantSplit/>
        </w:trPr>
        <w:tc>
          <w:tcPr>
            <w:tcW w:type="dxa" w:w="2154"/>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Gerçek pilotta gizlilik ve erişim</w:t>
            </w:r>
          </w:p>
        </w:tc>
        <w:tc>
          <w:tcPr>
            <w:tcW w:type="dxa" w:w="3118"/>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Kişisel veri veya yetkisiz erişim riski.</w:t>
            </w:r>
          </w:p>
        </w:tc>
        <w:tc>
          <w:tcPr>
            <w:tcW w:type="dxa" w:w="4195"/>
            <w:vAlign w:val="center"/>
            <w:tcBorders>
              <w:top w:val="single" w:sz="5" w:color="CBD5E1"/>
              <w:left w:val="single" w:sz="5" w:color="CBD5E1"/>
              <w:bottom w:val="single" w:sz="5" w:color="CBD5E1"/>
              <w:right w:val="single" w:sz="5" w:color="CBD5E1"/>
            </w:tcBorders>
            <w:shd w:fill="F8FAFC"/>
          </w:tcPr>
          <w:p>
            <w:pPr>
              <w:spacing w:after="0" w:before="0" w:line="245" w:lineRule="auto"/>
              <w:jc w:val="left"/>
            </w:pPr>
            <w:r>
              <w:rPr>
                <w:rFonts w:ascii="Arial" w:hAnsi="Arial"/>
                <w:b w:val="0"/>
                <w:color w:val="1F2933"/>
                <w:sz w:val="16"/>
              </w:rPr>
              <w:t>Veri minimizasyonu, pseudonimleştirme, rol tabanlı erişim, kayıt tutma ve kurum içi onay süreçleri.</w:t>
            </w:r>
          </w:p>
        </w:tc>
      </w:tr>
      <w:tr>
        <w:trPr>
          <w:cantSplit/>
        </w:trPr>
        <w:tc>
          <w:tcPr>
            <w:tcW w:type="dxa" w:w="2154"/>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Gerçek pazarlama etkisini ölçme güçlüğü</w:t>
            </w:r>
          </w:p>
        </w:tc>
        <w:tc>
          <w:tcPr>
            <w:tcW w:type="dxa" w:w="3118"/>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FPR düşüşü doğrudan CSAT veya retansiyon artışı olarak yorumlanabilir.</w:t>
            </w:r>
          </w:p>
        </w:tc>
        <w:tc>
          <w:tcPr>
            <w:tcW w:type="dxa" w:w="4195"/>
            <w:vAlign w:val="center"/>
            <w:tcBorders>
              <w:top w:val="single" w:sz="5" w:color="CBD5E1"/>
              <w:left w:val="single" w:sz="5" w:color="CBD5E1"/>
              <w:bottom w:val="single" w:sz="5" w:color="CBD5E1"/>
              <w:right w:val="single" w:sz="5" w:color="CBD5E1"/>
            </w:tcBorders>
          </w:tcPr>
          <w:p>
            <w:pPr>
              <w:spacing w:after="0" w:before="0" w:line="245" w:lineRule="auto"/>
              <w:jc w:val="left"/>
            </w:pPr>
            <w:r>
              <w:rPr>
                <w:rFonts w:ascii="Arial" w:hAnsi="Arial"/>
                <w:b w:val="0"/>
                <w:color w:val="1F2933"/>
                <w:sz w:val="16"/>
              </w:rPr>
              <w:t>KPI zincirini ayırmak; PoC’de yalnızca teknik/operasyonel metrik, pilotta müşteri yolculuğu ölçümleri ve kontrollü karşılaştırma.</w:t>
            </w:r>
          </w:p>
        </w:tc>
      </w:tr>
    </w:tbl>
    <w:p>
      <w:pPr>
        <w:spacing w:after="0"/>
        <w:widowControl/>
      </w:pPr>
    </w:p>
    <w:p>
      <w:pPr>
        <w:pStyle w:val="Heading2"/>
        <w:keepNext/>
        <w:spacing w:before="140" w:after="100"/>
        <w:widowControl/>
      </w:pPr>
      <w:r>
        <w:rPr>
          <w:rFonts w:ascii="Arial" w:hAnsi="Arial"/>
          <w:b/>
          <w:color w:val="1F8A87"/>
          <w:sz w:val="23"/>
        </w:rPr>
        <w:t>5. Etik ve Sorumlu Yapay Zekâ</w:t>
      </w:r>
    </w:p>
    <w:p>
      <w:pPr>
        <w:spacing w:after="100" w:line="271" w:lineRule="auto"/>
        <w:widowControl/>
      </w:pPr>
      <w:r>
        <w:rPr>
          <w:rFonts w:ascii="Arial" w:hAnsi="Arial"/>
          <w:i w:val="0"/>
          <w:color w:val="1F2933"/>
          <w:sz w:val="20"/>
        </w:rPr>
        <w:t>ARGUS karar-destek sistemi olarak tasarlanacaktır; otomatik yaptırım, hesap kapatma, işlem reddi veya “suçlu” etiketi üretmeyecektir. Modelin görevi bir ağın inceleme önceliğini ve hangi kanıtların bu önceliğe katkı verdiğini göstermektir. Nihai karar kurumun yetkili analist ve uyum süreçlerinde kalır. Bu ayrım, yanlış pozitif bir model çıktısının doğrudan müşteri zararına dönüşmesini önlemek için temel tasarım kuralıdır.</w:t>
      </w:r>
    </w:p>
    <w:p>
      <w:pPr>
        <w:spacing w:after="100" w:line="271" w:lineRule="auto"/>
        <w:widowControl/>
      </w:pPr>
      <w:r>
        <w:rPr>
          <w:rFonts w:ascii="Arial" w:hAnsi="Arial"/>
          <w:i w:val="0"/>
          <w:color w:val="1F2933"/>
          <w:sz w:val="20"/>
        </w:rPr>
        <w:t>Kavram kanıtında sentetik IBM AML verisi kullanılacağından gerçek kişisel veri işlenmeyecektir. Gerçek bir banka pilotunda veri minimizasyonu, amaçla sınırlı kullanım, pseudonimleştirme, rol tabanlı erişim ve kayıt tutma gerekecektir. Korunan kişisel özellikler model girdisine dahil edilmeyecek; buna rağmen banka, ödeme formatı, coğrafya veya davranış özelliklerinin vekil değişken gibi çalışıp çalışmadığı hata analiziyle izlenecektir. Model performansı yalnızca toplam ortalama üzerinden değil, mümkün olduğunda anlamlı işlem/hesap alt gruplarında da kontrol edilecektir.</w:t>
      </w:r>
    </w:p>
    <w:p>
      <w:pPr>
        <w:spacing w:after="100" w:line="271" w:lineRule="auto"/>
        <w:widowControl/>
      </w:pPr>
      <w:r>
        <w:rPr>
          <w:rFonts w:ascii="Arial" w:hAnsi="Arial"/>
          <w:i w:val="0"/>
          <w:color w:val="1F2933"/>
          <w:sz w:val="20"/>
        </w:rPr>
        <w:t>Açıklama katmanında “gözlenen olgu” ile “modelin yorumu” ayrılacaktır. Örneğin “17 farklı hesaptan fon almış” gözlenen bir veri iken, bu bilginin risk skoruna katkısı model açıklamasıdır. LLM yalnızca bu kanıt listesini doğal dile çevirecek; kanıt üretmeyecek, niyet veya suç isnadı çıkarmayacak ve belirsizliği ortadan kaldıran kesin ifadeler kullanmayacaktır. Çıktılar kaydedilebilir ve sürümlenebilir biçimde üretilecek; model, veri ve istem değişiklikleri takip edilecektir. Sentetik veri üzerinden “müşteri memnuniyeti arttı” veya “retansiyon yükseldi” gibi kanıtlanmayan pazarlama iddiaları yapılmayacak; bu etkiler ancak gerçek pilot verisiyle ölçülecektir.</w:t>
      </w:r>
    </w:p>
    <w:p>
      <w:pPr>
        <w:pStyle w:val="Heading2"/>
        <w:keepNext/>
        <w:spacing w:before="140" w:after="100"/>
        <w:widowControl/>
      </w:pPr>
      <w:r>
        <w:rPr>
          <w:rFonts w:ascii="Arial" w:hAnsi="Arial"/>
          <w:b/>
          <w:color w:val="1F8A87"/>
          <w:sz w:val="23"/>
        </w:rPr>
        <w:t>6. Kaynakça</w:t>
      </w:r>
    </w:p>
    <w:p>
      <w:pPr>
        <w:spacing w:after="80" w:line="252" w:lineRule="auto"/>
        <w:ind w:left="312" w:hanging="312"/>
        <w:widowControl/>
      </w:pPr>
      <w:r>
        <w:rPr>
          <w:rFonts w:ascii="Arial" w:hAnsi="Arial"/>
          <w:color w:val="1F2933"/>
          <w:sz w:val="17"/>
        </w:rPr>
        <w:t>Altman, E., Blanuša, J., von Niederhäusern, L., Egressy, B., Anghel, A., &amp; Atasu, K. (2023). Realistic synthetic financial transactions for anti-money laundering models. Advances in Neural Information Processing Systems, 36. https://doi.org/10.52202/075280-1300</w:t>
      </w:r>
    </w:p>
    <w:p>
      <w:pPr>
        <w:spacing w:after="80" w:line="252" w:lineRule="auto"/>
        <w:ind w:left="312" w:hanging="312"/>
        <w:widowControl/>
      </w:pPr>
      <w:r>
        <w:rPr>
          <w:rFonts w:ascii="Arial" w:hAnsi="Arial"/>
          <w:color w:val="1F2933"/>
          <w:sz w:val="17"/>
        </w:rPr>
        <w:t>Bank for International Settlements Innovation Hub. (2025). Project Hertha: Identifying financial crime patterns in real-time retail payment systems. https://www.bis.org/publ/othp96.htm</w:t>
      </w:r>
    </w:p>
    <w:p>
      <w:pPr>
        <w:spacing w:after="80" w:line="252" w:lineRule="auto"/>
        <w:ind w:left="312" w:hanging="312"/>
        <w:widowControl/>
      </w:pPr>
      <w:r>
        <w:rPr>
          <w:rFonts w:ascii="Arial" w:hAnsi="Arial"/>
          <w:color w:val="1F2933"/>
          <w:sz w:val="17"/>
        </w:rPr>
        <w:t>Blanuša, J., Cravero Baraja, M., Anghel, A., von Niederhäusern, L., Altman, E., Pozidis, H., &amp; Atasu, K. (2024). Graph Feature Preprocessor: Real-time subgraph-based feature extraction for financial crime detection. Proceedings of the 5th ACM International Conference on AI in Finance, 222–230. https://doi.org/10.1145/3677052.3698674</w:t>
      </w:r>
    </w:p>
    <w:p>
      <w:pPr>
        <w:spacing w:after="80" w:line="252" w:lineRule="auto"/>
        <w:ind w:left="312" w:hanging="312"/>
        <w:widowControl/>
      </w:pPr>
      <w:r>
        <w:rPr>
          <w:rFonts w:ascii="Arial" w:hAnsi="Arial"/>
          <w:color w:val="1F2933"/>
          <w:sz w:val="17"/>
        </w:rPr>
        <w:t>Cardoso, M., Saleiro, P., &amp; Bizarro, P. (2022). LaundroGraph: Self-supervised graph representation learning for anti-money laundering. Proceedings of the 3rd ACM International Conference on AI in Finance, 130–138. https://doi.org/10.1145/3533271.3561727</w:t>
      </w:r>
    </w:p>
    <w:p>
      <w:pPr>
        <w:spacing w:after="80" w:line="252" w:lineRule="auto"/>
        <w:ind w:left="312" w:hanging="312"/>
        <w:widowControl/>
      </w:pPr>
      <w:r>
        <w:rPr>
          <w:rFonts w:ascii="Arial" w:hAnsi="Arial"/>
          <w:color w:val="1F2933"/>
          <w:sz w:val="17"/>
        </w:rPr>
        <w:t>Egressy, B., von Niederhäusern, L., Blanuša, J., Altman, E., Wattenhofer, R., &amp; Atasu, K. (2024). Provably powerful graph neural networks for directed multigraphs. Proceedings of the AAAI Conference on Artificial Intelligence, 38(10), 11838–11846. https://doi.org/10.1609/aaai.v38i10.29069</w:t>
      </w:r>
    </w:p>
    <w:p>
      <w:pPr>
        <w:spacing w:after="80" w:line="252" w:lineRule="auto"/>
        <w:ind w:left="312" w:hanging="312"/>
        <w:widowControl/>
      </w:pPr>
      <w:r>
        <w:rPr>
          <w:rFonts w:ascii="Arial" w:hAnsi="Arial"/>
          <w:color w:val="1F2933"/>
          <w:sz w:val="17"/>
        </w:rPr>
        <w:t>European Banking Authority &amp; European Central Bank. (2025). 2025 report on payment fraud. European Banking Authority.</w:t>
      </w:r>
    </w:p>
    <w:p>
      <w:pPr>
        <w:spacing w:after="80" w:line="252" w:lineRule="auto"/>
        <w:ind w:left="312" w:hanging="312"/>
        <w:widowControl/>
      </w:pPr>
      <w:r>
        <w:rPr>
          <w:rFonts w:ascii="Arial" w:hAnsi="Arial"/>
          <w:color w:val="1F2933"/>
          <w:sz w:val="17"/>
        </w:rPr>
        <w:t>Feedzai. (2026). The State of Global Anti-Money Laundering Compliance Report. https://www.feedzai.com/resource/aml-report/</w:t>
      </w:r>
    </w:p>
    <w:p>
      <w:pPr>
        <w:spacing w:after="80" w:line="252" w:lineRule="auto"/>
        <w:ind w:left="312" w:hanging="312"/>
        <w:widowControl/>
      </w:pPr>
      <w:r>
        <w:rPr>
          <w:rFonts w:ascii="Arial" w:hAnsi="Arial"/>
          <w:color w:val="1F2933"/>
          <w:sz w:val="17"/>
        </w:rPr>
        <w:t>Feedzai. (2026). Anti-Money Laundering Transaction Monitoring. https://www.feedzai.com/resource/anti-money-laundering-transaction-monitoring/</w:t>
      </w:r>
    </w:p>
    <w:p>
      <w:pPr>
        <w:spacing w:after="80" w:line="252" w:lineRule="auto"/>
        <w:ind w:left="312" w:hanging="312"/>
        <w:widowControl/>
      </w:pPr>
      <w:r>
        <w:rPr>
          <w:rFonts w:ascii="Arial" w:hAnsi="Arial"/>
          <w:color w:val="1F2933"/>
          <w:sz w:val="17"/>
        </w:rPr>
        <w:t>Hamilton, W. L., Ying, R., &amp; Leskovec, J. (2017). Inductive representation learning on large graphs. Advances in Neural Information Processing Systems, 30.</w:t>
      </w:r>
    </w:p>
    <w:p>
      <w:pPr>
        <w:spacing w:after="80" w:line="252" w:lineRule="auto"/>
        <w:ind w:left="312" w:hanging="312"/>
        <w:widowControl/>
      </w:pPr>
      <w:r>
        <w:rPr>
          <w:rFonts w:ascii="Arial" w:hAnsi="Arial"/>
          <w:color w:val="1F2933"/>
          <w:sz w:val="17"/>
        </w:rPr>
        <w:t>IBM. (2026). AML-Data: Synthetic financial transactions for anti-money laundering research [GitHub repository]. https://github.com/IBM/AML-Data</w:t>
      </w:r>
    </w:p>
    <w:p>
      <w:pPr>
        <w:spacing w:after="80" w:line="252" w:lineRule="auto"/>
        <w:ind w:left="312" w:hanging="312"/>
        <w:widowControl/>
      </w:pPr>
      <w:r>
        <w:rPr>
          <w:rFonts w:ascii="Arial" w:hAnsi="Arial"/>
          <w:color w:val="1F2933"/>
          <w:sz w:val="17"/>
        </w:rPr>
        <w:t>Johannessen, F., &amp; Jullum, M. (2025). Finding money launderers using heterogeneous graph neural networks. The Journal of Finance and Data Science, 11, 100175. https://doi.org/10.1016/j.jfds.2025.100175</w:t>
      </w:r>
    </w:p>
    <w:p>
      <w:pPr>
        <w:spacing w:after="80" w:line="252" w:lineRule="auto"/>
        <w:ind w:left="312" w:hanging="312"/>
        <w:widowControl/>
      </w:pPr>
      <w:r>
        <w:rPr>
          <w:rFonts w:ascii="Arial" w:hAnsi="Arial"/>
          <w:color w:val="1F2933"/>
          <w:sz w:val="17"/>
        </w:rPr>
        <w:t>Lin, J., Guo, X., Zhu, Y., Mitchell, S., Altman, E., &amp; Shun, J. (2024). FraudGT: A simple, effective, and efficient graph transformer for financial fraud detection. Proceedings of the 5th ACM International Conference on AI in Finance, 292–300. https://doi.org/10.1145/3677052.3698648</w:t>
      </w:r>
    </w:p>
    <w:p>
      <w:pPr>
        <w:spacing w:after="80" w:line="252" w:lineRule="auto"/>
        <w:ind w:left="312" w:hanging="312"/>
        <w:widowControl/>
      </w:pPr>
      <w:r>
        <w:rPr>
          <w:rFonts w:ascii="Arial" w:hAnsi="Arial"/>
          <w:color w:val="1F2933"/>
          <w:sz w:val="17"/>
        </w:rPr>
        <w:t>Lopez-Rojas, E. A., Elmir, A., &amp; Axelsson, S. (2016). PaySim: A financial mobile money simulator for fraud detection. Proceedings of the 28th European Modeling and Simulation Symposium, 249–255.</w:t>
      </w:r>
    </w:p>
    <w:p>
      <w:pPr>
        <w:spacing w:after="80" w:line="252" w:lineRule="auto"/>
        <w:ind w:left="312" w:hanging="312"/>
        <w:widowControl/>
      </w:pPr>
      <w:r>
        <w:rPr>
          <w:rFonts w:ascii="Arial" w:hAnsi="Arial"/>
          <w:color w:val="1F2933"/>
          <w:sz w:val="17"/>
        </w:rPr>
        <w:t>Lundberg, S. M., &amp; Lee, S.-I. (2017). A unified approach to interpreting model predictions. Advances in Neural Information Processing Systems, 30.</w:t>
      </w:r>
    </w:p>
    <w:p>
      <w:pPr>
        <w:spacing w:after="80" w:line="252" w:lineRule="auto"/>
        <w:ind w:left="312" w:hanging="312"/>
        <w:widowControl/>
      </w:pPr>
      <w:r>
        <w:rPr>
          <w:rFonts w:ascii="Arial" w:hAnsi="Arial"/>
          <w:color w:val="1F2933"/>
          <w:sz w:val="17"/>
        </w:rPr>
        <w:t>Quantexa. (2025, September 16). Quantexa launches Cloud AML product for U.S. mid-size and community banks. https://www.quantexa.com/press/quantexa-launches-cloud-aml-product-for-u-s-mid-size-and-community-banks/</w:t>
      </w:r>
    </w:p>
    <w:p>
      <w:pPr>
        <w:spacing w:after="80" w:line="252" w:lineRule="auto"/>
        <w:ind w:left="312" w:hanging="312"/>
        <w:widowControl/>
      </w:pPr>
      <w:r>
        <w:rPr>
          <w:rFonts w:ascii="Arial" w:hAnsi="Arial"/>
          <w:color w:val="1F2933"/>
          <w:sz w:val="17"/>
        </w:rPr>
        <w:t>Saito, T., &amp; Rehmsmeier, M. (2015). The precision-recall plot is more informative than the ROC plot when evaluating binary classifiers on imbalanced datasets. PLOS ONE, 10(3), e0118432. https://doi.org/10.1371/journal.pone.0118432</w:t>
      </w:r>
    </w:p>
    <w:p>
      <w:pPr>
        <w:spacing w:after="80" w:line="252" w:lineRule="auto"/>
        <w:ind w:left="312" w:hanging="312"/>
        <w:widowControl/>
      </w:pPr>
      <w:r>
        <w:rPr>
          <w:rFonts w:ascii="Arial" w:hAnsi="Arial"/>
          <w:color w:val="1F2933"/>
          <w:sz w:val="17"/>
        </w:rPr>
        <w:t>Vorobyev, I., &amp; Krivitskaya, A. (2022). Reducing false positives in bank anti-fraud systems based on rule induction in distributed tree-based models. Computers &amp; Security, 120, 102786. https://doi.org/10.1016/j.cose.2022.102786</w:t>
      </w:r>
    </w:p>
    <w:p>
      <w:pPr>
        <w:spacing w:after="80" w:line="252" w:lineRule="auto"/>
        <w:ind w:left="312" w:hanging="312"/>
        <w:widowControl/>
      </w:pPr>
      <w:r>
        <w:rPr>
          <w:rFonts w:ascii="Arial" w:hAnsi="Arial"/>
          <w:color w:val="1F2933"/>
          <w:sz w:val="17"/>
        </w:rPr>
        <w:t>Wang, D., Chen, B., &amp; Chen, J. (2019). Credit card fraud detection strategies with consumer incentives. Omega, 88, 179–195. https://doi.org/10.1016/j.omega.2018.07.001</w:t>
      </w:r>
    </w:p>
    <w:p>
      <w:pPr>
        <w:spacing w:after="80" w:line="252" w:lineRule="auto"/>
        <w:ind w:left="312" w:hanging="312"/>
        <w:widowControl/>
      </w:pPr>
      <w:r>
        <w:rPr>
          <w:rFonts w:ascii="Arial" w:hAnsi="Arial"/>
          <w:color w:val="1F2933"/>
          <w:sz w:val="17"/>
        </w:rPr>
        <w:t>Ying, R., Bourgeois, D., You, J., Zitnik, M., &amp; Leskovec, J. (2019). GNNExplainer: Generating explanations for graph neural networks. Advances in Neural Information Processing Systems, 32.</w:t>
      </w:r>
    </w:p>
    <w:sectPr w:rsidR="00FC693F" w:rsidRPr="0006063C" w:rsidSect="00034616">
      <w:headerReference w:type="default" r:id="rId9"/>
      <w:footerReference w:type="default" r:id="rId10"/>
      <w:pgSz w:w="11906" w:h="16838"/>
      <w:pgMar w:top="1020"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67085"/>
        <w:sz w:val="16"/>
      </w:rPr>
      <w:t>Samsung Innovation Campus  ·  Ayşe Ulaşlı  ·  Gizem Özcan</w:t>
    </w:r>
  </w:p>
  <w:p>
    <w:pPr>
      <w:jc w:val="right"/>
    </w:pPr>
    <w:r>
      <w:rPr>
        <w:rFonts w:ascii="Arial" w:hAnsi="Arial"/>
        <w:color w:val="667085"/>
        <w:sz w:val="17"/>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085"/>
        <w:sz w:val="16"/>
      </w:rPr>
      <w:t>ARGUS AI  ·  Konsept Notu ve Uygulama Planı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AI - Konsept Notu ve Uygulama Planı</dc:title>
  <dc:subject>Pazarlamada Yapay Zekâ Capstone Projesi</dc:subject>
  <dc:creator>Ayşe Ulaşlı; Gizem Özcan</dc:creator>
  <cp:keywords>ARGUS AI, AI in Marketing, AML, graph neural networks, customer experience</cp:keywords>
  <dc:description>generated by python-docx</dc:description>
  <cp:lastModifiedBy/>
  <cp:revision>1</cp:revision>
  <dcterms:created xsi:type="dcterms:W3CDTF">2013-12-23T23:15:00Z</dcterms:created>
  <dcterms:modified xsi:type="dcterms:W3CDTF">2013-12-23T23:15:00Z</dcterms:modified>
  <cp:category/>
</cp:coreProperties>
</file>