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120" w:after="100" w:line="240" w:lineRule="auto"/>
      </w:pPr>
      <w:r>
        <w:rPr>
          <w:rFonts w:ascii="Inter" w:hAnsi="Inter" w:eastAsia="Inter"/>
          <w:b/>
          <w:color w:val="16868C"/>
          <w:sz w:val="18"/>
        </w:rPr>
        <w:t>SAMSUNG &amp; UNDP INNOVATION CAMPUS  •  AI IN MARKETING CAPSTONE</w:t>
      </w:r>
    </w:p>
    <w:tbl>
      <w:tblPr>
        <w:tblW w:type="auto" w:w="0"/>
        <w:jc w:val="center"/>
        <w:tblLayout w:type="fixed"/>
        <w:tblLook w:firstColumn="1" w:firstRow="1" w:lastColumn="0" w:lastRow="0" w:noHBand="0" w:noVBand="1" w:val="04A0"/>
      </w:tblPr>
      <w:tblGrid>
        <w:gridCol w:w="9866"/>
      </w:tblGrid>
      <w:tr>
        <w:tc>
          <w:tcPr>
            <w:tcW w:type="dxa" w:w="9432"/>
            <w:tcBorders>
              <w:top w:val="nil"/>
              <w:start w:val="nil"/>
              <w:bottom w:val="nil"/>
              <w:end w:val="nil"/>
              <w:insideH w:val="nil"/>
              <w:insideV w:val="nil"/>
            </w:tcBorders>
            <w:shd w:fill="173B57"/>
            <w:tcMar>
              <w:top w:w="520" w:type="dxa"/>
              <w:start w:w="360" w:type="dxa"/>
              <w:bottom w:w="520" w:type="dxa"/>
              <w:end w:w="360" w:type="dxa"/>
            </w:tcMar>
          </w:tcPr>
          <w:p>
            <w:pPr>
              <w:keepNext w:val="0"/>
              <w:widowControl/>
              <w:spacing w:before="0" w:after="100" w:line="240" w:lineRule="auto"/>
            </w:pPr>
            <w:r>
              <w:rPr>
                <w:rFonts w:ascii="Inter Display" w:hAnsi="Inter Display" w:eastAsia="Inter Display"/>
                <w:b/>
                <w:color w:val="FFFFFF"/>
                <w:sz w:val="58"/>
              </w:rPr>
              <w:t>CHARGESHIELD</w:t>
            </w:r>
          </w:p>
          <w:p>
            <w:pPr>
              <w:keepNext w:val="0"/>
              <w:widowControl/>
              <w:spacing w:before="0" w:after="120" w:line="252" w:lineRule="auto"/>
            </w:pPr>
            <w:r>
              <w:rPr>
                <w:rFonts w:ascii="Inter Display" w:hAnsi="Inter Display" w:eastAsia="Inter Display"/>
                <w:b/>
                <w:color w:val="FFFFFF"/>
                <w:sz w:val="35"/>
              </w:rPr>
              <w:t>Sanal POS Üye İşyerleri İçin Açıklanabilir</w:t>
              <w:br/>
              <w:t>Çok Ufuklu Risk Erken Uyarı Sistemi</w:t>
            </w:r>
          </w:p>
          <w:p>
            <w:pPr>
              <w:keepNext w:val="0"/>
              <w:widowControl/>
              <w:spacing w:before="0" w:after="0" w:line="240" w:lineRule="auto"/>
            </w:pPr>
            <w:r>
              <w:rPr>
                <w:rFonts w:ascii="Inter" w:hAnsi="Inter" w:eastAsia="Inter"/>
                <w:b/>
                <w:color w:val="BFE2E4"/>
                <w:sz w:val="23"/>
              </w:rPr>
              <w:t>Concept Note and Implementation Plan</w:t>
            </w:r>
          </w:p>
        </w:tc>
      </w:tr>
    </w:tbl>
    <w:p>
      <w:pPr>
        <w:keepNext w:val="0"/>
        <w:widowControl/>
        <w:spacing w:before="240" w:after="280" w:line="283" w:lineRule="auto"/>
        <w:jc w:val="center"/>
      </w:pPr>
      <w:r>
        <w:rPr>
          <w:rFonts w:ascii="Inter" w:hAnsi="Inter" w:eastAsia="Inter"/>
          <w:b w:val="0"/>
          <w:i w:val="0"/>
          <w:color w:val="243443"/>
          <w:sz w:val="20"/>
        </w:rPr>
        <w:t>Bankaların ve ödeme hizmeti sağlayıcılarının sanal POS merchant portföylerinde 7, 15 ve 30 günlük risk ile beklenen tahsil edilemeyen exposure’ı önceden değerlendiren insan gözetimli karar destek PoC’si.</w:t>
      </w:r>
    </w:p>
    <w:p>
      <w:pPr>
        <w:keepNext/>
        <w:widowControl/>
        <w:spacing w:before="40" w:after="40" w:line="240" w:lineRule="auto"/>
      </w:pPr>
      <w:r>
        <w:rPr>
          <w:rFonts w:ascii="Inter" w:hAnsi="Inter" w:eastAsia="Inter"/>
          <w:b/>
          <w:color w:val="16868C"/>
          <w:sz w:val="16"/>
        </w:rPr>
        <w:t>PROJE BILGILERI</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671"/>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8"/>
              </w:rPr>
              <w:t>Ekip Üyesi</w:t>
            </w:r>
          </w:p>
        </w:tc>
        <w:tc>
          <w:tcPr>
            <w:tcW w:type="dxa" w:w="5760"/>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8"/>
              </w:rPr>
              <w:t>Bölüm</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8"/>
              </w:rPr>
              <w:t>Eda Vural</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8"/>
              </w:rPr>
              <w:t>Yazılım Mühendisliği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8"/>
              </w:rPr>
              <w:t>Ayşe Lermi</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8"/>
              </w:rPr>
              <w:t>Endüstri Mühendisliği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8"/>
              </w:rPr>
              <w:t>Alperen Manas</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8"/>
              </w:rPr>
              <w:t>Bilgisayar Mühendisliği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8"/>
              </w:rPr>
              <w:t>Ali Gökçe</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8"/>
              </w:rPr>
              <w:t>Yapay Zekâ ve Veri Mühendisliği</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FFF5DB"/>
              <w:start w:val="single" w:sz="28" w:color="C28B24"/>
              <w:bottom w:val="single" w:sz="4" w:color="FFF5DB"/>
              <w:end w:val="single" w:sz="4" w:color="FFF5DB"/>
              <w:insideH w:val="nil"/>
              <w:insideV w:val="nil"/>
            </w:tcBorders>
            <w:shd w:fill="FFF5DB"/>
            <w:tcMar>
              <w:top w:w="130" w:type="dxa"/>
              <w:start w:w="190" w:type="dxa"/>
              <w:bottom w:w="130" w:type="dxa"/>
              <w:end w:w="170" w:type="dxa"/>
            </w:tcMar>
            <w:vAlign w:val="center"/>
          </w:tcPr>
          <w:p>
            <w:r>
              <w:t>Teslim tarihleri</w:t>
              <w:br/>
              <w:t>Bu Concept Note &amp; Implementation Plan belgesi 23 Ağustos 2026, 23:59 (İstanbul) itibarıyla teslim edilir. Belgede planlanan çalışan ChargeShield PoC'si, değerlendirme çıktıları, Streamlit demo, sunum ve GitHub final paketi ise capstone teslim tarihi olan 18 Eylül 2026, 23:59 (İstanbul) itibarıyla tamamlanmış olacaktır.</w:t>
            </w:r>
          </w:p>
        </w:tc>
      </w:tr>
    </w:tbl>
    <w:p>
      <w:pPr>
        <w:keepNext w:val="0"/>
        <w:widowControl/>
        <w:spacing w:before="0" w:after="20" w:line="240" w:lineRule="auto"/>
      </w:pPr>
    </w:p>
    <w:p>
      <w:pPr>
        <w:keepNext w:val="0"/>
        <w:widowControl/>
        <w:spacing w:before="180" w:after="0" w:line="240" w:lineRule="auto"/>
        <w:jc w:val="center"/>
      </w:pPr>
      <w:r>
        <w:rPr>
          <w:rFonts w:ascii="Inter" w:hAnsi="Inter" w:eastAsia="Inter"/>
          <w:color w:val="5D6B78"/>
          <w:sz w:val="17"/>
        </w:rPr>
        <w:t>Sürüm 1.0  •  22 Ağustos 2026</w:t>
      </w:r>
    </w:p>
    <w:p>
      <w:r>
        <w:rPr>
          <w:rFonts w:ascii="Inter" w:hAnsi="Inter" w:eastAsia="Inter"/>
          <w:color w:val="243443"/>
          <w:sz w:val="19"/>
        </w:rPr>
        <w:br w:type="page"/>
      </w:r>
    </w:p>
    <w:p>
      <w:pPr>
        <w:keepNext/>
        <w:widowControl/>
        <w:spacing w:before="40" w:after="40" w:line="240" w:lineRule="auto"/>
      </w:pPr>
      <w:r>
        <w:rPr>
          <w:rFonts w:ascii="Inter" w:hAnsi="Inter" w:eastAsia="Inter"/>
          <w:b/>
          <w:color w:val="16868C"/>
          <w:sz w:val="16"/>
        </w:rPr>
        <w:t>YÖNETICI ÖZETI</w:t>
      </w:r>
    </w:p>
    <w:p>
      <w:pPr>
        <w:keepNext/>
        <w:widowControl/>
        <w:spacing w:before="280" w:after="120" w:line="240" w:lineRule="auto"/>
      </w:pPr>
      <w:r>
        <w:rPr>
          <w:rFonts w:ascii="Inter Display" w:hAnsi="Inter Display" w:eastAsia="Inter Display"/>
          <w:b/>
          <w:color w:val="173B57"/>
          <w:sz w:val="34"/>
        </w:rPr>
        <w:t>Projenin Konumu ve Temel Kararlar</w:t>
      </w:r>
    </w:p>
    <w:p>
      <w:pPr>
        <w:keepNext w:val="0"/>
        <w:widowControl/>
        <w:spacing w:before="0" w:after="140" w:line="278" w:lineRule="auto"/>
        <w:jc w:val="left"/>
      </w:pPr>
      <w:r>
        <w:rPr>
          <w:rFonts w:ascii="Inter" w:hAnsi="Inter" w:eastAsia="Inter"/>
          <w:b/>
          <w:i w:val="0"/>
          <w:color w:val="173B57"/>
          <w:sz w:val="20"/>
        </w:rPr>
        <w:t>ChargeShield</w:t>
      </w:r>
      <w:r>
        <w:rPr>
          <w:rFonts w:ascii="Inter" w:hAnsi="Inter" w:eastAsia="Inter"/>
          <w:b w:val="0"/>
          <w:i w:val="0"/>
          <w:color w:val="243443"/>
          <w:sz w:val="20"/>
        </w:rPr>
        <w:t xml:space="preserve">, tekil bir kart işleminin sahte olup olmadığını sınıflandıran klasik fraud modeli değildir. Sistem, bankanın B2B müşterisi olan sanal POS üye işyerinin zaman içindeki davranış bozulmasını izler; önümüzdeki </w:t>
      </w:r>
      <w:r>
        <w:rPr>
          <w:rFonts w:ascii="Inter" w:hAnsi="Inter" w:eastAsia="Inter"/>
          <w:b/>
          <w:i w:val="0"/>
          <w:color w:val="16868C"/>
          <w:sz w:val="20"/>
        </w:rPr>
        <w:t>7, 15 ve 30 gün</w:t>
      </w:r>
      <w:r>
        <w:rPr>
          <w:rFonts w:ascii="Inter" w:hAnsi="Inter" w:eastAsia="Inter"/>
          <w:b w:val="0"/>
          <w:i w:val="0"/>
          <w:color w:val="243443"/>
          <w:sz w:val="20"/>
        </w:rPr>
        <w:t xml:space="preserve"> içinde ciddi merchant adverse event oluşma olasılığını ve bankada kalabilecek beklenen net exposure’ı tahmin etmeyi amaçlar.</w:t>
      </w:r>
    </w:p>
    <w:tbl>
      <w:tblPr>
        <w:tblW w:type="auto" w:w="0"/>
        <w:jc w:val="center"/>
        <w:tblLayout w:type="fixed"/>
        <w:tblLook w:firstColumn="1" w:firstRow="1" w:lastColumn="0" w:lastRow="0" w:noHBand="0" w:noVBand="1" w:val="04A0"/>
      </w:tblPr>
      <w:tblGrid>
        <w:gridCol w:w="9866"/>
      </w:tblGrid>
      <w:tr>
        <w:tc>
          <w:tcPr>
            <w:tcW w:type="dxa" w:w="9432"/>
            <w:tcBorders>
              <w:top w:val="single" w:sz="4" w:color="EAF2F8"/>
              <w:start w:val="single" w:sz="28" w:color="2D6F9F"/>
              <w:bottom w:val="single" w:sz="4" w:color="EAF2F8"/>
              <w:end w:val="single" w:sz="4" w:color="EAF2F8"/>
              <w:insideH w:val="nil"/>
              <w:insideV w:val="nil"/>
            </w:tcBorders>
            <w:shd w:fill="EAF2F8"/>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173B57"/>
                <w:sz w:val="19"/>
              </w:rPr>
              <w:t>Kritik finansal ayrım</w:t>
            </w:r>
          </w:p>
          <w:p>
            <w:pPr>
              <w:keepNext w:val="0"/>
              <w:widowControl/>
              <w:spacing w:before="0" w:after="0" w:line="269" w:lineRule="auto"/>
            </w:pPr>
            <w:r>
              <w:rPr>
                <w:rFonts w:ascii="Inter" w:hAnsi="Inter" w:eastAsia="Inter"/>
                <w:color w:val="243443"/>
                <w:sz w:val="18"/>
              </w:rPr>
              <w:t>Her chargeback bankanın doğrudan zararı değildir. PoC ekonomik hedefi: Net tahsil edilemeyen zarar = max(0, doğrulanmış yükümlülük - merchant bakiyesi üzerinden tahsilat - reserve - held settlement - diğer recovery). Model, bu kalan exposure’ı önceden önceliklendirmeye çalışır.</w:t>
            </w:r>
          </w:p>
        </w:tc>
      </w:tr>
    </w:tbl>
    <w:p>
      <w:pPr>
        <w:keepNext w:val="0"/>
        <w:widowControl/>
        <w:spacing w:before="0" w:after="20" w:line="240" w:lineRule="auto"/>
      </w:pPr>
    </w:p>
    <w:tbl>
      <w:tblPr>
        <w:tblW w:type="auto" w:w="0"/>
        <w:jc w:val="center"/>
        <w:tblLayout w:type="fixed"/>
        <w:tblLook w:firstColumn="1" w:firstRow="1" w:lastColumn="0" w:lastRow="0" w:noHBand="0" w:noVBand="1" w:val="04A0"/>
      </w:tblPr>
      <w:tblGrid>
        <w:gridCol w:w="4933"/>
        <w:gridCol w:w="4933"/>
      </w:tblGrid>
      <w:tr>
        <w:tc>
          <w:tcPr>
            <w:tcW w:type="dxa" w:w="4636"/>
            <w:tcBorders>
              <w:top w:val="single" w:sz="7" w:color="2D6F9F"/>
              <w:start w:val="single" w:sz="7" w:color="2D6F9F"/>
              <w:bottom w:val="single" w:sz="7" w:color="2D6F9F"/>
              <w:end w:val="single" w:sz="7" w:color="2D6F9F"/>
              <w:insideH w:val="nil"/>
              <w:insideV w:val="nil"/>
            </w:tcBorders>
            <w:tcMar>
              <w:top w:w="90" w:type="dxa"/>
              <w:start w:w="105" w:type="dxa"/>
              <w:bottom w:w="90" w:type="dxa"/>
              <w:end w:w="105" w:type="dxa"/>
            </w:tcMar>
            <w:shd w:fill="EAF2F8"/>
          </w:tcPr>
          <w:p>
            <w:pPr>
              <w:keepNext w:val="0"/>
              <w:widowControl/>
              <w:spacing w:before="0" w:after="40" w:line="240" w:lineRule="auto"/>
            </w:pPr>
            <w:r>
              <w:rPr>
                <w:rFonts w:ascii="Inter" w:hAnsi="Inter" w:eastAsia="Inter"/>
                <w:b/>
                <w:color w:val="2D6F9F"/>
                <w:sz w:val="18"/>
              </w:rPr>
              <w:t>Hedef kullanıcı</w:t>
            </w:r>
          </w:p>
          <w:p>
            <w:pPr>
              <w:keepNext w:val="0"/>
              <w:widowControl/>
              <w:spacing w:before="0" w:after="0" w:line="269" w:lineRule="auto"/>
            </w:pPr>
            <w:r>
              <w:rPr>
                <w:rFonts w:ascii="Inter" w:hAnsi="Inter" w:eastAsia="Inter"/>
                <w:color w:val="243443"/>
                <w:sz w:val="17"/>
              </w:rPr>
              <w:t>Acquiring, merchant risk, chargeback, fraud, uyum ve portföy yönetimi ekipleri.</w:t>
            </w:r>
          </w:p>
        </w:tc>
        <w:tc>
          <w:tcPr>
            <w:tcW w:type="dxa" w:w="4636"/>
            <w:tcBorders>
              <w:top w:val="single" w:sz="7" w:color="16868C"/>
              <w:start w:val="single" w:sz="7" w:color="16868C"/>
              <w:bottom w:val="single" w:sz="7" w:color="16868C"/>
              <w:end w:val="single" w:sz="7" w:color="16868C"/>
              <w:insideH w:val="nil"/>
              <w:insideV w:val="nil"/>
            </w:tcBorders>
            <w:tcMar>
              <w:top w:w="90" w:type="dxa"/>
              <w:start w:w="105" w:type="dxa"/>
              <w:bottom w:w="90" w:type="dxa"/>
              <w:end w:w="105" w:type="dxa"/>
            </w:tcMar>
            <w:shd w:fill="E8F5F4"/>
          </w:tcPr>
          <w:p>
            <w:pPr>
              <w:keepNext w:val="0"/>
              <w:widowControl/>
              <w:spacing w:before="0" w:after="40" w:line="240" w:lineRule="auto"/>
            </w:pPr>
            <w:r>
              <w:rPr>
                <w:rFonts w:ascii="Inter" w:hAnsi="Inter" w:eastAsia="Inter"/>
                <w:b/>
                <w:color w:val="16868C"/>
                <w:sz w:val="18"/>
              </w:rPr>
              <w:t>Ana karar</w:t>
            </w:r>
          </w:p>
          <w:p>
            <w:pPr>
              <w:keepNext w:val="0"/>
              <w:widowControl/>
              <w:spacing w:before="0" w:after="0" w:line="269" w:lineRule="auto"/>
            </w:pPr>
            <w:r>
              <w:rPr>
                <w:rFonts w:ascii="Inter" w:hAnsi="Inter" w:eastAsia="Inter"/>
                <w:color w:val="243443"/>
                <w:sz w:val="17"/>
              </w:rPr>
              <w:t>Bugün hangi merchant sınırlı analist kapasitesinde önce incelenmeli?</w:t>
            </w:r>
          </w:p>
        </w:tc>
      </w:tr>
      <w:tr>
        <w:tc>
          <w:tcPr>
            <w:tcW w:type="dxa" w:w="4636"/>
            <w:tcBorders>
              <w:top w:val="single" w:sz="7" w:color="2F7D63"/>
              <w:start w:val="single" w:sz="7" w:color="2F7D63"/>
              <w:bottom w:val="single" w:sz="7" w:color="2F7D63"/>
              <w:end w:val="single" w:sz="7" w:color="2F7D63"/>
              <w:insideH w:val="nil"/>
              <w:insideV w:val="nil"/>
            </w:tcBorders>
            <w:tcMar>
              <w:top w:w="90" w:type="dxa"/>
              <w:start w:w="105" w:type="dxa"/>
              <w:bottom w:w="90" w:type="dxa"/>
              <w:end w:w="105" w:type="dxa"/>
            </w:tcMar>
            <w:shd w:fill="EAF5EF"/>
          </w:tcPr>
          <w:p>
            <w:pPr>
              <w:keepNext w:val="0"/>
              <w:widowControl/>
              <w:spacing w:before="0" w:after="40" w:line="240" w:lineRule="auto"/>
            </w:pPr>
            <w:r>
              <w:rPr>
                <w:rFonts w:ascii="Inter" w:hAnsi="Inter" w:eastAsia="Inter"/>
                <w:b/>
                <w:color w:val="2F7D63"/>
                <w:sz w:val="18"/>
              </w:rPr>
              <w:t>Çıktı</w:t>
            </w:r>
          </w:p>
          <w:p>
            <w:pPr>
              <w:keepNext w:val="0"/>
              <w:widowControl/>
              <w:spacing w:before="0" w:after="0" w:line="269" w:lineRule="auto"/>
            </w:pPr>
            <w:r>
              <w:rPr>
                <w:rFonts w:ascii="Inter" w:hAnsi="Inter" w:eastAsia="Inter"/>
                <w:color w:val="243443"/>
                <w:sz w:val="17"/>
              </w:rPr>
              <w:t>P7, P15, P30; beklenen net exposure; reason code; kanıt ve aciliyet.</w:t>
            </w:r>
          </w:p>
        </w:tc>
        <w:tc>
          <w:tcPr>
            <w:tcW w:type="dxa" w:w="4636"/>
            <w:tcBorders>
              <w:top w:val="single" w:sz="7" w:color="B24B4B"/>
              <w:start w:val="single" w:sz="7" w:color="B24B4B"/>
              <w:bottom w:val="single" w:sz="7" w:color="B24B4B"/>
              <w:end w:val="single" w:sz="7" w:color="B24B4B"/>
              <w:insideH w:val="nil"/>
              <w:insideV w:val="nil"/>
            </w:tcBorders>
            <w:tcMar>
              <w:top w:w="90" w:type="dxa"/>
              <w:start w:w="105" w:type="dxa"/>
              <w:bottom w:w="90" w:type="dxa"/>
              <w:end w:w="105" w:type="dxa"/>
            </w:tcMar>
            <w:shd w:fill="FBEDEE"/>
          </w:tcPr>
          <w:p>
            <w:pPr>
              <w:keepNext w:val="0"/>
              <w:widowControl/>
              <w:spacing w:before="0" w:after="40" w:line="240" w:lineRule="auto"/>
            </w:pPr>
            <w:r>
              <w:rPr>
                <w:rFonts w:ascii="Inter" w:hAnsi="Inter" w:eastAsia="Inter"/>
                <w:b/>
                <w:color w:val="B24B4B"/>
                <w:sz w:val="18"/>
              </w:rPr>
              <w:t>Koruma sınırı</w:t>
            </w:r>
          </w:p>
          <w:p>
            <w:pPr>
              <w:keepNext w:val="0"/>
              <w:widowControl/>
              <w:spacing w:before="0" w:after="0" w:line="269" w:lineRule="auto"/>
            </w:pPr>
            <w:r>
              <w:rPr>
                <w:rFonts w:ascii="Inter" w:hAnsi="Inter" w:eastAsia="Inter"/>
                <w:color w:val="243443"/>
                <w:sz w:val="17"/>
              </w:rPr>
              <w:t>Otomatik POS kapatma veya otomatik olumsuz karar yok; insan analist ve audit kaydı zorunlu.</w:t>
            </w:r>
          </w:p>
        </w:tc>
      </w:tr>
    </w:tbl>
    <w:p>
      <w:pPr>
        <w:keepNext w:val="0"/>
        <w:widowControl/>
        <w:spacing w:before="0" w:after="20" w:line="240" w:lineRule="auto"/>
      </w:pPr>
    </w:p>
    <w:p>
      <w:pPr>
        <w:keepNext/>
        <w:widowControl/>
        <w:spacing w:before="180" w:after="80" w:line="240" w:lineRule="auto"/>
      </w:pPr>
      <w:r>
        <w:rPr>
          <w:rFonts w:ascii="Inter Display" w:hAnsi="Inter Display" w:eastAsia="Inter Display"/>
          <w:b/>
          <w:color w:val="2D6F9F"/>
          <w:sz w:val="25"/>
        </w:rPr>
        <w:t>PoC Kapsam Kararı</w:t>
      </w:r>
    </w:p>
    <w:p>
      <w:pPr>
        <w:pStyle w:val="ListBullet"/>
        <w:keepNext w:val="0"/>
        <w:widowControl/>
        <w:spacing w:before="0" w:after="60" w:line="264" w:lineRule="auto"/>
      </w:pPr>
      <w:r>
        <w:rPr>
          <w:rFonts w:ascii="Inter" w:hAnsi="Inter" w:eastAsia="Inter"/>
          <w:color w:val="243443"/>
          <w:sz w:val="18"/>
        </w:rPr>
        <w:t>Birincil senaryo: merchant ödeme almaya devam ederken ürün/hizmet sunamaz; şikâyet ve iade talepleri yükselir; chargeback daha sonra gelir ve recovery yetersiz kalır.</w:t>
      </w:r>
    </w:p>
    <w:p>
      <w:pPr>
        <w:pStyle w:val="ListBullet"/>
        <w:keepNext w:val="0"/>
        <w:widowControl/>
        <w:spacing w:before="0" w:after="60" w:line="264" w:lineRule="auto"/>
      </w:pPr>
      <w:r>
        <w:rPr>
          <w:rFonts w:ascii="Inter" w:hAnsi="Inter" w:eastAsia="Inter"/>
          <w:color w:val="243443"/>
          <w:sz w:val="18"/>
        </w:rPr>
        <w:t>İkincil senaryo: finansal kötüleşme; payout davranışı hızlanır, bakiye ve reserve coverage zayıflar, refund/dispute baskısı artar.</w:t>
      </w:r>
    </w:p>
    <w:p>
      <w:pPr>
        <w:pStyle w:val="ListBullet"/>
        <w:keepNext w:val="0"/>
        <w:widowControl/>
        <w:spacing w:before="0" w:after="60" w:line="264" w:lineRule="auto"/>
      </w:pPr>
      <w:r>
        <w:rPr>
          <w:rFonts w:ascii="Inter" w:hAnsi="Inter" w:eastAsia="Inter"/>
          <w:color w:val="243443"/>
          <w:sz w:val="18"/>
        </w:rPr>
        <w:t>İlk PoC dışında: transaction laundering, card testing ve gelişmiş collusive fraud. Bu senaryolar ağ, cihaz, kimlik ve uyum verisi gerektirdiği için gelecekteki genişleme alanıdır.</w:t>
      </w:r>
    </w:p>
    <w:tbl>
      <w:tblPr>
        <w:tblW w:type="auto" w:w="0"/>
        <w:jc w:val="center"/>
        <w:tblLayout w:type="fixed"/>
        <w:tblLook w:firstColumn="1" w:firstRow="1" w:lastColumn="0" w:lastRow="0" w:noHBand="0" w:noVBand="1" w:val="04A0"/>
      </w:tblPr>
      <w:tblGrid>
        <w:gridCol w:w="9866"/>
      </w:tblGrid>
      <w:tr>
        <w:tc>
          <w:tcPr>
            <w:tcW w:type="dxa" w:w="9432"/>
            <w:tcBorders>
              <w:top w:val="single" w:sz="4" w:color="E8F5F4"/>
              <w:start w:val="single" w:sz="28" w:color="16868C"/>
              <w:bottom w:val="single" w:sz="4" w:color="E8F5F4"/>
              <w:end w:val="single" w:sz="4" w:color="E8F5F4"/>
              <w:insideH w:val="nil"/>
              <w:insideV w:val="nil"/>
            </w:tcBorders>
            <w:shd w:fill="E8F5F4"/>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16868C"/>
                <w:sz w:val="19"/>
              </w:rPr>
              <w:t>Savunulabilir farklılaşma</w:t>
            </w:r>
          </w:p>
          <w:p>
            <w:pPr>
              <w:keepNext w:val="0"/>
              <w:widowControl/>
              <w:spacing w:before="0" w:after="0" w:line="269" w:lineRule="auto"/>
            </w:pPr>
            <w:r>
              <w:rPr>
                <w:rFonts w:ascii="Inter" w:hAnsi="Inter" w:eastAsia="Inter"/>
                <w:color w:val="243443"/>
                <w:sz w:val="18"/>
              </w:rPr>
              <w:t>Pazarın “ilk merchant risk skoru” olmak değil; bankanın kendi settlement, reserve, recovery ve müşteri sesi sinyallerini 7/15/30 günlük ufuklarda birleştirerek beklenen net exposure ve açıklanabilir analist önceliği üretmektir.</w:t>
            </w:r>
          </w:p>
        </w:tc>
      </w:tr>
    </w:tbl>
    <w:p>
      <w:pPr>
        <w:keepNext w:val="0"/>
        <w:widowControl/>
        <w:spacing w:before="0" w:after="20" w:line="240" w:lineRule="auto"/>
      </w:pPr>
    </w:p>
    <w:p>
      <w:r>
        <w:rPr>
          <w:rFonts w:ascii="Inter" w:hAnsi="Inter" w:eastAsia="Inter"/>
          <w:color w:val="243443"/>
          <w:sz w:val="19"/>
        </w:rPr>
        <w:br w:type="page"/>
      </w:r>
    </w:p>
    <w:p>
      <w:pPr>
        <w:keepNext/>
        <w:widowControl/>
        <w:spacing w:before="40" w:after="40" w:line="240" w:lineRule="auto"/>
      </w:pPr>
      <w:r>
        <w:rPr>
          <w:rFonts w:ascii="Inter" w:hAnsi="Inter" w:eastAsia="Inter"/>
          <w:b/>
          <w:color w:val="16868C"/>
          <w:sz w:val="16"/>
        </w:rPr>
        <w:t>CONCEPT NOTE</w:t>
      </w:r>
    </w:p>
    <w:p>
      <w:pPr>
        <w:keepNext/>
        <w:widowControl/>
        <w:spacing w:before="280" w:after="120" w:line="240" w:lineRule="auto"/>
      </w:pPr>
      <w:r>
        <w:rPr>
          <w:rFonts w:ascii="Inter Display" w:hAnsi="Inter Display" w:eastAsia="Inter Display"/>
          <w:b/>
          <w:color w:val="16868C"/>
          <w:sz w:val="34"/>
        </w:rPr>
        <w:t xml:space="preserve">1  </w:t>
      </w:r>
      <w:r>
        <w:rPr>
          <w:rFonts w:ascii="Inter Display" w:hAnsi="Inter Display" w:eastAsia="Inter Display"/>
          <w:b/>
          <w:color w:val="173B57"/>
          <w:sz w:val="34"/>
        </w:rPr>
        <w:t>Proje Özeti</w:t>
      </w:r>
    </w:p>
    <w:p>
      <w:pPr>
        <w:keepNext w:val="0"/>
        <w:widowControl/>
        <w:spacing w:before="0" w:after="140" w:line="271" w:lineRule="auto"/>
        <w:jc w:val="left"/>
      </w:pPr>
      <w:r>
        <w:rPr>
          <w:rFonts w:ascii="Inter" w:hAnsi="Inter" w:eastAsia="Inter"/>
          <w:b w:val="0"/>
          <w:i w:val="0"/>
          <w:color w:val="243443"/>
          <w:sz w:val="19"/>
        </w:rPr>
        <w:t>ChargeShield, bankalar ve ödeme hizmeti sağlayıcıları için sanal POS üye işyerlerini merchant × gün düzeyinde izleyen açıklanabilir bir erken uyarı karar destek sistemidir. İşlem, iade, settlement/payout, dispute/chargeback, reserve ve recovery göstergeleri ana sinyal kaynağıdır. Müşteri yorumları ve şikâyetleri ise “hizmet verilmedi”, “iade yapılmadı”, “işletmeye ulaşılamıyor” ve “müşteri oyalanıyor” gibi erken bozulma konularını yardımcı özelliklere dönüştürür.</w:t>
      </w:r>
    </w:p>
    <w:p>
      <w:pPr>
        <w:keepNext w:val="0"/>
        <w:widowControl/>
        <w:spacing w:before="0" w:after="140" w:line="271" w:lineRule="auto"/>
        <w:jc w:val="left"/>
      </w:pPr>
      <w:r>
        <w:rPr>
          <w:rFonts w:ascii="Inter" w:hAnsi="Inter" w:eastAsia="Inter"/>
          <w:b w:val="0"/>
          <w:i w:val="0"/>
          <w:color w:val="243443"/>
          <w:sz w:val="19"/>
        </w:rPr>
        <w:t>Sistem her gün merchant bazında üç risk olasılığı üretir: önümüzdeki 7, 15 ve 30 gün içinde ciddi adverse event oluşma olasılığı. Ayrı bir zarar/recovery katmanı olay gerçekleşirse beklenen net exposure’ı tahmin eder. Çıktı yalnızca analist kuyruğu, kanıt, reason code ve aksiyon önerisidir; otomatik termination veya POS kapatma yapılmaz. PoC’de gerçek banka sonucu iddia edilmeyecek, bütün sentetik metrikler “simulation/illustrative” olarak işaretlenecektir.</w:t>
      </w:r>
    </w:p>
    <w:p>
      <w:pPr>
        <w:keepNext/>
        <w:widowControl/>
        <w:spacing w:before="180" w:after="80" w:line="240" w:lineRule="auto"/>
      </w:pPr>
      <w:r>
        <w:rPr>
          <w:rFonts w:ascii="Inter Display" w:hAnsi="Inter Display" w:eastAsia="Inter Display"/>
          <w:b/>
          <w:color w:val="2D6F9F"/>
          <w:sz w:val="25"/>
        </w:rPr>
        <w:t>Pazarlama Bağlamı</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7"/>
              </w:rPr>
              <w:t>Bağlam</w:t>
            </w:r>
          </w:p>
        </w:tc>
        <w:tc>
          <w:tcPr>
            <w:tcW w:type="dxa" w:w="7056"/>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7"/>
              </w:rPr>
              <w:t>ChargeShield karşılığı</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Ürün/hizmet</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Bankanın sanal POS / acquiring hizmeti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B2B müşteri</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Sanal POS kullanan merchant; kart hamili dolaylı güven paydaşıdır</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Müşteri yolculuğu</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Onboarding sonrası aktivasyon, sürekli kullanım, ilişki yönetimi ve retention</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Karar kanalı</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Risk dashboard’u, case-management kuyruğu ve relationship manager iş akışı</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Pazarlama aksiyonu</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Proaktif merchant teması, destek, inceleme veya settlement/reserve politika değerlendirmesi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Ölçülebilir değer</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Sağlıklı merchant’ı gereksiz kısıtlamadan riskli exposure’ı daha erken yakalama</w:t>
            </w:r>
          </w:p>
        </w:tc>
      </w:tr>
    </w:tbl>
    <w:p>
      <w:pPr>
        <w:keepNext/>
        <w:widowControl/>
        <w:spacing w:before="280" w:after="120" w:line="240" w:lineRule="auto"/>
      </w:pPr>
      <w:r>
        <w:rPr>
          <w:rFonts w:ascii="Inter Display" w:hAnsi="Inter Display" w:eastAsia="Inter Display"/>
          <w:b/>
          <w:color w:val="16868C"/>
          <w:sz w:val="34"/>
        </w:rPr>
        <w:t xml:space="preserve">2  </w:t>
      </w:r>
      <w:r>
        <w:rPr>
          <w:rFonts w:ascii="Inter Display" w:hAnsi="Inter Display" w:eastAsia="Inter Display"/>
          <w:b/>
          <w:color w:val="173B57"/>
          <w:sz w:val="34"/>
        </w:rPr>
        <w:t>Hedefler ve Pazarlama KPI’ları</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648"/>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No</w:t>
            </w:r>
          </w:p>
        </w:tc>
        <w:tc>
          <w:tcPr>
            <w:tcW w:type="dxa" w:w="5112"/>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Teknik hedef</w:t>
            </w:r>
          </w:p>
        </w:tc>
        <w:tc>
          <w:tcPr>
            <w:tcW w:type="dxa" w:w="3671"/>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Pazarlama/iş karşılığı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O1</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Merchant bazında 7/15/30 günlük adverse-event olasılıklarını üretmek.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Erken ve kademeli müdahale zamanı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O2</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Risk olasılığını beklenen zarar ve recovery ile birleştirip expected net exposure hesaplamak.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Portföy önceliğini finansal değere bağlamak</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O3</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Banka-only model ile banka + müşteri sesi modelini ablation ile karşılaştırmak.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Müşteri geri bildiriminin ek değerini ölçmek</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O4</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Reason code, SHAP ve kanıt cümlesiyle açıklanabilir analist kuyruğu sunmak.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Güven, denetlenebilirlik ve doğru ilişki aksiyonu</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O5</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Başarıyı sabit analist kapasitesi ve ekonomik yakalama altında değerlendirmek.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Gerçek operasyon bütçesine yakın karar kalitesi</w:t>
            </w:r>
          </w:p>
        </w:tc>
      </w:tr>
    </w:tbl>
    <w:p>
      <w:r>
        <w:rPr>
          <w:rFonts w:ascii="Inter" w:hAnsi="Inter" w:eastAsia="Inter"/>
          <w:color w:val="243443"/>
          <w:sz w:val="19"/>
        </w:rPr>
        <w:br w:type="page"/>
      </w:r>
    </w:p>
    <w:p>
      <w:pPr>
        <w:keepNext/>
        <w:widowControl/>
        <w:spacing w:before="180" w:after="80" w:line="240" w:lineRule="auto"/>
      </w:pPr>
      <w:r>
        <w:rPr>
          <w:rFonts w:ascii="Inter Display" w:hAnsi="Inter Display" w:eastAsia="Inter Display"/>
          <w:b/>
          <w:color w:val="2D6F9F"/>
          <w:sz w:val="25"/>
        </w:rPr>
        <w:t>Önerilen PoC Kabul Kriterleri</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51"/>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KPI</w:t>
            </w:r>
          </w:p>
        </w:tc>
        <w:tc>
          <w:tcPr>
            <w:tcW w:type="dxa" w:w="2520"/>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Karşılaştırma</w:t>
            </w:r>
          </w:p>
        </w:tc>
        <w:tc>
          <w:tcPr>
            <w:tcW w:type="dxa" w:w="3960"/>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Planlanan başarı ölçütü</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Captured Simulated Net Exposure @ Top 5%</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Kural baseline’ı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En az %10 göreli iyileşme; 20 simülasyon seed’inde raporlama</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Precision@K / Recall@AlertBudget</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Kural ve Logistic baseline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Ana modelin en az birinde tutarlı üstünlük; güven aralığıyla</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Median Detection Lead Time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Olay günü veya kural alarmı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Birincil senaryoda en az 7 gün</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Calibration (ECE/Brier)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Kalibrasyonsuz model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Kalibrasyon sonrası ECE ≤ 0,05 veya baseline’dan iyi</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Healthy Merchant Intervention Rate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Kural baseline’ı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Baseline’dan kötü olmama; aynı alert budget altında</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Complaint NLP Macro-F1</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Anahtar kelime kuralı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Manuel etiketli holdout’ta ≥ 0,70</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FFF5DB"/>
              <w:start w:val="single" w:sz="28" w:color="C28B24"/>
              <w:bottom w:val="single" w:sz="4" w:color="FFF5DB"/>
              <w:end w:val="single" w:sz="4" w:color="FFF5DB"/>
              <w:insideH w:val="nil"/>
              <w:insideV w:val="nil"/>
            </w:tcBorders>
            <w:shd w:fill="FFF5DB"/>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C28B24"/>
                <w:sz w:val="19"/>
              </w:rPr>
              <w:t>Sonuç beyanı</w:t>
            </w:r>
          </w:p>
          <w:p>
            <w:pPr>
              <w:keepNext w:val="0"/>
              <w:widowControl/>
              <w:spacing w:before="0" w:after="0" w:line="269" w:lineRule="auto"/>
            </w:pPr>
            <w:r>
              <w:rPr>
                <w:rFonts w:ascii="Inter" w:hAnsi="Inter" w:eastAsia="Inter"/>
                <w:color w:val="243443"/>
                <w:sz w:val="18"/>
              </w:rPr>
              <w:t>Bu eşikler proje kabul hedefidir; mevcut performans sonucu değildir. Gerçek banka zararı, retention veya CLV etkisi ancak banka verisiyle retrospective test ve shadow-mode pilot sonrasında iddia edilebilir.</w:t>
            </w:r>
          </w:p>
        </w:tc>
      </w:tr>
    </w:tbl>
    <w:p>
      <w:pPr>
        <w:keepNext w:val="0"/>
        <w:widowControl/>
        <w:spacing w:before="0" w:after="20" w:line="240" w:lineRule="auto"/>
      </w:pPr>
    </w:p>
    <w:p>
      <w:pPr>
        <w:keepNext/>
        <w:widowControl/>
        <w:spacing w:before="280" w:after="120" w:line="240" w:lineRule="auto"/>
      </w:pPr>
      <w:r>
        <w:rPr>
          <w:rFonts w:ascii="Inter Display" w:hAnsi="Inter Display" w:eastAsia="Inter Display"/>
          <w:b/>
          <w:color w:val="16868C"/>
          <w:sz w:val="34"/>
        </w:rPr>
        <w:t xml:space="preserve">3  </w:t>
      </w:r>
      <w:r>
        <w:rPr>
          <w:rFonts w:ascii="Inter Display" w:hAnsi="Inter Display" w:eastAsia="Inter Display"/>
          <w:b/>
          <w:color w:val="173B57"/>
          <w:sz w:val="34"/>
        </w:rPr>
        <w:t>Arka Plan ve Pazarlama Bağlamı</w:t>
      </w:r>
    </w:p>
    <w:p>
      <w:pPr>
        <w:keepNext/>
        <w:widowControl/>
        <w:spacing w:before="180" w:after="80" w:line="240" w:lineRule="auto"/>
      </w:pPr>
      <w:r>
        <w:rPr>
          <w:rFonts w:ascii="Inter Display" w:hAnsi="Inter Display" w:eastAsia="Inter Display"/>
          <w:b/>
          <w:color w:val="2D6F9F"/>
          <w:sz w:val="25"/>
        </w:rPr>
        <w:t>Problem neden gerçek?</w:t>
      </w:r>
    </w:p>
    <w:p>
      <w:pPr>
        <w:keepNext w:val="0"/>
        <w:widowControl/>
        <w:spacing w:before="0" w:after="140" w:line="271" w:lineRule="auto"/>
        <w:jc w:val="left"/>
      </w:pPr>
      <w:r>
        <w:rPr>
          <w:rFonts w:ascii="Inter" w:hAnsi="Inter" w:eastAsia="Inter"/>
          <w:b w:val="0"/>
          <w:i w:val="0"/>
          <w:color w:val="243443"/>
          <w:sz w:val="19"/>
        </w:rPr>
        <w:t>OCC Merchant Processing Handbook, merchant processing faaliyetlerinin bankada önemli koşullu yükümlülükler yaratabileceğini; merchant veya aracının chargeback’leri karşılayamaması durumunda acquiring bankanın issuer bankaya ödeme yapmak zorunda kalabileceğini belirtir. Kaynak ayrıca merchant fraud’u için erken uyarı sistemi, günlük rapor incelemesi ve merchant’ın kendi ortalamasına göre hacim, ticket size, chargeback, return ve decline sapmalarının izlenmesini kontrol soruları arasında sayar [1]. Bu nedenle ChargeShield’in çözmeye çalıştığı problem, yalnız teorik bir veri bilimi örneği değil, mevcut acquiring risk yönetimi pratiğiyle uyumludur.</w:t>
      </w:r>
    </w:p>
    <w:p>
      <w:pPr>
        <w:keepNext/>
        <w:widowControl/>
        <w:spacing w:before="180" w:after="80" w:line="240" w:lineRule="auto"/>
      </w:pPr>
      <w:r>
        <w:rPr>
          <w:rFonts w:ascii="Inter Display" w:hAnsi="Inter Display" w:eastAsia="Inter Display"/>
          <w:b/>
          <w:color w:val="2D6F9F"/>
          <w:sz w:val="25"/>
        </w:rPr>
        <w:t>Mevcut sektör çözümleri ve fırsat</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51"/>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Yaklaşım</w:t>
            </w:r>
          </w:p>
        </w:tc>
        <w:tc>
          <w:tcPr>
            <w:tcW w:type="dxa" w:w="6480"/>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Projeye etkisi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Mastercard Merchant Monitoring</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Merchant’ı bütünsel değerlendirir, acquirer/PSP’lere risk skoru sağlar ve en riskli merchant’ların analist önceliğine alınmasını hedefler [2].</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Mastercard Merchant Risk Predict</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Gelecekteki merchant fraud için yedi farklı predictive score sunar ve bunların kurumun kendi portföy analitiğinde kullanılmasını önerir [3]. “Yedi skor”, 7 günlük horizon anlamına gelmez.</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Visa Merchant Screening Service</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Onboarding öncesi yüksek riskli/sonlandırılmış merchant taraması yapar; Visa, transaction laundering ve unfunded chargeback’lerin acquirer’da finansal ve düzenleyici risk yaratabildiğini belirtir [4].</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ChargeShield’in fırsatı</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Kart şeması çözümlerinin yerine geçmek değil; bankanın kendi settlement, reserve, recovery ve müşteri sesi verilerini üç operasyonel horizon ve expected exposure ile birleştiren banka-özel katman oluşturmaktır.</w:t>
            </w:r>
          </w:p>
        </w:tc>
      </w:tr>
    </w:tbl>
    <w:p>
      <w:pPr>
        <w:keepNext w:val="0"/>
        <w:widowControl/>
        <w:spacing w:before="0" w:after="140" w:line="271" w:lineRule="auto"/>
        <w:jc w:val="left"/>
      </w:pPr>
      <w:r>
        <w:rPr>
          <w:rFonts w:ascii="Inter" w:hAnsi="Inter" w:eastAsia="Inter"/>
          <w:b w:val="0"/>
          <w:i w:val="0"/>
          <w:color w:val="243443"/>
          <w:sz w:val="19"/>
        </w:rPr>
        <w:t>Türkiye bağlamında TCMB’nin güncel ödeme sistemleri mevzuat sayfasında 1 Kasım 2023 tarihli “Dolandırıcılık Eylemlerine İlişkin Talimat” listelenmektedir [5]. Bu kaynak ChargeShield’i zorunlu kılmaz veya Türkiye’deki merchant kaynaklı banka zararının tutarını vermez; ancak ödeme hizmetlerinde fraud gözetimi ve güvenliğin güncel bir düzenleyici bağlama sahip olduğunu gösterir.</w:t>
      </w:r>
    </w:p>
    <w:p>
      <w:r>
        <w:rPr>
          <w:rFonts w:ascii="Inter" w:hAnsi="Inter" w:eastAsia="Inter"/>
          <w:color w:val="243443"/>
          <w:sz w:val="19"/>
        </w:rPr>
        <w:br w:type="page"/>
      </w:r>
    </w:p>
    <w:p>
      <w:pPr>
        <w:keepNext/>
        <w:widowControl/>
        <w:spacing w:before="180" w:after="80" w:line="240" w:lineRule="auto"/>
      </w:pPr>
      <w:r>
        <w:rPr>
          <w:rFonts w:ascii="Inter Display" w:hAnsi="Inter Display" w:eastAsia="Inter Display"/>
          <w:b/>
          <w:color w:val="2D6F9F"/>
          <w:sz w:val="25"/>
        </w:rPr>
        <w:t>AI neden değer katabilir?</w:t>
      </w:r>
    </w:p>
    <w:p>
      <w:pPr>
        <w:pStyle w:val="ListBullet"/>
        <w:keepNext w:val="0"/>
        <w:widowControl/>
        <w:spacing w:before="0" w:after="60" w:line="264" w:lineRule="auto"/>
      </w:pPr>
      <w:r>
        <w:rPr>
          <w:rFonts w:ascii="Inter" w:hAnsi="Inter" w:eastAsia="Inter"/>
          <w:color w:val="243443"/>
          <w:sz w:val="18"/>
        </w:rPr>
        <w:t>Sabit eşikler yerine merchant’ın kendi geçmişine ve segmentine göre sapmayı ölçebilir.</w:t>
      </w:r>
    </w:p>
    <w:p>
      <w:pPr>
        <w:pStyle w:val="ListBullet"/>
        <w:keepNext w:val="0"/>
        <w:widowControl/>
        <w:spacing w:before="0" w:after="60" w:line="264" w:lineRule="auto"/>
      </w:pPr>
      <w:r>
        <w:rPr>
          <w:rFonts w:ascii="Inter" w:hAnsi="Inter" w:eastAsia="Inter"/>
          <w:color w:val="243443"/>
          <w:sz w:val="18"/>
        </w:rPr>
        <w:t>Birbirinden farklı gecikmelere sahip işlem, refund, settlement, recovery ve şikâyet sinyallerini aynı zaman çizgisinde birleştirebilir.</w:t>
      </w:r>
    </w:p>
    <w:p>
      <w:pPr>
        <w:pStyle w:val="ListBullet"/>
        <w:keepNext w:val="0"/>
        <w:widowControl/>
        <w:spacing w:before="0" w:after="60" w:line="264" w:lineRule="auto"/>
      </w:pPr>
      <w:r>
        <w:rPr>
          <w:rFonts w:ascii="Inter" w:hAnsi="Inter" w:eastAsia="Inter"/>
          <w:color w:val="243443"/>
          <w:sz w:val="18"/>
        </w:rPr>
        <w:t>Sınırlı analist kapasitesinde risk olasılığı değil, expected exposure ve aksiyon yapılabilirliğiyle sıralama üretebilir.</w:t>
      </w:r>
    </w:p>
    <w:p>
      <w:pPr>
        <w:pStyle w:val="ListBullet"/>
        <w:keepNext w:val="0"/>
        <w:widowControl/>
        <w:spacing w:before="0" w:after="60" w:line="264" w:lineRule="auto"/>
      </w:pPr>
      <w:r>
        <w:rPr>
          <w:rFonts w:ascii="Inter" w:hAnsi="Inter" w:eastAsia="Inter"/>
          <w:color w:val="243443"/>
          <w:sz w:val="18"/>
        </w:rPr>
        <w:t>Yanlış pozitifleri azaltarak sağlıklı merchant ilişkisini, güveni ve riskle düzeltilmiş müşteri yaşam boyu değerini korumaya yardımcı olabilir.</w:t>
      </w:r>
    </w:p>
    <w:p>
      <w:pPr>
        <w:keepNext/>
        <w:widowControl/>
        <w:spacing w:before="280" w:after="120" w:line="240" w:lineRule="auto"/>
      </w:pPr>
      <w:r>
        <w:rPr>
          <w:rFonts w:ascii="Inter Display" w:hAnsi="Inter Display" w:eastAsia="Inter Display"/>
          <w:b/>
          <w:color w:val="16868C"/>
          <w:sz w:val="34"/>
        </w:rPr>
        <w:t xml:space="preserve">4  </w:t>
      </w:r>
      <w:r>
        <w:rPr>
          <w:rFonts w:ascii="Inter Display" w:hAnsi="Inter Display" w:eastAsia="Inter Display"/>
          <w:b/>
          <w:color w:val="173B57"/>
          <w:sz w:val="34"/>
        </w:rPr>
        <w:t>Önerilen Yapay Zekâ Yöntemi</w:t>
      </w:r>
    </w:p>
    <w:p>
      <w:pPr>
        <w:keepNext/>
        <w:widowControl/>
        <w:spacing w:before="180" w:after="80" w:line="240" w:lineRule="auto"/>
      </w:pPr>
      <w:r>
        <w:rPr>
          <w:rFonts w:ascii="Inter Display" w:hAnsi="Inter Display" w:eastAsia="Inter Display"/>
          <w:b/>
          <w:color w:val="2D6F9F"/>
          <w:sz w:val="25"/>
        </w:rPr>
        <w:t>Gözlem birimi, özellik penceresi ve tahmin ufku</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7"/>
              </w:rPr>
              <w:t>Tasarım unsuru</w:t>
            </w:r>
          </w:p>
        </w:tc>
        <w:tc>
          <w:tcPr>
            <w:tcW w:type="dxa" w:w="6552"/>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7"/>
              </w:rPr>
              <w:t>Tanım</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Gözlem birimi</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merchant × day</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Feature cutoff</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score_date sonu; sonraki hiçbir bilgi özelliğe sızmaz</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Geçmiş pencereler</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1, 7, 30 ve 60 gün rolling seviye + merchant baseline sapmaları</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Gelecek etiketleri</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risk_next_7d, risk_next_15d, risk_next_30d</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Ekonomik hedef</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net_unrecoverable_loss; olay koşullu severity ve expected exposure</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Tutarlılık kuralı</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Kalibre edilmiş skorlar için P7 ≤ P15 ≤ P30</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FFF5DB"/>
              <w:start w:val="single" w:sz="28" w:color="C28B24"/>
              <w:bottom w:val="single" w:sz="4" w:color="FFF5DB"/>
              <w:end w:val="single" w:sz="4" w:color="FFF5DB"/>
              <w:insideH w:val="nil"/>
              <w:insideV w:val="nil"/>
            </w:tcBorders>
            <w:shd w:fill="FFF5DB"/>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C28B24"/>
                <w:sz w:val="19"/>
              </w:rPr>
              <w:t>Geçmiş pencere ile tahmin ufku aynı değildir</w:t>
            </w:r>
          </w:p>
          <w:p>
            <w:pPr>
              <w:keepNext w:val="0"/>
              <w:widowControl/>
              <w:spacing w:before="0" w:after="0" w:line="269" w:lineRule="auto"/>
            </w:pPr>
            <w:r>
              <w:rPr>
                <w:rFonts w:ascii="Inter" w:hAnsi="Inter" w:eastAsia="Inter"/>
                <w:color w:val="243443"/>
                <w:sz w:val="18"/>
              </w:rPr>
              <w:t>“Son 7 güne bakmak” bir feature window’dur; “önümüzdeki 7 günü tahmin etmek” ayrı bir target horizon’dur. Proje her iki kavramı veri sözlüğünde ve kodda farklı isimlerle yönetecektir.</w:t>
            </w:r>
          </w:p>
        </w:tc>
      </w:tr>
    </w:tbl>
    <w:p>
      <w:pPr>
        <w:keepNext w:val="0"/>
        <w:widowControl/>
        <w:spacing w:before="0" w:after="20" w:line="240" w:lineRule="auto"/>
      </w:pPr>
    </w:p>
    <w:p>
      <w:pPr>
        <w:keepNext/>
        <w:widowControl/>
        <w:spacing w:before="180" w:after="80" w:line="240" w:lineRule="auto"/>
      </w:pPr>
      <w:r>
        <w:rPr>
          <w:rFonts w:ascii="Inter Display" w:hAnsi="Inter Display" w:eastAsia="Inter Display"/>
          <w:b/>
          <w:color w:val="2D6F9F"/>
          <w:sz w:val="25"/>
        </w:rPr>
        <w:t>İki aşamalı ekonomik model</w:t>
      </w:r>
    </w:p>
    <w:p>
      <w:pPr>
        <w:pStyle w:val="ListNumber"/>
        <w:keepNext w:val="0"/>
        <w:widowControl/>
        <w:spacing w:before="0" w:after="60" w:line="264" w:lineRule="auto"/>
      </w:pPr>
      <w:r>
        <w:rPr>
          <w:rFonts w:ascii="Inter" w:hAnsi="Inter" w:eastAsia="Inter"/>
          <w:color w:val="243443"/>
          <w:sz w:val="18"/>
        </w:rPr>
        <w:t>Olay modeli: her horizon için P(ciddi adverse event, t+1 … t+h).</w:t>
      </w:r>
    </w:p>
    <w:p>
      <w:pPr>
        <w:pStyle w:val="ListNumber"/>
        <w:keepNext w:val="0"/>
        <w:widowControl/>
        <w:spacing w:before="0" w:after="60" w:line="264" w:lineRule="auto"/>
      </w:pPr>
      <w:r>
        <w:rPr>
          <w:rFonts w:ascii="Inter" w:hAnsi="Inter" w:eastAsia="Inter"/>
          <w:color w:val="243443"/>
          <w:sz w:val="18"/>
        </w:rPr>
        <w:t>Severity/recovery modeli: olay gerçekleşirse beklenen brüt yükümlülük ve tahsil edilebilir recovery.</w:t>
      </w:r>
    </w:p>
    <w:p>
      <w:pPr>
        <w:pStyle w:val="ListNumber"/>
        <w:keepNext w:val="0"/>
        <w:widowControl/>
        <w:spacing w:before="0" w:after="60" w:line="264" w:lineRule="auto"/>
      </w:pPr>
      <w:r>
        <w:rPr>
          <w:rFonts w:ascii="Inter" w:hAnsi="Inter" w:eastAsia="Inter"/>
          <w:color w:val="243443"/>
          <w:sz w:val="18"/>
        </w:rPr>
        <w:t>Expected net exposure: P(event_h) × E(net unrecoverable loss_h | event_h).</w:t>
      </w:r>
    </w:p>
    <w:p>
      <w:pPr>
        <w:pStyle w:val="ListNumber"/>
        <w:keepNext w:val="0"/>
        <w:widowControl/>
        <w:spacing w:before="0" w:after="60" w:line="264" w:lineRule="auto"/>
      </w:pPr>
      <w:r>
        <w:rPr>
          <w:rFonts w:ascii="Inter" w:hAnsi="Inter" w:eastAsia="Inter"/>
          <w:color w:val="243443"/>
          <w:sz w:val="18"/>
        </w:rPr>
        <w:t>Analist önceliği: expected exposure × aciliyet × actionability; yalnız risk olasılığına göre sıralama yapılmaz.</w:t>
      </w:r>
    </w:p>
    <w:p>
      <w:pPr>
        <w:keepNext/>
        <w:widowControl/>
        <w:spacing w:before="180" w:after="80" w:line="240" w:lineRule="auto"/>
      </w:pPr>
      <w:r>
        <w:rPr>
          <w:rFonts w:ascii="Inter Display" w:hAnsi="Inter Display" w:eastAsia="Inter Display"/>
          <w:b/>
          <w:color w:val="2D6F9F"/>
          <w:sz w:val="25"/>
        </w:rPr>
        <w:t>Model katmanları</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88"/>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Katman</w:t>
            </w:r>
          </w:p>
        </w:tc>
        <w:tc>
          <w:tcPr>
            <w:tcW w:type="dxa" w:w="4248"/>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Yöntem</w:t>
            </w:r>
          </w:p>
        </w:tc>
        <w:tc>
          <w:tcPr>
            <w:tcW w:type="dxa" w:w="3096"/>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PoC rolü</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Kural baseline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Hacim, refund, dispute, decline ve reserve coverage eşikleri</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Mevcut/pratik yaklaşım karşılaştırması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Logistic Regression</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Çok ufuklu şeffaf baseline ve kalibrasyon referansı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Mutlaka uygulanacak</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CatBoost</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Kategorik + sayısal tabular özellikler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Ana model adayı [10]</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LightGBM</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Hızlı GBDT karşılaştırması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Zaman kalırsa benchmark [11]</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Complaint NLP</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TF-IDF + Logistic/Linear SVM; gerekirse multilingual embedding</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Yardımcı konu ve hız özellikleri</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Anomali</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Robust z-score; opsiyonel Isolation Forest</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Tek başına karar değil, yardımcı score</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Açıklanabilirlik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SHAP + reason code + kanıt</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Analist karar desteği [12]</w:t>
            </w:r>
          </w:p>
        </w:tc>
      </w:tr>
    </w:tbl>
    <w:p>
      <w:r>
        <w:rPr>
          <w:rFonts w:ascii="Inter" w:hAnsi="Inter" w:eastAsia="Inter"/>
          <w:color w:val="243443"/>
          <w:sz w:val="19"/>
        </w:rPr>
        <w:br w:type="page"/>
      </w:r>
    </w:p>
    <w:p>
      <w:pPr>
        <w:keepNext/>
        <w:widowControl/>
        <w:spacing w:before="180" w:after="80" w:line="240" w:lineRule="auto"/>
      </w:pPr>
      <w:r>
        <w:rPr>
          <w:rFonts w:ascii="Inter Display" w:hAnsi="Inter Display" w:eastAsia="Inter Display"/>
          <w:b/>
          <w:color w:val="2D6F9F"/>
          <w:sz w:val="25"/>
        </w:rPr>
        <w:t>Doğrulama ve deney tasarımı</w:t>
      </w:r>
    </w:p>
    <w:p>
      <w:pPr>
        <w:pStyle w:val="ListBullet"/>
        <w:keepNext w:val="0"/>
        <w:widowControl/>
        <w:spacing w:before="0" w:after="60" w:line="264" w:lineRule="auto"/>
      </w:pPr>
      <w:r>
        <w:rPr>
          <w:rFonts w:ascii="Inter" w:hAnsi="Inter" w:eastAsia="Inter"/>
          <w:color w:val="243443"/>
          <w:sz w:val="18"/>
        </w:rPr>
        <w:t>Random split yerine kronolojik train-validation-test; 30 günlük horizon için temporal gap/embargo.</w:t>
      </w:r>
    </w:p>
    <w:p>
      <w:pPr>
        <w:pStyle w:val="ListBullet"/>
        <w:keepNext w:val="0"/>
        <w:widowControl/>
        <w:spacing w:before="0" w:after="60" w:line="264" w:lineRule="auto"/>
      </w:pPr>
      <w:r>
        <w:rPr>
          <w:rFonts w:ascii="Inter" w:hAnsi="Inter" w:eastAsia="Inter"/>
          <w:color w:val="243443"/>
          <w:sz w:val="18"/>
        </w:rPr>
        <w:t>Gerçek veri fazında chargeback/recovery etiket olgunlaşması için 90-180 günlük maturity window ve right-censoring kontrolü.</w:t>
      </w:r>
    </w:p>
    <w:p>
      <w:pPr>
        <w:pStyle w:val="ListBullet"/>
        <w:keepNext w:val="0"/>
        <w:widowControl/>
        <w:spacing w:before="0" w:after="60" w:line="264" w:lineRule="auto"/>
      </w:pPr>
      <w:r>
        <w:rPr>
          <w:rFonts w:ascii="Inter" w:hAnsi="Inter" w:eastAsia="Inter"/>
          <w:color w:val="243443"/>
          <w:sz w:val="18"/>
        </w:rPr>
        <w:t>Rule vs Logistic vs CatBoost; raw vs rolling; rolling vs baseline-deviation; banka-only vs +complaint ablation.</w:t>
      </w:r>
    </w:p>
    <w:p>
      <w:pPr>
        <w:pStyle w:val="ListBullet"/>
        <w:keepNext w:val="0"/>
        <w:widowControl/>
        <w:spacing w:before="0" w:after="60" w:line="264" w:lineRule="auto"/>
      </w:pPr>
      <w:r>
        <w:rPr>
          <w:rFonts w:ascii="Inter" w:hAnsi="Inter" w:eastAsia="Inter"/>
          <w:color w:val="243443"/>
          <w:sz w:val="18"/>
        </w:rPr>
        <w:t>Scenario holdout: modelin eğitimde görmediği merchant segmenti, şok tipi veya parametre aralığında test.</w:t>
      </w:r>
    </w:p>
    <w:p>
      <w:pPr>
        <w:pStyle w:val="ListBullet"/>
        <w:keepNext w:val="0"/>
        <w:widowControl/>
        <w:spacing w:before="0" w:after="60" w:line="264" w:lineRule="auto"/>
      </w:pPr>
      <w:r>
        <w:rPr>
          <w:rFonts w:ascii="Inter" w:hAnsi="Inter" w:eastAsia="Inter"/>
          <w:color w:val="243443"/>
          <w:sz w:val="18"/>
        </w:rPr>
        <w:t>En az 20 simülasyon seed’i; ortalama, medyan ve güven aralığı raporu. Tek seed sonucu başarı olarak sunulmayacak.</w:t>
      </w:r>
    </w:p>
    <w:p>
      <w:pPr>
        <w:keepNext/>
        <w:widowControl/>
        <w:spacing w:before="280" w:after="120" w:line="240" w:lineRule="auto"/>
      </w:pPr>
      <w:r>
        <w:rPr>
          <w:rFonts w:ascii="Inter Display" w:hAnsi="Inter Display" w:eastAsia="Inter Display"/>
          <w:b/>
          <w:color w:val="16868C"/>
          <w:sz w:val="34"/>
        </w:rPr>
        <w:t xml:space="preserve">5  </w:t>
      </w:r>
      <w:r>
        <w:rPr>
          <w:rFonts w:ascii="Inter Display" w:hAnsi="Inter Display" w:eastAsia="Inter Display"/>
          <w:b/>
          <w:color w:val="173B57"/>
          <w:sz w:val="34"/>
        </w:rPr>
        <w:t>Mimari / İş Akışı Tasarımı</w:t>
      </w:r>
    </w:p>
    <w:p>
      <w:pPr>
        <w:keepNext w:val="0"/>
        <w:widowControl/>
        <w:spacing w:before="80" w:after="40" w:line="240" w:lineRule="auto"/>
        <w:jc w:val="center"/>
      </w:pPr>
      <w:r>
        <w:rPr>
          <w:rFonts w:ascii="Inter" w:hAnsi="Inter" w:eastAsia="Inter"/>
          <w:color w:val="243443"/>
          <w:sz w:val="19"/>
        </w:rPr>
        <w:drawing>
          <wp:inline xmlns:a="http://schemas.openxmlformats.org/drawingml/2006/main" xmlns:pic="http://schemas.openxmlformats.org/drawingml/2006/picture">
            <wp:extent cx="5989320" cy="32264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3226474"/>
                    </a:xfrm>
                    <a:prstGeom prst="rect"/>
                  </pic:spPr>
                </pic:pic>
              </a:graphicData>
            </a:graphic>
          </wp:inline>
        </w:drawing>
      </w:r>
    </w:p>
    <w:p>
      <w:pPr>
        <w:keepNext w:val="0"/>
        <w:widowControl/>
        <w:spacing w:before="40" w:after="120" w:line="240" w:lineRule="auto"/>
        <w:jc w:val="center"/>
      </w:pPr>
      <w:r>
        <w:rPr>
          <w:rFonts w:ascii="Inter" w:hAnsi="Inter" w:eastAsia="Inter"/>
          <w:i/>
          <w:color w:val="5D6B78"/>
          <w:sz w:val="16"/>
        </w:rPr>
        <w:t>Şekil 1. ChargeShield PoC mimarisi ve insan gözetimli karar akışı.</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7"/>
              </w:rPr>
              <w:t>Bileşen</w:t>
            </w:r>
          </w:p>
        </w:tc>
        <w:tc>
          <w:tcPr>
            <w:tcW w:type="dxa" w:w="7200"/>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7"/>
              </w:rPr>
              <w:t>Rolü</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Veri kaynağı</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PoC’de simüle banka/PSP tabloları; NLP geliştirmede izinli açık yorum verisi.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Yönetişim</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Maskeleme, kalite, entity confidence, lisans kontrolü ve strict feature cutoff.</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Feature store</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Merchant-gün toplulaştırmaları; 1/7/30/60 günlük seviye ve baseline sapması.</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Model</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7/15/30 risk; severity/recovery; complaint NLP; rule/anomaly yardımcı sinyalleri.</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Çıktı</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Kalibre olasılık, expected exposure, reason code, kanıt ve priority score.</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7"/>
              </w:rPr>
              <w:t>İnsan aksiyonu</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7"/>
              </w:rPr>
              <w:t>İnceleme, merchant teması ve politika değerlendirmesi; sonuç audit trail’e döner.</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EAF2F8"/>
              <w:start w:val="single" w:sz="28" w:color="2D6F9F"/>
              <w:bottom w:val="single" w:sz="4" w:color="EAF2F8"/>
              <w:end w:val="single" w:sz="4" w:color="EAF2F8"/>
              <w:insideH w:val="nil"/>
              <w:insideV w:val="nil"/>
            </w:tcBorders>
            <w:shd w:fill="EAF2F8"/>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173B57"/>
                <w:sz w:val="19"/>
              </w:rPr>
              <w:t>Örnek analist çıktısı</w:t>
            </w:r>
          </w:p>
          <w:p>
            <w:pPr>
              <w:keepNext w:val="0"/>
              <w:widowControl/>
              <w:spacing w:before="0" w:after="0" w:line="269" w:lineRule="auto"/>
            </w:pPr>
            <w:r>
              <w:rPr>
                <w:rFonts w:ascii="Inter" w:hAnsi="Inter" w:eastAsia="Inter"/>
                <w:color w:val="243443"/>
                <w:sz w:val="18"/>
              </w:rPr>
              <w:t>Merchant M_01822 • P7: %62 • P15: %79 • P30: %88 • Beklenen net exposure: 170.000 TL • Başlıca nedenler: refund request oranı 3,1× baseline, complaint velocity +%240, reserve coverage düşük, payout/outflow olağandışı • Öneri: manuel inceleme + merchant teması + settlement/reserve politika kontrolü.</w:t>
            </w:r>
          </w:p>
        </w:tc>
      </w:tr>
    </w:tbl>
    <w:p>
      <w:pPr>
        <w:keepNext w:val="0"/>
        <w:widowControl/>
        <w:spacing w:before="0" w:after="20" w:line="240" w:lineRule="auto"/>
      </w:pPr>
    </w:p>
    <w:p>
      <w:pPr>
        <w:keepNext/>
        <w:widowControl/>
        <w:spacing w:before="280" w:after="120" w:line="240" w:lineRule="auto"/>
      </w:pPr>
      <w:r>
        <w:rPr>
          <w:rFonts w:ascii="Inter Display" w:hAnsi="Inter Display" w:eastAsia="Inter Display"/>
          <w:b/>
          <w:color w:val="16868C"/>
          <w:sz w:val="34"/>
        </w:rPr>
        <w:t xml:space="preserve">6  </w:t>
      </w:r>
      <w:r>
        <w:rPr>
          <w:rFonts w:ascii="Inter Display" w:hAnsi="Inter Display" w:eastAsia="Inter Display"/>
          <w:b/>
          <w:color w:val="173B57"/>
          <w:sz w:val="34"/>
        </w:rPr>
        <w:t>Veri Kaynakları</w:t>
      </w:r>
    </w:p>
    <w:p>
      <w:pPr>
        <w:keepNext w:val="0"/>
        <w:widowControl/>
        <w:spacing w:before="0" w:after="140" w:line="271" w:lineRule="auto"/>
        <w:jc w:val="left"/>
      </w:pPr>
      <w:r>
        <w:rPr>
          <w:rFonts w:ascii="Inter" w:hAnsi="Inter" w:eastAsia="Inter"/>
          <w:b w:val="0"/>
          <w:i w:val="0"/>
          <w:color w:val="243443"/>
          <w:sz w:val="19"/>
        </w:rPr>
        <w:t>PoC’nin ana verisi tek, entegre bir Merchant Loss Simulator tarafından üretilecektir. Açık kaynaklar gerçek banka ground truth’u yerine geçmeyecek; yalnız işlem üretimi, temporal feature tasarımı ve müşteri deneyimi sinyallerinin gerçekçiliğini artıran yardımcı kaynaklar olacaktır. Olist seller/order/delivery/review tabloları birbirine bağlanabilen bir dış gerçekçilik ve NLP/proxy deneyi sağlayacaktır; ancak bu veri chargeback, reserve, recovery veya net banka zararı etiketi içermez. Uçtan uca ekonomik değerlendirme yalnız simülatörde yapılacak ve açıkça sentetik olarak raporlanacaktır.</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944"/>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Kaynak</w:t>
            </w:r>
          </w:p>
        </w:tc>
        <w:tc>
          <w:tcPr>
            <w:tcW w:type="dxa" w:w="3096"/>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Tür/alanlar</w:t>
            </w:r>
          </w:p>
        </w:tc>
        <w:tc>
          <w:tcPr>
            <w:tcW w:type="dxa" w:w="2951"/>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Projede rolü</w:t>
            </w:r>
          </w:p>
        </w:tc>
        <w:tc>
          <w:tcPr>
            <w:tcW w:type="dxa" w:w="1440"/>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Sınır</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Merchant Loss Simulator</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CSV/Parquet; merchant, transaction, refund, settlement, payout, reserve, dispute, recovery, complaint_event</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Ana entegre PoC; 7/15/30 etiket ve net exposure ground truth’u</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Sentetik; gerçek banka sonucu değildir</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Fraud Detection Handbook</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Sentetik transaction/terminal verisi ve reproducible fraud senaryoları [7]</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Terminal-as-merchant proxy, rolling feature ve temporal validation referansı</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Settlement/recovery yok</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CardSim</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Bayesian ve modüler payment simulator yöntemi [6]</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Parametre kalibrasyonu, modülerlik ve synthetic-to-real disiplin referansı</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Merchant loss verisi değildir</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Olist Brazilian E-Commerce</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seller_id, order_id, teslimat tarihleri, review score/text [14]</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Seller düzeyinde hizmet bozulması ve müşteri sesi için dış proxy/NLP deneyi</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Chargeback, reserve, recovery ve net loss yok</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Takım etiketli Türkçe mini set</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İzinli/anonim en az 400 kısa şikâyet örneği; %20 çift etiket</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Türkçe risk-topic değerlendirmesi ve etiket uyumu</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PoC sırasında oluşturulacak</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Gelecek banka/PSP verisi</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Merchant + settlement + dispute + recovery + complaint</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Retrospective validation ve shadow mode</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Bu teslimin/veri PoC’sinin dışında</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FBEDEE"/>
              <w:start w:val="single" w:sz="28" w:color="B24B4B"/>
              <w:bottom w:val="single" w:sz="4" w:color="FBEDEE"/>
              <w:end w:val="single" w:sz="4" w:color="FBEDEE"/>
              <w:insideH w:val="nil"/>
              <w:insideV w:val="nil"/>
            </w:tcBorders>
            <w:shd w:fill="FBEDEE"/>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B24B4B"/>
                <w:sz w:val="19"/>
              </w:rPr>
              <w:t>Veri birleştirme kuralı</w:t>
            </w:r>
          </w:p>
          <w:p>
            <w:pPr>
              <w:keepNext w:val="0"/>
              <w:widowControl/>
              <w:spacing w:before="0" w:after="0" w:line="269" w:lineRule="auto"/>
            </w:pPr>
            <w:r>
              <w:rPr>
                <w:rFonts w:ascii="Inter" w:hAnsi="Inter" w:eastAsia="Inter"/>
                <w:color w:val="243443"/>
                <w:sz w:val="18"/>
              </w:rPr>
              <w:t>Olist seller_id, yalnız kendi order/delivery/review tablolarıyla birleştirilecektir; çok satıcılı siparişler seller düzeyinde yorum atamasını belirsizleştirdiği için ana proxy deneyinde tek satıcılı siparişler kullanılacaktır. Olist verisine sentetik net zarar etiketi yapıştırılıp gerçek sonuç gibi sunulmayacaktır. Uçtan uca merchant-day ekonomik deneyinde complaint_event ve complaint_text, simülatörde aynı merchant_id altında açıkça sentetik olarak üretilecektir.</w:t>
            </w:r>
          </w:p>
        </w:tc>
      </w:tr>
    </w:tbl>
    <w:p>
      <w:pPr>
        <w:keepNext w:val="0"/>
        <w:widowControl/>
        <w:spacing w:before="0" w:after="20" w:line="240" w:lineRule="auto"/>
      </w:pPr>
    </w:p>
    <w:p>
      <w:pPr>
        <w:keepNext/>
        <w:widowControl/>
        <w:spacing w:before="180" w:after="80" w:line="240" w:lineRule="auto"/>
      </w:pPr>
      <w:r>
        <w:rPr>
          <w:rFonts w:ascii="Inter Display" w:hAnsi="Inter Display" w:eastAsia="Inter Display"/>
          <w:b/>
          <w:color w:val="2D6F9F"/>
          <w:sz w:val="25"/>
        </w:rPr>
        <w:t>Merchant Loss Simulator tasarımı</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520"/>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Durum</w:t>
            </w:r>
          </w:p>
        </w:tc>
        <w:tc>
          <w:tcPr>
            <w:tcW w:type="dxa" w:w="5256"/>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Üretilen örüntü</w:t>
            </w:r>
          </w:p>
        </w:tc>
        <w:tc>
          <w:tcPr>
            <w:tcW w:type="dxa" w:w="1655"/>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Amaç</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Sağlıklı baseline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Sezonluk hacim, normal refund, düşük dispute, yeterli reserve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Negatif sınıf</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Benign promotion / kampanya</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Hacim sıçrar fakat teslimat/refund/recovery sağlıklıdır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Yanlış pozitif kontrolü</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Hizmet sunamama / refund krizi</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Complaint velocity ve refund request yükselir; chargeback gecikmeli; recovery açığı oluşabilir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Birincil pozitif senaryo</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Finansal distress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Payout/outflow artar; closing balance ve reserve coverage düşer; refund/dispute baskısı yükselir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İkincil pozitif senaryo</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Eksik/gürültülü sinyal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Bazı riskli merchant’ta şikâyet yok; bazı sağlıklı merchant’ta gürültü var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Kolay ve deterministik modellemeyi önleme</w:t>
            </w:r>
          </w:p>
        </w:tc>
      </w:tr>
    </w:tbl>
    <w:p>
      <w:pPr>
        <w:keepNext/>
        <w:widowControl/>
        <w:spacing w:before="180" w:after="80" w:line="240" w:lineRule="auto"/>
      </w:pPr>
      <w:r>
        <w:rPr>
          <w:rFonts w:ascii="Inter Display" w:hAnsi="Inter Display" w:eastAsia="Inter Display"/>
          <w:b/>
          <w:color w:val="2D6F9F"/>
          <w:sz w:val="25"/>
        </w:rPr>
        <w:t>Preprocessing, gizlilik ve veri kalitesi</w:t>
      </w:r>
    </w:p>
    <w:p>
      <w:pPr>
        <w:pStyle w:val="ListBullet"/>
        <w:keepNext w:val="0"/>
        <w:widowControl/>
        <w:spacing w:before="0" w:after="60" w:line="264" w:lineRule="auto"/>
      </w:pPr>
      <w:r>
        <w:rPr>
          <w:rFonts w:ascii="Inter" w:hAnsi="Inter" w:eastAsia="Inter"/>
          <w:color w:val="243443"/>
          <w:sz w:val="18"/>
        </w:rPr>
        <w:t>Ham PAN, açık kart numarası, telefon, ad, e-posta veya sipariş numarası kullanılmayacak; kimlikler pseudonymous token olacaktır.</w:t>
      </w:r>
    </w:p>
    <w:p>
      <w:pPr>
        <w:pStyle w:val="ListBullet"/>
        <w:keepNext w:val="0"/>
        <w:widowControl/>
        <w:spacing w:before="0" w:after="60" w:line="264" w:lineRule="auto"/>
      </w:pPr>
      <w:r>
        <w:rPr>
          <w:rFonts w:ascii="Inter" w:hAnsi="Inter" w:eastAsia="Inter"/>
          <w:color w:val="243443"/>
          <w:sz w:val="18"/>
        </w:rPr>
        <w:t>Yorum metninde kişisel veri varsa maskeleme, minimizasyon ve saklama süresi kuralı uygulanacak.</w:t>
      </w:r>
    </w:p>
    <w:p>
      <w:pPr>
        <w:pStyle w:val="ListBullet"/>
        <w:keepNext w:val="0"/>
        <w:widowControl/>
        <w:spacing w:before="0" w:after="60" w:line="264" w:lineRule="auto"/>
      </w:pPr>
      <w:r>
        <w:rPr>
          <w:rFonts w:ascii="Inter" w:hAnsi="Inter" w:eastAsia="Inter"/>
          <w:color w:val="243443"/>
          <w:sz w:val="18"/>
        </w:rPr>
        <w:t>Duplicate, sahte yorum, düşük güvenli entity eşleşmesi ve kaynak bias’ı ayrı kalite alanlarıyla tutulacak.</w:t>
      </w:r>
    </w:p>
    <w:p>
      <w:pPr>
        <w:pStyle w:val="ListBullet"/>
        <w:keepNext w:val="0"/>
        <w:widowControl/>
        <w:spacing w:before="0" w:after="60" w:line="264" w:lineRule="auto"/>
      </w:pPr>
      <w:r>
        <w:rPr>
          <w:rFonts w:ascii="Inter" w:hAnsi="Inter" w:eastAsia="Inter"/>
          <w:color w:val="243443"/>
          <w:sz w:val="18"/>
        </w:rPr>
        <w:t>Sınıf dengesizliği accuracy ile değil PR-AUC, alert budget ve cost-sensitive metriklerle yönetilecek.</w:t>
      </w:r>
    </w:p>
    <w:p>
      <w:pPr>
        <w:pStyle w:val="ListBullet"/>
        <w:keepNext w:val="0"/>
        <w:widowControl/>
        <w:spacing w:before="0" w:after="60" w:line="264" w:lineRule="auto"/>
      </w:pPr>
      <w:r>
        <w:rPr>
          <w:rFonts w:ascii="Inter" w:hAnsi="Inter" w:eastAsia="Inter"/>
          <w:color w:val="243443"/>
          <w:sz w:val="18"/>
        </w:rPr>
        <w:t>Simulator label’ı doğrudan tek bir feature formülünden türetilmeyecek; latent state, rastgele lag/missingness, benign shock ve scenario holdout kullanılacak.</w:t>
      </w:r>
    </w:p>
    <w:p>
      <w:pPr>
        <w:keepNext/>
        <w:widowControl/>
        <w:spacing w:before="280" w:after="120" w:line="240" w:lineRule="auto"/>
      </w:pPr>
      <w:r>
        <w:rPr>
          <w:rFonts w:ascii="Inter Display" w:hAnsi="Inter Display" w:eastAsia="Inter Display"/>
          <w:b/>
          <w:color w:val="16868C"/>
          <w:sz w:val="34"/>
        </w:rPr>
        <w:t xml:space="preserve">7  </w:t>
      </w:r>
      <w:r>
        <w:rPr>
          <w:rFonts w:ascii="Inter Display" w:hAnsi="Inter Display" w:eastAsia="Inter Display"/>
          <w:b/>
          <w:color w:val="173B57"/>
          <w:sz w:val="34"/>
        </w:rPr>
        <w:t>Literatür ve Sektör İncelemesi</w:t>
      </w:r>
    </w:p>
    <w:p>
      <w:pPr>
        <w:keepNext w:val="0"/>
        <w:widowControl/>
        <w:spacing w:before="0" w:after="140" w:line="278" w:lineRule="auto"/>
        <w:jc w:val="left"/>
      </w:pPr>
      <w:r>
        <w:rPr>
          <w:rFonts w:ascii="Inter" w:hAnsi="Inter" w:eastAsia="Inter"/>
          <w:b w:val="0"/>
          <w:i w:val="0"/>
          <w:color w:val="243443"/>
          <w:sz w:val="19"/>
        </w:rPr>
        <w:t>Sektör kanıtı, merchant risk izleme ve analist önceliklendirmesinin hâlihazırda gerçek bir acquiring ihtiyacı olduğunu gösterir: OCC, chargeback kaynaklı kredi exposure’ını ve merchant fraud için erken uyarı kontrollerini tanımlar [1]; Mastercard merchant düzeyinde risk skorları ve portföy modellemesine beslenen predictive scores sunar [2,3]; Visa ise high-risk onboarding ve unfunded chargeback riskini açıkça ele alır [4]. Akademik tarafta Fraud Detection Handbook zamansal, dengesiz ve gecikmeli fraud verilerinde rolling feature ve temporal validation disiplinini gösterir [7]. CardSim, kamuya açık ödeme verisinin sınırlılığı nedeniyle modüler simülasyonun araştırma için meşru fakat gerçek verinin yerine geçmeyen bir yöntem olduğunu vurgular [6]. Naumzik ve arkadaşları, 921 işletmeye ait 64.887 müşteri puanının zaman içindeki dizisini kullanarak işletme başarısızlığının aylar öncesinden tahmin edilebildiğini gösterir; bu sonuç sanal POS kaybını kanıtlamaz, fakat müşteri sesindeki bozulmanın yardımcı erken sinyal olabileceğini destekler [8]. Ismagilova ve arkadaşlarının elektronik ağızdan ağıza iletişim (eWOM) meta-analizi ise olumsuz tüketici içeriğinin müşteri güveni ve satın alma niyetiyle ilişkili olduğunu gösterir; bu literatür bankanın finansal zararını doğrudan tahmin etmez, fakat çözülmemiş merchant mağduriyetlerinin neden müşteri güveni ve ilişki yönetimi açısından önemli olduğunu açıklar [9]. ChargeShield’in pratik boşluğu, bu ayrı yaklaşımları banka-özel settlement/recovery ekonomisi, 7/15/30 günlük horizon ve açıklanabilir merchant ilişki aksiyonu içinde, yeniden üretilebilir bir PoC’de test etmektir.</w:t>
      </w:r>
    </w:p>
    <w:tbl>
      <w:tblPr>
        <w:tblW w:type="auto" w:w="0"/>
        <w:jc w:val="center"/>
        <w:tblLayout w:type="fixed"/>
        <w:tblLook w:firstColumn="1" w:firstRow="1" w:lastColumn="0" w:lastRow="0" w:noHBand="0" w:noVBand="1" w:val="04A0"/>
      </w:tblPr>
      <w:tblGrid>
        <w:gridCol w:w="9866"/>
      </w:tblGrid>
      <w:tr>
        <w:tc>
          <w:tcPr>
            <w:tcW w:type="dxa" w:w="9432"/>
            <w:tcBorders>
              <w:top w:val="single" w:sz="4" w:color="E8F5F4"/>
              <w:start w:val="single" w:sz="28" w:color="16868C"/>
              <w:bottom w:val="single" w:sz="4" w:color="E8F5F4"/>
              <w:end w:val="single" w:sz="4" w:color="E8F5F4"/>
              <w:insideH w:val="nil"/>
              <w:insideV w:val="nil"/>
            </w:tcBorders>
            <w:shd w:fill="E8F5F4"/>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16868C"/>
                <w:sz w:val="19"/>
              </w:rPr>
              <w:t>Araştırma hipotezi</w:t>
            </w:r>
          </w:p>
          <w:p>
            <w:pPr>
              <w:keepNext w:val="0"/>
              <w:widowControl/>
              <w:spacing w:before="0" w:after="0" w:line="269" w:lineRule="auto"/>
            </w:pPr>
            <w:r>
              <w:rPr>
                <w:rFonts w:ascii="Inter" w:hAnsi="Inter" w:eastAsia="Inter"/>
                <w:color w:val="243443"/>
                <w:sz w:val="18"/>
              </w:rPr>
              <w:t>H1: Merchant’ın kendi geçmişine göre sapma özellikleri ham seviyelerden daha fazla sinyal taşır. H2: Complaint NLP, banka-only modele en az bir horizon’da lead time veya Recall@AlertBudget katkısı sağlar. H3: Expected exposure ile sıralama, yalnız risk olasılığına göre sıralamadan daha fazla simüle net zararı aynı analist bütçesinde yakalar.</w:t>
            </w:r>
          </w:p>
        </w:tc>
      </w:tr>
    </w:tbl>
    <w:p>
      <w:pPr>
        <w:keepNext w:val="0"/>
        <w:widowControl/>
        <w:spacing w:before="0" w:after="20" w:line="240" w:lineRule="auto"/>
      </w:pPr>
    </w:p>
    <w:p>
      <w:r>
        <w:rPr>
          <w:rFonts w:ascii="Inter" w:hAnsi="Inter" w:eastAsia="Inter"/>
          <w:color w:val="243443"/>
          <w:sz w:val="19"/>
        </w:rPr>
        <w:br w:type="page"/>
      </w:r>
    </w:p>
    <w:p>
      <w:pPr>
        <w:keepNext/>
        <w:widowControl/>
        <w:spacing w:before="40" w:after="40" w:line="240" w:lineRule="auto"/>
      </w:pPr>
      <w:r>
        <w:rPr>
          <w:rFonts w:ascii="Inter" w:hAnsi="Inter" w:eastAsia="Inter"/>
          <w:b/>
          <w:color w:val="16868C"/>
          <w:sz w:val="16"/>
        </w:rPr>
        <w:t>IMPLEMENTATION PLAN</w:t>
      </w:r>
    </w:p>
    <w:p>
      <w:pPr>
        <w:keepNext/>
        <w:widowControl/>
        <w:spacing w:before="280" w:after="120" w:line="240" w:lineRule="auto"/>
      </w:pPr>
      <w:r>
        <w:rPr>
          <w:rFonts w:ascii="Inter Display" w:hAnsi="Inter Display" w:eastAsia="Inter Display"/>
          <w:b/>
          <w:color w:val="16868C"/>
          <w:sz w:val="34"/>
        </w:rPr>
        <w:t xml:space="preserve">1  </w:t>
      </w:r>
      <w:r>
        <w:rPr>
          <w:rFonts w:ascii="Inter Display" w:hAnsi="Inter Display" w:eastAsia="Inter Display"/>
          <w:b/>
          <w:color w:val="173B57"/>
          <w:sz w:val="34"/>
        </w:rPr>
        <w:t>Teknoloji Yığını</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44"/>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Katman</w:t>
            </w:r>
          </w:p>
        </w:tc>
        <w:tc>
          <w:tcPr>
            <w:tcW w:type="dxa" w:w="3744"/>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Seçim</w:t>
            </w:r>
          </w:p>
        </w:tc>
        <w:tc>
          <w:tcPr>
            <w:tcW w:type="dxa" w:w="3744"/>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Kullanım</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Dil / ortam</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Python 3.12, Jupyter, VS Code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Veri üretimi, deney, dokümantasyon</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Veri</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Pandas, NumPy, Parquet, DuckDB</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Temizleme, merchant-day aggregation, hızlı sorgu</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Model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scikit-learn, CatBoost; LightGBM benchmark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Baseline, çok ufuklu risk, severity ve calibration</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NLP</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TF-IDF, Logistic/Linear SVM; gerekirse sentence-transformers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Risk-topic çıkarımı ve confidence</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Açıklama</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SHAP, reason-code rules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Tekil tahmin açıklaması ve kanıt</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Dashboard</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Streamlit + Plotly</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Analist kuyruğu, trend ve vaka ekranı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Kalite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pytest, Ruff, fixed random seeds, YAML config</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Tekrarlanabilirlik ve leakage testleri</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Dağıtım</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Docker; yerel/demo ortamı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Gerçek kişisel veri olmadan güvenli PoC</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color w:val="243443"/>
                <w:sz w:val="16"/>
              </w:rPr>
              <w:t>Sürüm kontrolü</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GitHub + GitHub Actions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Kod, belge, test ve teslim kanıtı</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FFF5DB"/>
              <w:start w:val="single" w:sz="28" w:color="C28B24"/>
              <w:bottom w:val="single" w:sz="4" w:color="FFF5DB"/>
              <w:end w:val="single" w:sz="4" w:color="FFF5DB"/>
              <w:insideH w:val="nil"/>
              <w:insideV w:val="nil"/>
            </w:tcBorders>
            <w:shd w:fill="FFF5DB"/>
            <w:tcMar>
              <w:top w:w="130" w:type="dxa"/>
              <w:start w:w="190" w:type="dxa"/>
              <w:bottom w:w="130" w:type="dxa"/>
              <w:end w:w="170" w:type="dxa"/>
            </w:tcMar>
            <w:vAlign w:val="center"/>
          </w:tcPr>
          <w:p>
            <w:r>
              <w:t>Kapsam disiplini (18 Eylül capstone teslimi)</w:t>
              <w:br/>
              <w:t>Çekirdek final sürüm: rule + Logistic + CatBoost + TF-IDF complaint NLP + expected exposure + SHAP/reason code + Streamlit. LightGBM, sentence-transformer embedding ve ileri anomali modülleri yalnız bu ana akış eylül ilk haftasına kadar stabilize edilirse eklenir. Böylece eylül ikinci haftası entegrasyon/demo, son hafta ise final test ve sunum için korunur.</w:t>
            </w:r>
          </w:p>
        </w:tc>
      </w:tr>
    </w:tbl>
    <w:p>
      <w:pPr>
        <w:keepNext w:val="0"/>
        <w:widowControl/>
        <w:spacing w:before="0" w:after="20" w:line="240" w:lineRule="auto"/>
      </w:pPr>
    </w:p>
    <w:p>
      <w:pPr>
        <w:keepNext/>
        <w:widowControl/>
        <w:spacing w:before="280" w:after="120" w:line="240" w:lineRule="auto"/>
      </w:pPr>
      <w:r>
        <w:rPr>
          <w:rFonts w:ascii="Inter Display" w:hAnsi="Inter Display" w:eastAsia="Inter Display"/>
          <w:b/>
          <w:color w:val="16868C"/>
          <w:sz w:val="34"/>
        </w:rPr>
        <w:t xml:space="preserve">2  </w:t>
      </w:r>
      <w:r>
        <w:rPr>
          <w:rFonts w:ascii="Inter Display" w:hAnsi="Inter Display" w:eastAsia="Inter Display"/>
          <w:b/>
          <w:color w:val="173B57"/>
          <w:sz w:val="34"/>
        </w:rPr>
        <w:t>Zaman Çizelgesi ve Görev Dağılımı</w:t>
      </w:r>
    </w:p>
    <w:p>
      <w:r>
        <w:rPr>
          <w:sz w:val="19"/>
        </w:rPr>
        <w:t>Proje iki fazda ilerlemektedir. Birinci faz (19–23 Ağustos 2026) tamamlanmıştır: literatür taraması ve araştırma raporları (Literatür İncelemesi, Veri Araştırması, Teknoloji İncelemesi), veri seti araştırması (Yelp, Olist ve kamu kaynakları) ve bu Concept Note &amp; Implementation Plan belgesinin hazırlanması bu fazda yapılmıştır ve plan 23 Ağustos'ta teslim edilir. İkinci faz (23 Ağustos – 18 Eylül 2026) somut geliştirmeyi kapsar: veri hattı ve Merchant Loss Simulator, 7/15/30 günlük risk modeli, şikâyet NLP modülü, ekonomik exposure değerlendirmesi, Streamlit analist paneli, uçtan uca testler, final rapor ve demo. Çalışan PoC 18 Eylül'de tamamlanır. Zaman baskısında çekirdek MVP korunur; LightGBM, embedding ve ileri anomali modülleri yalnız ana akış doğrulandıktan sonra eklenir.</w:t>
      </w:r>
    </w:p>
    <w:p>
      <w:pPr>
        <w:keepNext w:val="0"/>
        <w:widowControl/>
        <w:spacing w:before="80" w:after="40" w:line="240" w:lineRule="auto"/>
        <w:jc w:val="center"/>
      </w:pPr>
      <w:r>
        <w:drawing>
          <wp:inline xmlns:a="http://schemas.openxmlformats.org/drawingml/2006/main" xmlns:pic="http://schemas.openxmlformats.org/drawingml/2006/picture">
            <wp:extent cx="5961888" cy="2616156"/>
            <wp:docPr id="2" name="Picture 2"/>
            <wp:cNvGraphicFramePr>
              <a:graphicFrameLocks noChangeAspect="1"/>
            </wp:cNvGraphicFramePr>
            <a:graphic>
              <a:graphicData uri="http://schemas.openxmlformats.org/drawingml/2006/picture">
                <pic:pic>
                  <pic:nvPicPr>
                    <pic:cNvPr id="0" name="chargeshield_gantt_19_30_agustos.png"/>
                    <pic:cNvPicPr/>
                  </pic:nvPicPr>
                  <pic:blipFill>
                    <a:blip r:embed="rId27"/>
                    <a:stretch>
                      <a:fillRect/>
                    </a:stretch>
                  </pic:blipFill>
                  <pic:spPr>
                    <a:xfrm>
                      <a:off x="0" y="0"/>
                      <a:ext cx="5961888" cy="2616156"/>
                    </a:xfrm>
                    <a:prstGeom prst="rect"/>
                  </pic:spPr>
                </pic:pic>
              </a:graphicData>
            </a:graphic>
          </wp:inline>
        </w:drawing>
      </w:r>
    </w:p>
    <w:p>
      <w:pPr>
        <w:pStyle w:val="Caption"/>
        <w:keepNext w:val="0"/>
        <w:widowControl/>
        <w:spacing w:before="40" w:after="120" w:line="240" w:lineRule="auto"/>
        <w:jc w:val="center"/>
      </w:pPr>
      <w:r>
        <w:t>Şekil 2. ChargeShield proje planı. 19–23 Ağustos'taki araştırma, veri incelemesi ve plan belgesi tamamlanmıştır (taranmış çubuklar); somut geliştirme 23 Ağustos sonrası başlar ve 18 Eylül'de çalışan PoC + demo ile tamamlanır.</w:t>
      </w:r>
    </w:p>
    <w:p>
      <w:pPr>
        <w:keepNext/>
        <w:widowControl/>
        <w:spacing w:before="180" w:after="80" w:line="240" w:lineRule="auto"/>
      </w:pPr>
      <w:r>
        <w:rPr>
          <w:rFonts w:ascii="Inter Display" w:hAnsi="Inter Display" w:eastAsia="Inter Display"/>
          <w:b/>
          <w:color w:val="2D6F9F"/>
          <w:sz w:val="25"/>
        </w:rPr>
        <w:t>Görev dağılımı matrisi</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4320"/>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İş paketi</w:t>
            </w:r>
          </w:p>
        </w:tc>
        <w:tc>
          <w:tcPr>
            <w:tcW w:type="dxa" w:w="1440"/>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Lead</w:t>
            </w:r>
          </w:p>
        </w:tc>
        <w:tc>
          <w:tcPr>
            <w:tcW w:type="dxa" w:w="2015"/>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Destek</w:t>
            </w:r>
          </w:p>
        </w:tc>
        <w:tc>
          <w:tcPr>
            <w:tcW w:type="dxa" w:w="1655"/>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Reviewer</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Proje kapsamı, KPI ve risk politikası</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Ayşe</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Tüm ekip</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Veri sözlüğü ve Merchant Loss Simulator</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Eda</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Ali</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Veri kalite testleri ve EDA</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Ali</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Eda / Ayşe</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Complaint NLP ve etiketleme protokolü</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Ali</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Ayşe</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7/15/30 model, calibration ve SHAP</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Ali</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Eda</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Economic exposure ve policy simulation</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Ayşe</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Eda</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Streamlit panel ve entegrasyon</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Eda</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Alperen</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Ayşe</w:t>
            </w:r>
          </w:p>
        </w:tc>
      </w:tr>
      <w:tr>
        <w:trPr>
          <w:cantSplit/>
        </w:trPr>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6"/>
              </w:rPr>
              <w:t>Test, rapor, sunum ve demo</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Ayşe</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Tüm ekip</w:t>
            </w:r>
          </w:p>
        </w:tc>
        <w:tc>
          <w:tcPr>
            <w:tcW w:type="dxa" w:w="2466"/>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center"/>
            </w:pPr>
            <w:r>
              <w:rPr>
                <w:rFonts w:ascii="Inter" w:hAnsi="Inter" w:eastAsia="Inter"/>
                <w:b w:val="0"/>
                <w:color w:val="243443"/>
                <w:sz w:val="16"/>
              </w:rPr>
              <w:t>Eda</w:t>
            </w:r>
          </w:p>
        </w:tc>
      </w:tr>
    </w:tbl>
    <w:p>
      <w:pPr>
        <w:keepNext/>
        <w:widowControl/>
        <w:spacing w:before="280" w:after="120" w:line="240" w:lineRule="auto"/>
      </w:pPr>
      <w:r>
        <w:rPr>
          <w:rFonts w:ascii="Inter Display" w:hAnsi="Inter Display" w:eastAsia="Inter Display"/>
          <w:b/>
          <w:color w:val="16868C"/>
          <w:sz w:val="34"/>
        </w:rPr>
        <w:t xml:space="preserve">3  </w:t>
      </w:r>
      <w:r>
        <w:rPr>
          <w:rFonts w:ascii="Inter Display" w:hAnsi="Inter Display" w:eastAsia="Inter Display"/>
          <w:b/>
          <w:color w:val="173B57"/>
          <w:sz w:val="34"/>
        </w:rPr>
        <w:t>Kilometre Taşları ve Teslimatlar</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720"/>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rPr>
                <w:b/>
                <w:color w:val="FFFFFF"/>
              </w:rPr>
              <w:t>No</w:t>
            </w:r>
          </w:p>
        </w:tc>
        <w:tc>
          <w:tcPr>
            <w:tcW w:type="dxa" w:w="2232"/>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rPr>
                <w:b/>
                <w:color w:val="FFFFFF"/>
              </w:rPr>
              <w:t>Milestone / hedef tarih</w:t>
            </w:r>
          </w:p>
        </w:tc>
        <w:tc>
          <w:tcPr>
            <w:tcW w:type="dxa" w:w="6480"/>
            <w:vAlign w:val="center"/>
            <w:shd w:fill="2D6F9F"/>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rPr>
                <w:b/>
                <w:color w:val="FFFFFF"/>
              </w:rPr>
              <w:t>Tamamlanma kanıtı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M0</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Kapsam, repo ve veri sözlüğü — 23 Ağustos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Onaylı concept note, veri sözlüğü, repo klasörleri, issue listesi ve veri sözleşmeleri</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M1</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Veri ve simülatör hazır — 30 Ağustos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Merchant Loss Simulator v1, Parquet tablolar, proxy veri hazırlığı, şema/quality testleri ve örnek EDA</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M2</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Baseline ve 7/15/30 etiketler — 4 Eylül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Rule + Logistic sonuçları, kronolojik split, leakage testleri ve ilk PR-AUC/Precision@K raporu</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M3</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Ana model ve açıklama hazır — 8 Eylül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CatBoost 7/15/30 skorları, calibration, horizon tutarlılığı, SHAP/reason-code çıktıları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M4</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NLP + ekonomik değer doğrulandı — 11 Eylül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Manuel NLP holdout, bank-only/+complaint ablation, captured loss, lead time ve policy sensitivity</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M5</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Çalışan entegre demo — 15 Eylül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Streamlit risk kuyruğu, merchant detay ekranı, örnek vaka akışı, log/audit alanı ve uçtan uca smoke test</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M6</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Final proje, demo ve teslim — 18 Eylül</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Son test raporu, KPI tabloları, final belge/rapor, demo senaryosu, sunum, gerekirse demo videosu ve GitHub final commit/push</w:t>
            </w:r>
          </w:p>
        </w:tc>
      </w:tr>
    </w:tbl>
    <w:p>
      <w:pPr>
        <w:keepNext/>
        <w:widowControl/>
        <w:spacing w:before="280" w:after="120" w:line="240" w:lineRule="auto"/>
      </w:pPr>
      <w:r>
        <w:rPr>
          <w:rFonts w:ascii="Inter Display" w:hAnsi="Inter Display" w:eastAsia="Inter Display"/>
          <w:b/>
          <w:color w:val="16868C"/>
          <w:sz w:val="34"/>
        </w:rPr>
        <w:t xml:space="preserve">4  </w:t>
      </w:r>
      <w:r>
        <w:rPr>
          <w:rFonts w:ascii="Inter Display" w:hAnsi="Inter Display" w:eastAsia="Inter Display"/>
          <w:b/>
          <w:color w:val="173B57"/>
          <w:sz w:val="34"/>
        </w:rPr>
        <w:t>Zorluklar ve Azaltma Stratejileri</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32"/>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Risk</w:t>
            </w:r>
          </w:p>
        </w:tc>
        <w:tc>
          <w:tcPr>
            <w:tcW w:type="dxa" w:w="3096"/>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Etkisi</w:t>
            </w:r>
          </w:p>
        </w:tc>
        <w:tc>
          <w:tcPr>
            <w:tcW w:type="dxa" w:w="4104"/>
            <w:vAlign w:val="center"/>
            <w:shd w:fill="173B57"/>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5"/>
              </w:rPr>
              <w:t>Azaltma / fallback</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Gerçek banka verisi yok</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PoC sonucu gerçek banka performansı gibi algılanabilir.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Tüm grafiklerde simulation etiketi; future retrospective validation ve shadow-mode planı.</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Simulator circularity</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Model, veri üretim kuralını ezberleyebilir.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Latent state, rastgele lag/missingness, benign shock, scenario holdout ve çoklu seed.</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Açık proxy ile ekonomik label ayrımı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Olist müşteri deneyimini gösterir fakat banka zararı ground truth’u değildir.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Proxy deneyini ayrı raporla; net loss yalnız simülatörde ve simulation etiketiyle ölçülür.</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Delayed labels / censoring</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Yakın dönem örnekleri yanlış negatif olabilir.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Strict cutoff, temporal gap; gerçek veri fazında label maturity window.</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Class imbalance</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Accuracy yanıltıcı, alarm sayısı artabilir.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PR-AUC, Precision@K, alert budget, class weights ve calibration.</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Yanlış pozitif merchant zararı</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Gereksiz hold veya inceleme merchant likiditesini/retention’ı etkileyebilir.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Otomatik adverse action yok; insan onayı, reason code, merchant itiraz/inceleme süreci.</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NLP bias ve manipülasyon</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Sahte/duplicate yorum veya sektör dili skoru bozabilir.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Confidence, duplicate detection, sektör analizi ve metinsiz model fallback.</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Gizlilik / lisans</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Kişisel veri veya kullanım hakkı ihlali.</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Minimizasyon, maskeleme, izinli veri; lisans kaydı ve harici LLM’e hassas veri göndermeme.</w:t>
            </w:r>
          </w:p>
        </w:tc>
      </w:tr>
      <w:tr>
        <w:trPr>
          <w:cantSplit/>
        </w:trPr>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59" w:lineRule="auto"/>
              <w:jc w:val="left"/>
            </w:pPr>
            <w:r>
              <w:rPr>
                <w:rFonts w:ascii="Inter" w:hAnsi="Inter" w:eastAsia="Inter"/>
                <w:b w:val="0"/>
                <w:color w:val="243443"/>
                <w:sz w:val="15"/>
              </w:rPr>
              <w:t>Zaman / entegrasyon</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30 Ağustos’a kadar model, entegrasyon ve demo aynı sprintte tamamlanmalıdır.</w:t>
            </w:r>
          </w:p>
        </w:tc>
        <w:tc>
          <w:tcPr>
            <w:tcW w:type="dxa" w:w="3289"/>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MVP-first ve paralel çalışma: rule + Logistic + CatBoost + TF-IDF + Streamlit zorunlu çekirdek; LightGBM/embedding/ileri anomali yalnız çekirdek akış ve demo stabilize olduktan sonra.</w:t>
            </w:r>
          </w:p>
        </w:tc>
      </w:tr>
    </w:tbl>
    <w:p>
      <w:pPr>
        <w:keepNext/>
        <w:widowControl/>
        <w:spacing w:before="280" w:after="120" w:line="240" w:lineRule="auto"/>
      </w:pPr>
      <w:r>
        <w:rPr>
          <w:rFonts w:ascii="Inter Display" w:hAnsi="Inter Display" w:eastAsia="Inter Display"/>
          <w:b/>
          <w:color w:val="16868C"/>
          <w:sz w:val="34"/>
        </w:rPr>
        <w:t xml:space="preserve">5  </w:t>
      </w:r>
      <w:r>
        <w:rPr>
          <w:rFonts w:ascii="Inter Display" w:hAnsi="Inter Display" w:eastAsia="Inter Display"/>
          <w:b/>
          <w:color w:val="173B57"/>
          <w:sz w:val="34"/>
        </w:rPr>
        <w:t>Etik ve Sorumlu Yapay Zekâ</w:t>
      </w:r>
    </w:p>
    <w:p>
      <w:pPr>
        <w:pStyle w:val="ListBullet"/>
        <w:keepNext w:val="0"/>
        <w:widowControl/>
        <w:spacing w:before="0" w:after="60" w:line="264" w:lineRule="auto"/>
      </w:pPr>
      <w:r>
        <w:rPr>
          <w:rFonts w:ascii="Inter" w:hAnsi="Inter" w:eastAsia="Inter"/>
          <w:color w:val="243443"/>
          <w:sz w:val="18"/>
        </w:rPr>
        <w:t>İnsan gözetimi: model yalnız inceleme önceliği sunar; termination, fon tutma veya POS kapatma için tek başına karar vermez.</w:t>
      </w:r>
    </w:p>
    <w:p>
      <w:pPr>
        <w:pStyle w:val="ListBullet"/>
        <w:keepNext w:val="0"/>
        <w:widowControl/>
        <w:spacing w:before="0" w:after="60" w:line="264" w:lineRule="auto"/>
      </w:pPr>
      <w:r>
        <w:rPr>
          <w:rFonts w:ascii="Inter" w:hAnsi="Inter" w:eastAsia="Inter"/>
          <w:color w:val="243443"/>
          <w:sz w:val="18"/>
        </w:rPr>
        <w:t>Şeffaflık: her uyarı horizon, olasılık, expected exposure, reason code, kanıt, veri zamanı ve model versiyonu taşır.</w:t>
      </w:r>
    </w:p>
    <w:p>
      <w:pPr>
        <w:pStyle w:val="ListBullet"/>
        <w:keepNext w:val="0"/>
        <w:widowControl/>
        <w:spacing w:before="0" w:after="60" w:line="264" w:lineRule="auto"/>
      </w:pPr>
      <w:r>
        <w:rPr>
          <w:rFonts w:ascii="Inter" w:hAnsi="Inter" w:eastAsia="Inter"/>
          <w:color w:val="243443"/>
          <w:sz w:val="18"/>
        </w:rPr>
        <w:t>Merchant adaleti: sektör, büyüklük, yaş ve hacim segmentlerinde false-positive ve calibration farkları raporlanır.</w:t>
      </w:r>
    </w:p>
    <w:p>
      <w:pPr>
        <w:pStyle w:val="ListBullet"/>
        <w:keepNext w:val="0"/>
        <w:widowControl/>
        <w:spacing w:before="0" w:after="60" w:line="264" w:lineRule="auto"/>
      </w:pPr>
      <w:r>
        <w:rPr>
          <w:rFonts w:ascii="Inter" w:hAnsi="Inter" w:eastAsia="Inter"/>
          <w:color w:val="243443"/>
          <w:sz w:val="18"/>
        </w:rPr>
        <w:t>İtiraz ve düzeltme: analist geri bildirimi, yanlış alarm nedeni ve merchant açıklaması audit trail’de tutulur; politika sahipleri modeli geçersiz kılabilir.</w:t>
      </w:r>
    </w:p>
    <w:p>
      <w:pPr>
        <w:pStyle w:val="ListBullet"/>
        <w:keepNext w:val="0"/>
        <w:widowControl/>
        <w:spacing w:before="0" w:after="60" w:line="264" w:lineRule="auto"/>
      </w:pPr>
      <w:r>
        <w:rPr>
          <w:rFonts w:ascii="Inter" w:hAnsi="Inter" w:eastAsia="Inter"/>
          <w:color w:val="243443"/>
          <w:sz w:val="18"/>
        </w:rPr>
        <w:t>Gizlilik: kişisel veri minimizasyonu, pseudonymization, role-based access ve saklama süresi; gerçek PAN/PII modele girmez.</w:t>
      </w:r>
    </w:p>
    <w:p>
      <w:pPr>
        <w:pStyle w:val="ListBullet"/>
        <w:keepNext w:val="0"/>
        <w:widowControl/>
        <w:spacing w:before="0" w:after="60" w:line="264" w:lineRule="auto"/>
      </w:pPr>
      <w:r>
        <w:rPr>
          <w:rFonts w:ascii="Inter" w:hAnsi="Inter" w:eastAsia="Inter"/>
          <w:color w:val="243443"/>
          <w:sz w:val="18"/>
        </w:rPr>
        <w:t>Model riski: drift, veri kaynağı kesintisi, calibration ve complaint entity confidence izlenir; düşük güven durumunda skor azaltılır veya model fallback’e geçer.</w:t>
      </w:r>
    </w:p>
    <w:p>
      <w:pPr>
        <w:pStyle w:val="ListBullet"/>
        <w:keepNext w:val="0"/>
        <w:widowControl/>
        <w:spacing w:before="0" w:after="60" w:line="264" w:lineRule="auto"/>
      </w:pPr>
      <w:r>
        <w:rPr>
          <w:rFonts w:ascii="Inter" w:hAnsi="Inter" w:eastAsia="Inter"/>
          <w:color w:val="243443"/>
          <w:sz w:val="18"/>
        </w:rPr>
        <w:t>Sorumlu iletişim: sistem “firma dolandırıcıdır” gibi kesin ve zarar verici ifade üretmez; “inceleme gerektiren risk sinyali” dilini kullanır.</w:t>
      </w:r>
    </w:p>
    <w:p>
      <w:pPr>
        <w:pStyle w:val="ListBullet"/>
        <w:keepNext w:val="0"/>
        <w:widowControl/>
        <w:spacing w:before="0" w:after="60" w:line="264" w:lineRule="auto"/>
      </w:pPr>
      <w:r>
        <w:rPr>
          <w:rFonts w:ascii="Inter" w:hAnsi="Inter" w:eastAsia="Inter"/>
          <w:color w:val="243443"/>
          <w:sz w:val="18"/>
        </w:rPr>
        <w:t>Yönetişim yaklaşımı, güvenilirlik ve insan etkisini tasarım-geliştirme-kullanım-değerlendirme boyunca ele alan NIST AI RMF ilkeleriyle uyumlu kurulacaktır [13].</w:t>
      </w:r>
    </w:p>
    <w:tbl>
      <w:tblPr>
        <w:tblW w:type="auto" w:w="0"/>
        <w:jc w:val="center"/>
        <w:tblLayout w:type="fixed"/>
        <w:tblLook w:firstColumn="1" w:firstRow="1" w:lastColumn="0" w:lastRow="0" w:noHBand="0" w:noVBand="1" w:val="04A0"/>
      </w:tblPr>
      <w:tblGrid>
        <w:gridCol w:w="9866"/>
      </w:tblGrid>
      <w:tr>
        <w:tc>
          <w:tcPr>
            <w:tcW w:type="dxa" w:w="9432"/>
            <w:tcBorders>
              <w:top w:val="single" w:sz="4" w:color="FFF5DB"/>
              <w:start w:val="single" w:sz="28" w:color="C28B24"/>
              <w:bottom w:val="single" w:sz="4" w:color="FFF5DB"/>
              <w:end w:val="single" w:sz="4" w:color="FFF5DB"/>
              <w:insideH w:val="nil"/>
              <w:insideV w:val="nil"/>
            </w:tcBorders>
            <w:shd w:fill="FFF5DB"/>
            <w:tcMar>
              <w:top w:w="130" w:type="dxa"/>
              <w:start w:w="190" w:type="dxa"/>
              <w:bottom w:w="130" w:type="dxa"/>
              <w:end w:w="170" w:type="dxa"/>
            </w:tcMar>
            <w:vAlign w:val="center"/>
          </w:tcPr>
          <w:p>
            <w:pPr>
              <w:keepNext w:val="0"/>
              <w:widowControl/>
              <w:spacing w:before="0" w:after="40" w:line="240" w:lineRule="auto"/>
            </w:pPr>
            <w:r>
              <w:rPr>
                <w:rFonts w:ascii="Inter" w:hAnsi="Inter" w:eastAsia="Inter"/>
                <w:b/>
                <w:color w:val="C28B24"/>
                <w:sz w:val="19"/>
              </w:rPr>
              <w:t>YAPAY ZEKÂ KULLANIM BEYANI</w:t>
            </w:r>
          </w:p>
          <w:p>
            <w:pPr>
              <w:keepNext w:val="0"/>
              <w:widowControl/>
              <w:spacing w:before="0" w:after="0" w:line="269" w:lineRule="auto"/>
            </w:pPr>
            <w:r>
              <w:rPr>
                <w:rFonts w:ascii="Inter" w:hAnsi="Inter" w:eastAsia="Inter"/>
                <w:color w:val="243443"/>
                <w:sz w:val="18"/>
              </w:rPr>
              <w:t>Bu belge; kaynak taramasının yapılandırılması, taslak oluşturma, dil düzenleme ve görsel yerleşim aşamalarında üretken yapay zekâ desteği kullanılarak hazırlanmıştır. Kaynaklar, iddialar, ekip rolleri, kapsam ve nihai teslim ekip üyeleri tarafından doğrulanmalı ve onaylanmalıdır. Proje kodu, deneyler ve sonuçlar ekip tarafından üretilecek; yapay zekâ tarafından uydurulmuş performans sonucu kullanılmayacaktır.</w:t>
            </w:r>
          </w:p>
        </w:tc>
      </w:tr>
    </w:tbl>
    <w:p>
      <w:pPr>
        <w:keepNext w:val="0"/>
        <w:widowControl/>
        <w:spacing w:before="0" w:after="20" w:line="240" w:lineRule="auto"/>
      </w:pPr>
    </w:p>
    <w:p>
      <w:r>
        <w:rPr>
          <w:rFonts w:ascii="Inter" w:hAnsi="Inter" w:eastAsia="Inter"/>
          <w:color w:val="243443"/>
          <w:sz w:val="19"/>
        </w:rPr>
        <w:br w:type="page"/>
      </w:r>
    </w:p>
    <w:p>
      <w:pPr>
        <w:keepNext/>
        <w:widowControl/>
        <w:spacing w:before="40" w:after="40" w:line="240" w:lineRule="auto"/>
      </w:pPr>
      <w:r>
        <w:rPr>
          <w:rFonts w:ascii="Inter" w:hAnsi="Inter" w:eastAsia="Inter"/>
          <w:b/>
          <w:color w:val="16868C"/>
          <w:sz w:val="16"/>
        </w:rPr>
        <w:t>REFERENCES</w:t>
      </w:r>
    </w:p>
    <w:p>
      <w:pPr>
        <w:keepNext/>
        <w:widowControl/>
        <w:spacing w:before="280" w:after="120" w:line="240" w:lineRule="auto"/>
      </w:pPr>
      <w:r>
        <w:rPr>
          <w:rFonts w:ascii="Inter Display" w:hAnsi="Inter Display" w:eastAsia="Inter Display"/>
          <w:b/>
          <w:color w:val="16868C"/>
          <w:sz w:val="34"/>
        </w:rPr>
        <w:t xml:space="preserve">6  </w:t>
      </w:r>
      <w:r>
        <w:rPr>
          <w:rFonts w:ascii="Inter Display" w:hAnsi="Inter Display" w:eastAsia="Inter Display"/>
          <w:b/>
          <w:color w:val="173B57"/>
          <w:sz w:val="34"/>
        </w:rPr>
        <w:t>Kaynakça</w:t>
      </w:r>
    </w:p>
    <w:p>
      <w:pPr>
        <w:spacing w:after="70" w:line="252" w:lineRule="auto"/>
        <w:ind w:left="403" w:hanging="403"/>
      </w:pPr>
      <w:r>
        <w:rPr>
          <w:rFonts w:ascii="Inter" w:hAnsi="Inter" w:eastAsia="Inter"/>
          <w:color w:val="243443"/>
          <w:sz w:val="16"/>
        </w:rPr>
        <w:t>[1] Office of the Comptroller of the Currency (OCC). Comptroller’s Handbook: Merchant Processing, Version 1.0, August 2014; reputation-risk references updated March 2025.</w:t>
      </w:r>
      <w:r>
        <w:rPr>
          <w:rFonts w:ascii="Inter" w:hAnsi="Inter" w:eastAsia="Inter"/>
          <w:color w:val="243443"/>
          <w:sz w:val="19"/>
        </w:rPr>
        <w:t xml:space="preserve"> </w:t>
      </w:r>
      <w:hyperlink r:id="rId13">
        <w:r>
          <w:rPr>
            <w:color w:val="2D6F9F"/>
            <w:u w:val="single"/>
            <w:rFonts w:ascii="Inter" w:hAnsi="Inter"/>
            <w:sz w:val="17"/>
          </w:rPr>
          <w:t>https://www.occ.treas.gov/publications-and-resources/publications/comptrollers-handbook/files/merchant-processing/pub-ch-merchant-processing.pdf</w:t>
        </w:r>
      </w:hyperlink>
    </w:p>
    <w:p>
      <w:pPr>
        <w:spacing w:after="70" w:line="252" w:lineRule="auto"/>
        <w:ind w:left="403" w:hanging="403"/>
      </w:pPr>
      <w:r>
        <w:rPr>
          <w:rFonts w:ascii="Inter" w:hAnsi="Inter" w:eastAsia="Inter"/>
          <w:color w:val="243443"/>
          <w:sz w:val="16"/>
        </w:rPr>
        <w:t>[2] Mastercard. Merchant Monitoring with AI: Understanding Your Merchants and the Potential Risks. Erişim: 22 Ağustos 2026.</w:t>
      </w:r>
      <w:r>
        <w:rPr>
          <w:rFonts w:ascii="Inter" w:hAnsi="Inter" w:eastAsia="Inter"/>
          <w:color w:val="243443"/>
          <w:sz w:val="19"/>
        </w:rPr>
        <w:t xml:space="preserve"> </w:t>
      </w:r>
      <w:hyperlink r:id="rId14">
        <w:r>
          <w:rPr>
            <w:color w:val="2D6F9F"/>
            <w:u w:val="single"/>
            <w:rFonts w:ascii="Inter" w:hAnsi="Inter"/>
            <w:sz w:val="17"/>
          </w:rPr>
          <w:t>https://www.mastercard.com/global/en/business/cybersecurity-fraud-prevention/risk-decisioning/merchant-monitoring-with-ai.html</w:t>
        </w:r>
      </w:hyperlink>
    </w:p>
    <w:p>
      <w:pPr>
        <w:spacing w:after="70" w:line="252" w:lineRule="auto"/>
        <w:ind w:left="403" w:hanging="403"/>
      </w:pPr>
      <w:r>
        <w:rPr>
          <w:rFonts w:ascii="Inter" w:hAnsi="Inter" w:eastAsia="Inter"/>
          <w:color w:val="243443"/>
          <w:sz w:val="16"/>
        </w:rPr>
        <w:t>[3] Mastercard. Merchant Risk Predict. Erişim: 22 Ağustos 2026.</w:t>
      </w:r>
      <w:r>
        <w:rPr>
          <w:rFonts w:ascii="Inter" w:hAnsi="Inter" w:eastAsia="Inter"/>
          <w:color w:val="243443"/>
          <w:sz w:val="19"/>
        </w:rPr>
        <w:t xml:space="preserve"> </w:t>
      </w:r>
      <w:hyperlink r:id="rId15">
        <w:r>
          <w:rPr>
            <w:color w:val="2D6F9F"/>
            <w:u w:val="single"/>
            <w:rFonts w:ascii="Inter" w:hAnsi="Inter"/>
            <w:sz w:val="17"/>
          </w:rPr>
          <w:t>https://www.mastercard.com/global/en/business/cybersecurity-fraud-prevention/risk-decisioning/merchant-risk-predict.html</w:t>
        </w:r>
      </w:hyperlink>
    </w:p>
    <w:p>
      <w:pPr>
        <w:spacing w:after="70" w:line="252" w:lineRule="auto"/>
        <w:ind w:left="403" w:hanging="403"/>
      </w:pPr>
      <w:r>
        <w:rPr>
          <w:rFonts w:ascii="Inter" w:hAnsi="Inter" w:eastAsia="Inter"/>
          <w:color w:val="243443"/>
          <w:sz w:val="16"/>
        </w:rPr>
        <w:t>[4] Visa Developer. Visa Merchant Screening Service. Erişim: 22 Ağustos 2026.</w:t>
      </w:r>
      <w:r>
        <w:rPr>
          <w:rFonts w:ascii="Inter" w:hAnsi="Inter" w:eastAsia="Inter"/>
          <w:color w:val="243443"/>
          <w:sz w:val="19"/>
        </w:rPr>
        <w:t xml:space="preserve"> </w:t>
      </w:r>
      <w:hyperlink r:id="rId16">
        <w:r>
          <w:rPr>
            <w:color w:val="2D6F9F"/>
            <w:u w:val="single"/>
            <w:rFonts w:ascii="Inter" w:hAnsi="Inter"/>
            <w:sz w:val="17"/>
          </w:rPr>
          <w:t>https://developer.visa.com/capabilities/visa-merchant-screening-service</w:t>
        </w:r>
      </w:hyperlink>
    </w:p>
    <w:p>
      <w:pPr>
        <w:spacing w:after="70" w:line="252" w:lineRule="auto"/>
        <w:ind w:left="403" w:hanging="403"/>
      </w:pPr>
      <w:r>
        <w:rPr>
          <w:rFonts w:ascii="Inter" w:hAnsi="Inter" w:eastAsia="Inter"/>
          <w:color w:val="243443"/>
          <w:sz w:val="16"/>
        </w:rPr>
        <w:t>[5] Türkiye Cumhuriyet Merkez Bankası. Ödeme Sistemleri ile İlgili Mevzuat; 1.11.2023 tarihli Dolandırıcılık Eylemlerine İlişkin Talimat listesi. Erişim: 22 Ağustos 2026.</w:t>
      </w:r>
      <w:r>
        <w:rPr>
          <w:rFonts w:ascii="Inter" w:hAnsi="Inter" w:eastAsia="Inter"/>
          <w:color w:val="243443"/>
          <w:sz w:val="19"/>
        </w:rPr>
        <w:t xml:space="preserve"> </w:t>
      </w:r>
      <w:hyperlink r:id="rId17">
        <w:r>
          <w:rPr>
            <w:color w:val="2D6F9F"/>
            <w:u w:val="single"/>
            <w:rFonts w:ascii="Inter" w:hAnsi="Inter"/>
            <w:sz w:val="17"/>
          </w:rPr>
          <w:t>https://www.tcmb.gov.tr/wps/wcm/connect/TR/TCMB+TR/Main+Menu/Banka+Hakkinda/Mevzuat/Odeme+Sistemleri</w:t>
        </w:r>
      </w:hyperlink>
    </w:p>
    <w:p>
      <w:pPr>
        <w:spacing w:after="70" w:line="252" w:lineRule="auto"/>
        <w:ind w:left="403" w:hanging="403"/>
      </w:pPr>
      <w:r>
        <w:rPr>
          <w:rFonts w:ascii="Inter" w:hAnsi="Inter" w:eastAsia="Inter"/>
          <w:color w:val="243443"/>
          <w:sz w:val="16"/>
        </w:rPr>
        <w:t>[6] Allen, J. S. (2025). CardSim: A Bayesian Simulator for Payment Card Fraud Detection Research. Finance and Economics Discussion Series 2025-017, Board of Governors of the Federal Reserve System.</w:t>
      </w:r>
      <w:r>
        <w:rPr>
          <w:rFonts w:ascii="Inter" w:hAnsi="Inter" w:eastAsia="Inter"/>
          <w:color w:val="243443"/>
          <w:sz w:val="19"/>
        </w:rPr>
        <w:t xml:space="preserve"> </w:t>
      </w:r>
      <w:hyperlink r:id="rId18">
        <w:r>
          <w:rPr>
            <w:color w:val="2D6F9F"/>
            <w:u w:val="single"/>
            <w:rFonts w:ascii="Inter" w:hAnsi="Inter"/>
            <w:sz w:val="17"/>
          </w:rPr>
          <w:t>https://doi.org/10.17016/FEDS.2025.017</w:t>
        </w:r>
      </w:hyperlink>
    </w:p>
    <w:p>
      <w:pPr>
        <w:spacing w:after="70" w:line="252" w:lineRule="auto"/>
        <w:ind w:left="403" w:hanging="403"/>
      </w:pPr>
      <w:r>
        <w:rPr>
          <w:rFonts w:ascii="Inter" w:hAnsi="Inter" w:eastAsia="Inter"/>
          <w:color w:val="243443"/>
          <w:sz w:val="16"/>
        </w:rPr>
        <w:t>[7] Le Borgne, Y.-A., Siblini, W., Lebichot, B., &amp; Bontempi, G. Reproducible Machine Learning for Credit Card Fraud Detection - Practical Handbook.</w:t>
      </w:r>
      <w:r>
        <w:rPr>
          <w:rFonts w:ascii="Inter" w:hAnsi="Inter" w:eastAsia="Inter"/>
          <w:color w:val="243443"/>
          <w:sz w:val="19"/>
        </w:rPr>
        <w:t xml:space="preserve"> </w:t>
      </w:r>
      <w:hyperlink r:id="rId19">
        <w:r>
          <w:rPr>
            <w:color w:val="2D6F9F"/>
            <w:u w:val="single"/>
            <w:rFonts w:ascii="Inter" w:hAnsi="Inter"/>
            <w:sz w:val="17"/>
          </w:rPr>
          <w:t>https://fraud-detection-handbook.github.io/fraud-detection-handbook/</w:t>
        </w:r>
      </w:hyperlink>
    </w:p>
    <w:p>
      <w:pPr>
        <w:spacing w:after="70" w:line="252" w:lineRule="auto"/>
        <w:ind w:left="403" w:hanging="403"/>
      </w:pPr>
      <w:r>
        <w:rPr>
          <w:rFonts w:ascii="Inter" w:hAnsi="Inter" w:eastAsia="Inter"/>
          <w:color w:val="243443"/>
          <w:sz w:val="16"/>
        </w:rPr>
        <w:t>[8] Naumzik, C., Feuerriegel, S., &amp; Weinmann, M. (2022). I Will Survive: Predicting Business Failures from Customer Ratings. Marketing Science, 41(1), 188-207.</w:t>
      </w:r>
      <w:r>
        <w:rPr>
          <w:rFonts w:ascii="Inter" w:hAnsi="Inter" w:eastAsia="Inter"/>
          <w:color w:val="243443"/>
          <w:sz w:val="19"/>
        </w:rPr>
        <w:t xml:space="preserve"> </w:t>
      </w:r>
      <w:hyperlink r:id="rId20">
        <w:r>
          <w:rPr>
            <w:color w:val="2D6F9F"/>
            <w:u w:val="single"/>
            <w:rFonts w:ascii="Inter" w:hAnsi="Inter"/>
            <w:sz w:val="17"/>
          </w:rPr>
          <w:t>https://doi.org/10.1287/mksc.2021.1317</w:t>
        </w:r>
      </w:hyperlink>
    </w:p>
    <w:p>
      <w:pPr>
        <w:spacing w:after="70" w:line="252" w:lineRule="auto"/>
        <w:ind w:left="403" w:hanging="403"/>
      </w:pPr>
      <w:r>
        <w:rPr>
          <w:rFonts w:ascii="Inter" w:hAnsi="Inter" w:eastAsia="Inter"/>
          <w:color w:val="243443"/>
          <w:sz w:val="16"/>
        </w:rPr>
        <w:t>[9] Ismagilova, E., Slade, E., Rana, N. P., &amp; Dwivedi, Y. K. (2020). The Effect of Electronic Word of Mouth Communications on Intention to Buy: A Meta-Analysis. Information Systems Frontiers, 22, 1203-1226.</w:t>
      </w:r>
      <w:r>
        <w:rPr>
          <w:rFonts w:ascii="Inter" w:hAnsi="Inter" w:eastAsia="Inter"/>
          <w:color w:val="243443"/>
          <w:sz w:val="19"/>
        </w:rPr>
        <w:t xml:space="preserve"> </w:t>
      </w:r>
      <w:hyperlink r:id="rId21">
        <w:r>
          <w:rPr>
            <w:color w:val="2D6F9F"/>
            <w:u w:val="single"/>
            <w:rFonts w:ascii="Inter" w:hAnsi="Inter"/>
            <w:sz w:val="17"/>
          </w:rPr>
          <w:t>https://doi.org/10.1007/s10796-019-09924-y</w:t>
        </w:r>
      </w:hyperlink>
    </w:p>
    <w:p>
      <w:pPr>
        <w:spacing w:after="70" w:line="252" w:lineRule="auto"/>
        <w:ind w:left="403" w:hanging="403"/>
      </w:pPr>
      <w:r>
        <w:rPr>
          <w:rFonts w:ascii="Inter" w:hAnsi="Inter" w:eastAsia="Inter"/>
          <w:color w:val="243443"/>
          <w:sz w:val="16"/>
        </w:rPr>
        <w:t>[10] Prokhorenkova, L., Gusev, G., Vorobev, A., Dorogush, A. V., &amp; Gulin, A. (2018). CatBoost: Unbiased Boosting with Categorical Features. NeurIPS 2018.</w:t>
      </w:r>
      <w:r>
        <w:rPr>
          <w:rFonts w:ascii="Inter" w:hAnsi="Inter" w:eastAsia="Inter"/>
          <w:color w:val="243443"/>
          <w:sz w:val="19"/>
        </w:rPr>
        <w:t xml:space="preserve"> </w:t>
      </w:r>
      <w:hyperlink r:id="rId22">
        <w:r>
          <w:rPr>
            <w:color w:val="2D6F9F"/>
            <w:u w:val="single"/>
            <w:rFonts w:ascii="Inter" w:hAnsi="Inter"/>
            <w:sz w:val="17"/>
          </w:rPr>
          <w:t>https://proceedings.neurips.cc/paper/2018/hash/14491b756b3a51daac41c24863285549-Abstract.html</w:t>
        </w:r>
      </w:hyperlink>
    </w:p>
    <w:p>
      <w:pPr>
        <w:spacing w:after="70" w:line="252" w:lineRule="auto"/>
        <w:ind w:left="403" w:hanging="403"/>
      </w:pPr>
      <w:r>
        <w:rPr>
          <w:rFonts w:ascii="Inter" w:hAnsi="Inter" w:eastAsia="Inter"/>
          <w:color w:val="243443"/>
          <w:sz w:val="16"/>
        </w:rPr>
        <w:t>[11] Ke, G., Meng, Q., Finley, T., et al. (2017). LightGBM: A Highly Efficient Gradient Boosting Decision Tree. NeurIPS 2017.</w:t>
      </w:r>
      <w:r>
        <w:rPr>
          <w:rFonts w:ascii="Inter" w:hAnsi="Inter" w:eastAsia="Inter"/>
          <w:color w:val="243443"/>
          <w:sz w:val="19"/>
        </w:rPr>
        <w:t xml:space="preserve"> </w:t>
      </w:r>
      <w:hyperlink r:id="rId23">
        <w:r>
          <w:rPr>
            <w:color w:val="2D6F9F"/>
            <w:u w:val="single"/>
            <w:rFonts w:ascii="Inter" w:hAnsi="Inter"/>
            <w:sz w:val="17"/>
          </w:rPr>
          <w:t>https://proceedings.neurips.cc/paper/2017/hash/6449f44a102fde848669bdd9eb6b76fa-Abstract.html</w:t>
        </w:r>
      </w:hyperlink>
    </w:p>
    <w:p>
      <w:pPr>
        <w:spacing w:after="70" w:line="252" w:lineRule="auto"/>
        <w:ind w:left="403" w:hanging="403"/>
      </w:pPr>
      <w:r>
        <w:rPr>
          <w:rFonts w:ascii="Inter" w:hAnsi="Inter" w:eastAsia="Inter"/>
          <w:color w:val="243443"/>
          <w:sz w:val="16"/>
        </w:rPr>
        <w:t>[12] Lundberg, S. M., &amp; Lee, S.-I. (2017). A Unified Approach to Interpreting Model Predictions. NeurIPS 2017.</w:t>
      </w:r>
      <w:r>
        <w:rPr>
          <w:rFonts w:ascii="Inter" w:hAnsi="Inter" w:eastAsia="Inter"/>
          <w:color w:val="243443"/>
          <w:sz w:val="19"/>
        </w:rPr>
        <w:t xml:space="preserve"> </w:t>
      </w:r>
      <w:hyperlink r:id="rId24">
        <w:r>
          <w:rPr>
            <w:color w:val="2D6F9F"/>
            <w:u w:val="single"/>
            <w:rFonts w:ascii="Inter" w:hAnsi="Inter"/>
            <w:sz w:val="17"/>
          </w:rPr>
          <w:t>https://proceedings.neurips.cc/paper/2017/hash/8a20a8621978632d76c43dfd28b67767-Abstract.html</w:t>
        </w:r>
      </w:hyperlink>
    </w:p>
    <w:p>
      <w:pPr>
        <w:spacing w:after="70" w:line="252" w:lineRule="auto"/>
        <w:ind w:left="403" w:hanging="403"/>
      </w:pPr>
      <w:r>
        <w:rPr>
          <w:rFonts w:ascii="Inter" w:hAnsi="Inter" w:eastAsia="Inter"/>
          <w:color w:val="243443"/>
          <w:sz w:val="16"/>
        </w:rPr>
        <w:t>[13] National Institute of Standards and Technology. (2023). Artificial Intelligence Risk Management Framework (AI RMF 1.0), NIST AI 100-1.</w:t>
      </w:r>
      <w:r>
        <w:rPr>
          <w:rFonts w:ascii="Inter" w:hAnsi="Inter" w:eastAsia="Inter"/>
          <w:color w:val="243443"/>
          <w:sz w:val="19"/>
        </w:rPr>
        <w:t xml:space="preserve"> </w:t>
      </w:r>
      <w:hyperlink r:id="rId25">
        <w:r>
          <w:rPr>
            <w:color w:val="2D6F9F"/>
            <w:u w:val="single"/>
            <w:rFonts w:ascii="Inter" w:hAnsi="Inter"/>
            <w:sz w:val="17"/>
          </w:rPr>
          <w:t>https://doi.org/10.6028/NIST.AI.100-1</w:t>
        </w:r>
      </w:hyperlink>
    </w:p>
    <w:p>
      <w:pPr>
        <w:spacing w:after="70" w:line="252" w:lineRule="auto"/>
        <w:ind w:left="403" w:hanging="403"/>
      </w:pPr>
      <w:r>
        <w:rPr>
          <w:rFonts w:ascii="Inter" w:hAnsi="Inter" w:eastAsia="Inter"/>
          <w:color w:val="243443"/>
          <w:sz w:val="16"/>
        </w:rPr>
        <w:t>[14] Olist. Brazilian E-Commerce Public Dataset by Olist. Seller, order, delivery, payment ve review tabloları; kullanım koşulları uygulama öncesinde doğrulanacaktır.</w:t>
      </w:r>
      <w:r>
        <w:rPr>
          <w:rFonts w:ascii="Inter" w:hAnsi="Inter" w:eastAsia="Inter"/>
          <w:color w:val="243443"/>
          <w:sz w:val="19"/>
        </w:rPr>
        <w:t xml:space="preserve"> </w:t>
      </w:r>
      <w:hyperlink r:id="rId26">
        <w:r>
          <w:rPr>
            <w:color w:val="2D6F9F"/>
            <w:u w:val="single"/>
            <w:rFonts w:ascii="Inter" w:hAnsi="Inter"/>
            <w:sz w:val="17"/>
          </w:rPr>
          <w:t>https://www.kaggle.com/datasets/olistbr/brazilian-ecommerce</w:t>
        </w:r>
      </w:hyperlink>
    </w:p>
    <w:p>
      <w:pPr>
        <w:keepNext/>
        <w:widowControl/>
        <w:spacing w:before="280" w:after="120" w:line="240" w:lineRule="auto"/>
      </w:pPr>
      <w:r>
        <w:rPr>
          <w:rFonts w:ascii="Inter Display" w:hAnsi="Inter Display" w:eastAsia="Inter Display"/>
          <w:b/>
          <w:color w:val="173B57"/>
          <w:sz w:val="34"/>
        </w:rPr>
        <w:t>Teslim Paketi ve Son Kontrol</w:t>
      </w:r>
    </w:p>
    <w:tbl>
      <w:tblPr>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32"/>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Kontrol alanı</w:t>
            </w:r>
          </w:p>
        </w:tc>
        <w:tc>
          <w:tcPr>
            <w:tcW w:type="dxa" w:w="7200"/>
            <w:vAlign w:val="center"/>
            <w:shd w:fill="16868C"/>
            <w:tcMar>
              <w:top w:w="105" w:type="dxa"/>
              <w:start w:w="115" w:type="dxa"/>
              <w:bottom w:w="105"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pPr>
              <w:keepNext w:val="0"/>
              <w:widowControl/>
              <w:spacing w:before="0" w:after="0" w:line="240" w:lineRule="auto"/>
              <w:jc w:val="center"/>
            </w:pPr>
            <w:r>
              <w:rPr>
                <w:rFonts w:ascii="Inter" w:hAnsi="Inter" w:eastAsia="Inter"/>
                <w:b/>
                <w:color w:val="FFFFFF"/>
                <w:sz w:val="16"/>
              </w:rPr>
              <w:t>Tamamlanma ölçütü</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Final belgeler</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Concept Note &amp; Implementation Plan, değerlendirme raporu ve sunum dosyaları son sürüm olarak kontrol edilir.</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Kod ve model</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Simülatör, preprocessing/feature kodu, rule/Logistic/CatBoost modelleri, NLP ve testler yeniden çalıştırılabilir durumda.</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Demo</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Streamlit paneli uçtan uca açılır; en az bir sağlıklı ve bir riskli merchant vaka senaryosu kesintisiz gösterilir.</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KPI ve kanıt</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PR-AUC, Precision@K/Recall@AlertBudget, lead time, calibration, false-positive ve captured simulated exposure tabloları üretilir.</w:t>
            </w:r>
          </w:p>
        </w:tc>
      </w:tr>
      <w:tr>
        <w:trPr>
          <w:cantSplit/>
        </w:trP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Kaynaklar ve AI beyanı</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t>Atıflar, lisans/kullanım notları ve yapay zekâ kullanım açıklaması doğrulanır.</w:t>
            </w:r>
          </w:p>
        </w:tc>
      </w:tr>
      <w:tr>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rPr/>
              <w:t>GitHub final teslimi</w:t>
            </w:r>
          </w:p>
        </w:tc>
        <w:tc>
          <w:tcPr>
            <w:tcW w:type="dxa" w:w="4933"/>
            <w:vAlign w:val="center"/>
            <w:tcMar>
              <w:top w:w="100" w:type="dxa"/>
              <w:start w:w="115" w:type="dxa"/>
              <w:bottom w:w="100" w:type="dxa"/>
              <w:end w:w="115" w:type="dxa"/>
            </w:tcMar>
            <w:tcBorders>
              <w:top w:val="single" w:sz="5" w:color="CBD5DE"/>
              <w:start w:val="single" w:sz="5" w:color="CBD5DE"/>
              <w:bottom w:val="single" w:sz="5" w:color="CBD5DE"/>
              <w:end w:val="single" w:sz="5" w:color="CBD5DE"/>
              <w:insideH w:val="single" w:sz="5" w:color="CBD5DE"/>
              <w:insideV w:val="single" w:sz="5" w:color="CBD5DE"/>
            </w:tcBorders>
          </w:tcPr>
          <w:p>
            <w:r>
              <w:rPr/>
              <w:t>Kod, veri üretim yönergeleri, final belgeler ve demo materyalleri 18 Eylül 2026 saat 23:59’dan önce commit + push edilir; temiz clone üzerinden çalıştırma kontrol edilir.</w:t>
            </w:r>
          </w:p>
        </w:tc>
      </w:tr>
    </w:tbl>
    <w:tbl>
      <w:tblPr>
        <w:tblW w:type="auto" w:w="0"/>
        <w:jc w:val="center"/>
        <w:tblLayout w:type="fixed"/>
        <w:tblLook w:firstColumn="1" w:firstRow="1" w:lastColumn="0" w:lastRow="0" w:noHBand="0" w:noVBand="1" w:val="04A0"/>
      </w:tblPr>
      <w:tblGrid>
        <w:gridCol w:w="9866"/>
      </w:tblGrid>
      <w:tr>
        <w:tc>
          <w:tcPr>
            <w:tcW w:type="dxa" w:w="9432"/>
            <w:tcBorders>
              <w:top w:val="single" w:sz="4" w:color="EAF5EF"/>
              <w:start w:val="single" w:sz="28" w:color="2F7D63"/>
              <w:bottom w:val="single" w:sz="4" w:color="EAF5EF"/>
              <w:end w:val="single" w:sz="4" w:color="EAF5EF"/>
              <w:insideH w:val="nil"/>
              <w:insideV w:val="nil"/>
            </w:tcBorders>
            <w:shd w:fill="EAF5EF"/>
            <w:tcMar>
              <w:top w:w="130" w:type="dxa"/>
              <w:start w:w="190" w:type="dxa"/>
              <w:bottom w:w="130" w:type="dxa"/>
              <w:end w:w="170" w:type="dxa"/>
            </w:tcMar>
            <w:vAlign w:val="center"/>
          </w:tcPr>
          <w:p>
            <w:r>
              <w:t>18 Eylül capstone teslim hedefi</w:t>
              <w:br/>
              <w:t>Ekip çalışma planı, 18 Eylül 2026 itibarıyla tüm ChargeShield PoC’sinin tamamlanıp demo edilebilir durumda olmasını esas alır. Final paket; Concept Note &amp; Implementation Plan, Merchant Loss Simulator, 7/15/30 risk modeli, şikâyet NLP’si, ekonomik exposure değerlendirmesi, açıklanabilir Streamlit paneli, test/KPI çıktıları, final rapor, sunum ve GitHub reposunu kapsar.</w:t>
            </w:r>
          </w:p>
        </w:tc>
      </w:tr>
    </w:tbl>
    <w:p>
      <w:pPr>
        <w:keepNext w:val="0"/>
        <w:widowControl/>
        <w:spacing w:before="0" w:after="20" w:line="240" w:lineRule="auto"/>
      </w:pPr>
    </w:p>
    <w:sectPr w:rsidR="00FC693F" w:rsidRPr="0006063C" w:rsidSect="00034616">
      <w:footerReference w:type="default" r:id="rId9"/>
      <w:footerReference w:type="first" r:id="rId10"/>
      <w:pgSz w:w="11906" w:h="16838"/>
      <w:pgMar w:top="964" w:right="1020" w:bottom="907"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left"/>
    </w:pPr>
    <w:r>
      <w:rPr>
        <w:rFonts w:ascii="Inter" w:hAnsi="Inter" w:eastAsia="Inter"/>
        <w:color w:val="5D6B78"/>
        <w:sz w:val="16"/>
      </w:rPr>
      <w:t>ChargeShield  •  Concept Note &amp; Implementation Plan</w:t>
    </w:r>
  </w:p>
  <w:tbl>
    <w:tblPr>
      <w:tblW w:type="auto" w:w="0"/>
      <w:jc w:val="center"/>
      <w:tblLayout w:type="fixed"/>
      <w:tblLook w:firstColumn="1" w:firstRow="1" w:lastColumn="0" w:lastRow="0" w:noHBand="0" w:noVBand="1" w:val="04A0"/>
    </w:tblPr>
    <w:tblGrid>
      <w:gridCol w:w="4788"/>
      <w:gridCol w:w="4788"/>
    </w:tblGrid>
    <w:tr>
      <w:tc>
        <w:tcPr>
          <w:tcW w:type="dxa" w:w="8496"/>
          <w:tcBorders>
            <w:top w:val="nil"/>
            <w:start w:val="nil"/>
            <w:bottom w:val="nil"/>
            <w:end w:val="nil"/>
            <w:insideH w:val="nil"/>
            <w:insideV w:val="nil"/>
          </w:tcBorders>
        </w:tcPr>
        <w:p>
          <w:r/>
        </w:p>
      </w:tc>
      <w:tc>
        <w:tcPr>
          <w:tcW w:type="dxa" w:w="1080"/>
          <w:tcBorders>
            <w:top w:val="nil"/>
            <w:start w:val="nil"/>
            <w:bottom w:val="nil"/>
            <w:end w:val="nil"/>
            <w:insideH w:val="nil"/>
            <w:insideV w:val="nil"/>
          </w:tcBorders>
        </w:tcPr>
        <w:p>
          <w:pPr>
            <w:jc w:val="right"/>
          </w:pPr>
          <w:r/>
          <w:r>
            <w:rPr>
              <w:rFonts w:ascii="Inter" w:hAnsi="Inter" w:eastAsia="Inter"/>
              <w:color w:val="5D6B78"/>
              <w:sz w:val="16"/>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Inter" w:hAnsi="Inter"/>
      <w:color w:val="2434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rPr>
      <w:rFonts w:ascii="Inter" w:hAnsi="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rPr>
      <w:rFonts w:ascii="Inter" w:hAnsi="Inte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occ.treas.gov/publications-and-resources/publications/comptrollers-handbook/files/merchant-processing/pub-ch-merchant-processing.pdf" TargetMode="External"/><Relationship Id="rId14" Type="http://schemas.openxmlformats.org/officeDocument/2006/relationships/hyperlink" Target="https://www.mastercard.com/global/en/business/cybersecurity-fraud-prevention/risk-decisioning/merchant-monitoring-with-ai.html" TargetMode="External"/><Relationship Id="rId15" Type="http://schemas.openxmlformats.org/officeDocument/2006/relationships/hyperlink" Target="https://www.mastercard.com/global/en/business/cybersecurity-fraud-prevention/risk-decisioning/merchant-risk-predict.html" TargetMode="External"/><Relationship Id="rId16" Type="http://schemas.openxmlformats.org/officeDocument/2006/relationships/hyperlink" Target="https://developer.visa.com/capabilities/visa-merchant-screening-service" TargetMode="External"/><Relationship Id="rId17" Type="http://schemas.openxmlformats.org/officeDocument/2006/relationships/hyperlink" Target="https://www.tcmb.gov.tr/wps/wcm/connect/TR/TCMB+TR/Main+Menu/Banka+Hakkinda/Mevzuat/Odeme+Sistemleri" TargetMode="External"/><Relationship Id="rId18" Type="http://schemas.openxmlformats.org/officeDocument/2006/relationships/hyperlink" Target="https://doi.org/10.17016/FEDS.2025.017" TargetMode="External"/><Relationship Id="rId19" Type="http://schemas.openxmlformats.org/officeDocument/2006/relationships/hyperlink" Target="https://fraud-detection-handbook.github.io/fraud-detection-handbook/" TargetMode="External"/><Relationship Id="rId20" Type="http://schemas.openxmlformats.org/officeDocument/2006/relationships/hyperlink" Target="https://doi.org/10.1287/mksc.2021.1317" TargetMode="External"/><Relationship Id="rId21" Type="http://schemas.openxmlformats.org/officeDocument/2006/relationships/hyperlink" Target="https://doi.org/10.1007/s10796-019-09924-y" TargetMode="External"/><Relationship Id="rId22" Type="http://schemas.openxmlformats.org/officeDocument/2006/relationships/hyperlink" Target="https://proceedings.neurips.cc/paper/2018/hash/14491b756b3a51daac41c24863285549-Abstract.html" TargetMode="External"/><Relationship Id="rId23" Type="http://schemas.openxmlformats.org/officeDocument/2006/relationships/hyperlink" Target="https://proceedings.neurips.cc/paper/2017/hash/6449f44a102fde848669bdd9eb6b76fa-Abstract.html" TargetMode="External"/><Relationship Id="rId24" Type="http://schemas.openxmlformats.org/officeDocument/2006/relationships/hyperlink" Target="https://proceedings.neurips.cc/paper/2017/hash/8a20a8621978632d76c43dfd28b67767-Abstract.html" TargetMode="External"/><Relationship Id="rId25" Type="http://schemas.openxmlformats.org/officeDocument/2006/relationships/hyperlink" Target="https://doi.org/10.6028/NIST.AI.100-1" TargetMode="External"/><Relationship Id="rId26" Type="http://schemas.openxmlformats.org/officeDocument/2006/relationships/hyperlink" Target="https://www.kaggle.com/datasets/olistbr/brazilian-ecommerce" TargetMode="External"/><Relationship Id="rId2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ChargeShield - Concept Note and Implementation Plan</dc:title>
  <dc:subject>Samsung Innovation Campus AI in Marketing Capstone</dc:subject>
  <dc:creator>ChargeShield Team</dc:creator>
  <cp:keywords>merchant risk, sanal POS, chargeback, early warning, AI in marketing</cp:keywords>
  <dc:description>Final concept note and implementation plan.</dc:description>
  <cp:lastModifiedBy/>
  <cp:revision>1</cp:revision>
  <dcterms:created xsi:type="dcterms:W3CDTF">2013-12-23T23:15:00Z</dcterms:created>
  <dcterms:modified xsi:type="dcterms:W3CDTF">2013-12-23T23:15:00Z</dcterms:modified>
  <cp:category/>
</cp:coreProperties>
</file>