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ChargeShield</w:t>
      </w:r>
    </w:p>
    <w:p>
      <w:pPr>
        <w:jc w:val="center"/>
      </w:pPr>
      <w:r>
        <w:rPr>
          <w:b/>
          <w:sz w:val="30"/>
        </w:rPr>
        <w:t>Model Refinement ve Test Submission v2</w:t>
      </w:r>
    </w:p>
    <w:p>
      <w:r>
        <w:t>Bu belge, Ayşe’nin refinement yaklaşımının ChargeShield verisi üzerinde bağımsız olarak yeniden çalıştırılmış ve doğrulanmış halidir. Metrikler hazır örnekten değil, 03_model_refinement_verified.py çalıştırmasının oluşturduğu JSON ve CSV çıktılarından alınmıştır.</w:t>
      </w:r>
    </w:p>
    <w:p>
      <w:pPr>
        <w:pStyle w:val="Heading1"/>
      </w:pPr>
      <w:r>
        <w:rPr>
          <w:color w:val="000000"/>
        </w:rPr>
        <w:t>1. Overview</w:t>
      </w:r>
    </w:p>
    <w:p>
      <w:r>
        <w:t>Model refinement aşamasının amacı baseline modellerini sistematik biçimde iyileştirmek ve test döneminde genellenebilir bir erken uyarı davranışı elde etmektir. Hedef risk_before_release’tır; model yalnızca olay-öncesi şikâyet sinyallerini kullanır.</w:t>
      </w:r>
    </w:p>
    <w:p>
      <w:pPr>
        <w:pStyle w:val="Heading1"/>
      </w:pPr>
      <w:r>
        <w:rPr>
          <w:color w:val="000000"/>
        </w:rPr>
        <w:t>2. Initial Model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>
              <w:t>Model</w:t>
            </w:r>
          </w:p>
        </w:tc>
        <w:tc>
          <w:tcPr>
            <w:tcW w:type="dxa" w:w="1656"/>
            <w:shd w:fill="D9EAF7"/>
          </w:tcPr>
          <w:p>
            <w:r>
              <w:t>Accuracy</w:t>
            </w:r>
          </w:p>
        </w:tc>
        <w:tc>
          <w:tcPr>
            <w:tcW w:type="dxa" w:w="1656"/>
            <w:shd w:fill="D9EAF7"/>
          </w:tcPr>
          <w:p>
            <w:r>
              <w:t>Precision</w:t>
            </w:r>
          </w:p>
        </w:tc>
        <w:tc>
          <w:tcPr>
            <w:tcW w:type="dxa" w:w="1656"/>
            <w:shd w:fill="D9EAF7"/>
          </w:tcPr>
          <w:p>
            <w:r>
              <w:t>Recall</w:t>
            </w:r>
          </w:p>
        </w:tc>
        <w:tc>
          <w:tcPr>
            <w:tcW w:type="dxa" w:w="1656"/>
            <w:shd w:fill="D9EAF7"/>
          </w:tcPr>
          <w:p>
            <w:r>
              <w:t>F1</w:t>
            </w:r>
          </w:p>
        </w:tc>
        <w:tc>
          <w:tcPr>
            <w:tcW w:type="dxa" w:w="1656"/>
            <w:shd w:fill="D9EAF7"/>
          </w:tcPr>
          <w:p>
            <w:r>
              <w:t>ROC-AUC</w:t>
            </w:r>
          </w:p>
        </w:tc>
      </w:tr>
      <w:tr>
        <w:tc>
          <w:tcPr>
            <w:tcW w:type="dxa" w:w="1656"/>
          </w:tcPr>
          <w:p>
            <w:r>
              <w:t>Logistic baseline</w:t>
            </w:r>
          </w:p>
        </w:tc>
        <w:tc>
          <w:tcPr>
            <w:tcW w:type="dxa" w:w="1656"/>
          </w:tcPr>
          <w:p>
            <w:r>
              <w:t>0.985</w:t>
            </w:r>
          </w:p>
        </w:tc>
        <w:tc>
          <w:tcPr>
            <w:tcW w:type="dxa" w:w="1656"/>
          </w:tcPr>
          <w:p>
            <w:r>
              <w:t>0.592</w:t>
            </w:r>
          </w:p>
        </w:tc>
        <w:tc>
          <w:tcPr>
            <w:tcW w:type="dxa" w:w="1656"/>
          </w:tcPr>
          <w:p>
            <w:r>
              <w:t>0.412</w:t>
            </w:r>
          </w:p>
        </w:tc>
        <w:tc>
          <w:tcPr>
            <w:tcW w:type="dxa" w:w="1656"/>
          </w:tcPr>
          <w:p>
            <w:r>
              <w:t>0.486</w:t>
            </w:r>
          </w:p>
        </w:tc>
        <w:tc>
          <w:tcPr>
            <w:tcW w:type="dxa" w:w="1656"/>
          </w:tcPr>
          <w:p>
            <w:r>
              <w:t>0.936</w:t>
            </w:r>
          </w:p>
        </w:tc>
      </w:tr>
      <w:tr>
        <w:tc>
          <w:tcPr>
            <w:tcW w:type="dxa" w:w="1656"/>
            <w:shd w:fill="F5F8FA"/>
          </w:tcPr>
          <w:p>
            <w:r>
              <w:t>RF-style baseline</w:t>
            </w:r>
          </w:p>
        </w:tc>
        <w:tc>
          <w:tcPr>
            <w:tcW w:type="dxa" w:w="1656"/>
            <w:shd w:fill="F5F8FA"/>
          </w:tcPr>
          <w:p>
            <w:r>
              <w:t>0.983</w:t>
            </w:r>
          </w:p>
        </w:tc>
        <w:tc>
          <w:tcPr>
            <w:tcW w:type="dxa" w:w="1656"/>
            <w:shd w:fill="F5F8FA"/>
          </w:tcPr>
          <w:p>
            <w:r>
              <w:t>0.000</w:t>
            </w:r>
          </w:p>
        </w:tc>
        <w:tc>
          <w:tcPr>
            <w:tcW w:type="dxa" w:w="1656"/>
            <w:shd w:fill="F5F8FA"/>
          </w:tcPr>
          <w:p>
            <w:r>
              <w:t>0.000</w:t>
            </w:r>
          </w:p>
        </w:tc>
        <w:tc>
          <w:tcPr>
            <w:tcW w:type="dxa" w:w="1656"/>
            <w:shd w:fill="F5F8FA"/>
          </w:tcPr>
          <w:p>
            <w:r>
              <w:t>0.000</w:t>
            </w:r>
          </w:p>
        </w:tc>
        <w:tc>
          <w:tcPr>
            <w:tcW w:type="dxa" w:w="1656"/>
            <w:shd w:fill="F5F8FA"/>
          </w:tcPr>
          <w:p>
            <w:r>
              <w:t>0.901</w:t>
            </w:r>
          </w:p>
        </w:tc>
      </w:tr>
    </w:tbl>
    <w:p/>
    <w:p>
      <w:pPr>
        <w:pStyle w:val="Heading1"/>
      </w:pPr>
      <w:r>
        <w:rPr>
          <w:color w:val="000000"/>
        </w:rPr>
        <w:t>3. Refinement Techniques</w:t>
      </w:r>
    </w:p>
    <w:p>
      <w:pPr>
        <w:pStyle w:val="ListBullet"/>
      </w:pPr>
      <w:r>
        <w:t>9 kombinasyonlu Logistic hiperparametre grid araması.</w:t>
      </w:r>
    </w:p>
    <w:p>
      <w:pPr>
        <w:pStyle w:val="ListBullet"/>
      </w:pPr>
      <w:r>
        <w:t>6 kombinasyonlu RF-style grid araması.</w:t>
      </w:r>
    </w:p>
    <w:p>
      <w:pPr>
        <w:pStyle w:val="ListBullet"/>
      </w:pPr>
      <w:r>
        <w:t>4 katmanlı expanding-window zaman-serisi validation.</w:t>
      </w:r>
    </w:p>
    <w:p>
      <w:pPr>
        <w:pStyle w:val="ListBullet"/>
      </w:pPr>
      <w:r>
        <w:t>F1 metriğiyle greedy forward feature selection.</w:t>
      </w:r>
    </w:p>
    <w:p>
      <w:pPr>
        <w:pStyle w:val="ListBullet"/>
      </w:pPr>
      <w:r>
        <w:t>Validation tabanlı eşik seçimi.</w:t>
      </w:r>
    </w:p>
    <w:p>
      <w:pPr>
        <w:pStyle w:val="Heading1"/>
      </w:pPr>
      <w:r>
        <w:rPr>
          <w:color w:val="000000"/>
        </w:rPr>
        <w:t>4. Hyperparameter Tuning</w:t>
      </w:r>
    </w:p>
    <w:p>
      <w:r>
        <w:t>En iyi Logistic ayarı lr=0.1, l2=0.001 ve ortalama CV F1=0.436’dır. En iyi RF-style ayarı n_estimators=60, n_candidates=20 ve ortalama CV F1=0.281’dir. Bu sonuçlar yalnızca tuning havuzundaki geçmiş dönemlerle elde edilmiştir.</w:t>
      </w:r>
    </w:p>
    <w:p>
      <w:pPr>
        <w:pStyle w:val="Heading1"/>
      </w:pPr>
      <w:r>
        <w:rPr>
          <w:color w:val="000000"/>
        </w:rPr>
        <w:t>5. Cross Validation</w:t>
      </w:r>
    </w:p>
    <w:p>
      <w:r>
        <w:t>Rastgele k-fold kullanılmamıştır. Dört expanding-window katmanında her validation dilimi yalnızca kendisinden önceki kayıtlarla eğitilen model üzerinde değerlendirilmiştir. Böylece geleceğin geçmişe sızması önlenmiştir.</w:t>
      </w:r>
    </w:p>
    <w:p>
      <w:pPr>
        <w:pStyle w:val="Heading1"/>
      </w:pPr>
      <w:r>
        <w:rPr>
          <w:color w:val="000000"/>
        </w:rPr>
        <w:t>6. Feature Selection</w:t>
      </w:r>
    </w:p>
    <w:p>
      <w:r>
        <w:t>18 özellik arasından 7 şikâyet odaklı özellik seçildi: negative_review_ratio_30d, text_available_ratio_14d, complaint_count_7d, complaint_count_30d, negative_review_ratio_14d, text_available_ratio_7d ve complaint_acceleration_7_vs_30. Seçim CV F1 metriğiyle yapılmıştır.</w:t>
      </w:r>
    </w:p>
    <w:p>
      <w:pPr>
        <w:pStyle w:val="Heading1"/>
      </w:pPr>
      <w:r>
        <w:rPr>
          <w:color w:val="000000"/>
        </w:rPr>
        <w:t>Test Submission</w:t>
      </w:r>
    </w:p>
    <w:p>
      <w:pPr>
        <w:pStyle w:val="Heading2"/>
      </w:pPr>
      <w:r>
        <w:rPr>
          <w:color w:val="000000"/>
        </w:rPr>
        <w:t>1. Data Preparation for Testing</w:t>
      </w:r>
    </w:p>
    <w:p>
      <w:r>
        <w:t>Veri %60 eğitim, %20 validation, %20 test olarak kronolojik ayrıldı. Standardizasyon yalnızca eğitim istatistikleriyle yapıldı. Test seti pozitif oranı yaklaşık %1.72’dir.</w:t>
      </w:r>
    </w:p>
    <w:p>
      <w:pPr>
        <w:pStyle w:val="Heading2"/>
      </w:pPr>
      <w:r>
        <w:rPr>
          <w:color w:val="000000"/>
        </w:rPr>
        <w:t>2. Model Application</w:t>
      </w:r>
    </w:p>
    <w:p>
      <w:r>
        <w:t>Nihai model eğitim verisinde eğitildi, eşik validation bölümünde seçildi ve test bölümünde değiştirilmeden uygulandı. Random Forest çıktı CSV’sindeki eşik, metriklerde kullanılan validation eşiğiyle aynı olacak şekilde doğrulandı.</w:t>
      </w:r>
    </w:p>
    <w:p>
      <w:pPr>
        <w:pStyle w:val="Heading2"/>
      </w:pPr>
      <w:r>
        <w:rPr>
          <w:color w:val="000000"/>
        </w:rPr>
        <w:t>3. Test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>
              <w:t>Model</w:t>
            </w:r>
          </w:p>
        </w:tc>
        <w:tc>
          <w:tcPr>
            <w:tcW w:type="dxa" w:w="1656"/>
            <w:shd w:fill="D9EAF7"/>
          </w:tcPr>
          <w:p>
            <w:r>
              <w:t>Precision</w:t>
            </w:r>
          </w:p>
        </w:tc>
        <w:tc>
          <w:tcPr>
            <w:tcW w:type="dxa" w:w="1656"/>
            <w:shd w:fill="D9EAF7"/>
          </w:tcPr>
          <w:p>
            <w:r>
              <w:t>Recall</w:t>
            </w:r>
          </w:p>
        </w:tc>
        <w:tc>
          <w:tcPr>
            <w:tcW w:type="dxa" w:w="1656"/>
            <w:shd w:fill="D9EAF7"/>
          </w:tcPr>
          <w:p>
            <w:r>
              <w:t>F1</w:t>
            </w:r>
          </w:p>
        </w:tc>
        <w:tc>
          <w:tcPr>
            <w:tcW w:type="dxa" w:w="1656"/>
            <w:shd w:fill="D9EAF7"/>
          </w:tcPr>
          <w:p>
            <w:r>
              <w:t>ROC-AUC</w:t>
            </w:r>
          </w:p>
        </w:tc>
        <w:tc>
          <w:tcPr>
            <w:tcW w:type="dxa" w:w="1656"/>
            <w:shd w:fill="D9EAF7"/>
          </w:tcPr>
          <w:p>
            <w:r>
              <w:t>Threshold</w:t>
            </w:r>
          </w:p>
        </w:tc>
      </w:tr>
      <w:tr>
        <w:tc>
          <w:tcPr>
            <w:tcW w:type="dxa" w:w="1656"/>
          </w:tcPr>
          <w:p>
            <w:r>
              <w:t>Refined Logistic</w:t>
            </w:r>
          </w:p>
        </w:tc>
        <w:tc>
          <w:tcPr>
            <w:tcW w:type="dxa" w:w="1656"/>
          </w:tcPr>
          <w:p>
            <w:r>
              <w:t>0.620</w:t>
            </w:r>
          </w:p>
        </w:tc>
        <w:tc>
          <w:tcPr>
            <w:tcW w:type="dxa" w:w="1656"/>
          </w:tcPr>
          <w:p>
            <w:r>
              <w:t>0.611</w:t>
            </w:r>
          </w:p>
        </w:tc>
        <w:tc>
          <w:tcPr>
            <w:tcW w:type="dxa" w:w="1656"/>
          </w:tcPr>
          <w:p>
            <w:r>
              <w:t>0.616</w:t>
            </w:r>
          </w:p>
        </w:tc>
        <w:tc>
          <w:tcPr>
            <w:tcW w:type="dxa" w:w="1656"/>
          </w:tcPr>
          <w:p>
            <w:r>
              <w:t>0.904</w:t>
            </w:r>
          </w:p>
        </w:tc>
        <w:tc>
          <w:tcPr>
            <w:tcW w:type="dxa" w:w="1656"/>
          </w:tcPr>
          <w:p>
            <w:r>
              <w:t>0.82</w:t>
            </w:r>
          </w:p>
        </w:tc>
      </w:tr>
      <w:tr>
        <w:tc>
          <w:tcPr>
            <w:tcW w:type="dxa" w:w="1656"/>
            <w:shd w:fill="F5F8FA"/>
          </w:tcPr>
          <w:p>
            <w:r>
              <w:t>Refined RF-style</w:t>
            </w:r>
          </w:p>
        </w:tc>
        <w:tc>
          <w:tcPr>
            <w:tcW w:type="dxa" w:w="1656"/>
            <w:shd w:fill="F5F8FA"/>
          </w:tcPr>
          <w:p>
            <w:r>
              <w:t>0.977</w:t>
            </w:r>
          </w:p>
        </w:tc>
        <w:tc>
          <w:tcPr>
            <w:tcW w:type="dxa" w:w="1656"/>
            <w:shd w:fill="F5F8FA"/>
          </w:tcPr>
          <w:p>
            <w:r>
              <w:t>0.403</w:t>
            </w:r>
          </w:p>
        </w:tc>
        <w:tc>
          <w:tcPr>
            <w:tcW w:type="dxa" w:w="1656"/>
            <w:shd w:fill="F5F8FA"/>
          </w:tcPr>
          <w:p>
            <w:r>
              <w:t>0.570</w:t>
            </w:r>
          </w:p>
        </w:tc>
        <w:tc>
          <w:tcPr>
            <w:tcW w:type="dxa" w:w="1656"/>
            <w:shd w:fill="F5F8FA"/>
          </w:tcPr>
          <w:p>
            <w:r>
              <w:t>0.902</w:t>
            </w:r>
          </w:p>
        </w:tc>
        <w:tc>
          <w:tcPr>
            <w:tcW w:type="dxa" w:w="1656"/>
            <w:shd w:fill="F5F8FA"/>
          </w:tcPr>
          <w:p>
            <w:r>
              <w:t>0.08</w:t>
            </w:r>
          </w:p>
        </w:tc>
      </w:tr>
    </w:tbl>
    <w:p/>
    <w:p>
      <w:pPr>
        <w:pStyle w:val="Heading2"/>
      </w:pPr>
      <w:r>
        <w:rPr>
          <w:color w:val="000000"/>
        </w:rPr>
        <w:t>4. Model Deployment</w:t>
      </w:r>
    </w:p>
    <w:p>
      <w:r>
        <w:t>Bu çalışma üretim deploymentı değildir. Önerilen akış, günlük merchant-gün skorlama, risk analisti kuyruğu, iki modelin tamamlayıcı kullanımı, validation ve gerçek banka verisiyle eşik kalibrasyonu ve model drift takibidir.</w:t>
      </w:r>
    </w:p>
    <w:p>
      <w:pPr>
        <w:pStyle w:val="Heading2"/>
      </w:pPr>
      <w:r>
        <w:rPr>
          <w:color w:val="000000"/>
        </w:rPr>
        <w:t>5. Code Implementation</w:t>
      </w:r>
    </w:p>
    <w:p>
      <w:r>
        <w:t>Doğrulanmış script ve çıktılar /Users/edavural/Desktop/scapstone/ayse_refinement_verified klasöründe tutulmaktadır. Script veri dosyasını değiştirmez; çıktıları ayrı outputs klasörüne yazar. Bu nedenle baseline sonuçları korunur ve önce/sonra karşılaştırması tekrarlanabilir.</w:t>
      </w:r>
    </w:p>
    <w:p>
      <w:pPr>
        <w:pStyle w:val="Heading1"/>
      </w:pPr>
      <w:r>
        <w:rPr>
          <w:color w:val="000000"/>
        </w:rPr>
        <w:t>Conclusion</w:t>
      </w:r>
    </w:p>
    <w:p>
      <w:r>
        <w:t>Refinement sonucunda Logistic Regression F1 değerini 0.486’dan 0.616’ya, recall değerini 0.412’den 0.611’e çıkarmıştır. Random Forest-style model F1=0.570 ve precision=0.977 üretmiştir; ancak recall=0.403 olduğu için ana model değil, yüksek güvenli tamamlayıcı alarm olarak değerlendirilmiştir. Bulgular sentetik prototip ile sınırlıdır.</w:t>
      </w:r>
    </w:p>
    <w:p>
      <w:pPr>
        <w:pStyle w:val="Heading1"/>
      </w:pPr>
      <w:r>
        <w:rPr>
          <w:color w:val="000000"/>
        </w:rPr>
        <w:t>References</w:t>
      </w:r>
    </w:p>
    <w:p>
      <w:pPr>
        <w:pStyle w:val="ListBullet"/>
      </w:pPr>
      <w:r>
        <w:t>ChargeShield ekip kodları ve Olist veri seti.</w:t>
      </w:r>
    </w:p>
    <w:p>
      <w:pPr>
        <w:pStyle w:val="ListBullet"/>
      </w:pPr>
      <w:r>
        <w:t>scikit-learn model evaluation ve classification metrics dokümantasyonu.</w:t>
      </w:r>
    </w:p>
    <w:p>
      <w:pPr>
        <w:pStyle w:val="ListBullet"/>
      </w:pPr>
      <w:r>
        <w:t>ROC-AUC ve Precision–Recall değerlendirme kaynakları.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