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ChargeShield</w:t>
      </w:r>
    </w:p>
    <w:p>
      <w:pPr>
        <w:jc w:val="center"/>
      </w:pPr>
      <w:r>
        <w:rPr>
          <w:b/>
          <w:sz w:val="32"/>
        </w:rPr>
        <w:t>Deployment Submission</w:t>
      </w:r>
    </w:p>
    <w:p>
      <w:pPr>
        <w:jc w:val="center"/>
      </w:pPr>
      <w:r>
        <w:rPr>
          <w:i/>
        </w:rPr>
        <w:t>Sanal POS merchantları için lokal deployment prototipi</w:t>
      </w:r>
    </w:p>
    <w:p>
      <w:r>
        <w:t>Bu rapor, ChargeShield modelinin deployment aşamasını açıklar. Model gerçek bir banka sistemine bağlanmamış; model artifactı, lokal tahmin modülü, HTTP API ve tarayıcıdan denenebilen basit bir arayüz hazırlanmıştır. Tüm çalışma sentetik prototip verisiyle sınırlıdır.</w:t>
      </w:r>
    </w:p>
    <w:p>
      <w:pPr>
        <w:pStyle w:val="Heading1"/>
      </w:pPr>
      <w:r>
        <w:rPr>
          <w:color w:val="000000"/>
        </w:rPr>
        <w:t>1. Overview</w:t>
      </w:r>
    </w:p>
    <w:p>
      <w:r>
        <w:t>Deployment akışı, eğitim sırasında seçilen refined Logistic Regression modelinin yeni merchant-gün kayıtları üzerinde tekrar kullanılmasını sağlar. Model; 7 proaktif şikâyet özelliğini alır, risk olasılığı üretir ve sonucu düşük, orta veya yüksek risk seviyesine dönüştürür. Yüksek risk sonucu bankanın risk analisti kuyruğuna manuel inceleme önerisi olarak gönderilir; otomatik POS kapatma yapılmaz.</w:t>
      </w:r>
    </w:p>
    <w:tbl>
      <w:tblPr>
        <w:tblStyle w:val="TableGrid"/>
        <w:tblW w:type="auto" w:w="0"/>
        <w:tblLook w:firstColumn="1" w:firstRow="1" w:lastColumn="0" w:lastRow="0" w:noHBand="0" w:noVBand="1" w:val="04A0"/>
      </w:tblPr>
      <w:tblGrid>
        <w:gridCol w:w="4968"/>
        <w:gridCol w:w="4968"/>
      </w:tblGrid>
      <w:tr>
        <w:tc>
          <w:tcPr>
            <w:tcW w:type="dxa" w:w="4968"/>
            <w:shd w:fill="D9EAF7"/>
          </w:tcPr>
          <w:p>
            <w:r>
              <w:t>Aşama</w:t>
            </w:r>
          </w:p>
        </w:tc>
        <w:tc>
          <w:tcPr>
            <w:tcW w:type="dxa" w:w="4968"/>
            <w:shd w:fill="D9EAF7"/>
          </w:tcPr>
          <w:p>
            <w:r>
              <w:t>Deployment karşılığı</w:t>
            </w:r>
          </w:p>
        </w:tc>
      </w:tr>
      <w:tr>
        <w:tc>
          <w:tcPr>
            <w:tcW w:type="dxa" w:w="4968"/>
          </w:tcPr>
          <w:p>
            <w:r>
              <w:t>Veri girişi</w:t>
            </w:r>
          </w:p>
        </w:tc>
        <w:tc>
          <w:tcPr>
            <w:tcW w:type="dxa" w:w="4968"/>
          </w:tcPr>
          <w:p>
            <w:r>
              <w:t>Merchant-gün şikâyet özellikleri</w:t>
            </w:r>
          </w:p>
        </w:tc>
      </w:tr>
      <w:tr>
        <w:tc>
          <w:tcPr>
            <w:tcW w:type="dxa" w:w="4968"/>
          </w:tcPr>
          <w:p>
            <w:r>
              <w:t>Model</w:t>
            </w:r>
          </w:p>
        </w:tc>
        <w:tc>
          <w:tcPr>
            <w:tcW w:type="dxa" w:w="4968"/>
          </w:tcPr>
          <w:p>
            <w:r>
              <w:t>Balanced Logistic Regression v3</w:t>
            </w:r>
          </w:p>
        </w:tc>
      </w:tr>
      <w:tr>
        <w:tc>
          <w:tcPr>
            <w:tcW w:type="dxa" w:w="4968"/>
          </w:tcPr>
          <w:p>
            <w:r>
              <w:t>Çıktı</w:t>
            </w:r>
          </w:p>
        </w:tc>
        <w:tc>
          <w:tcPr>
            <w:tcW w:type="dxa" w:w="4968"/>
          </w:tcPr>
          <w:p>
            <w:r>
              <w:t>Risk olasılığı, seviye ve öneri</w:t>
            </w:r>
          </w:p>
        </w:tc>
      </w:tr>
      <w:tr>
        <w:tc>
          <w:tcPr>
            <w:tcW w:type="dxa" w:w="4968"/>
          </w:tcPr>
          <w:p>
            <w:r>
              <w:t>Karar</w:t>
            </w:r>
          </w:p>
        </w:tc>
        <w:tc>
          <w:tcPr>
            <w:tcW w:type="dxa" w:w="4968"/>
          </w:tcPr>
          <w:p>
            <w:r>
              <w:t>Manuel banka incelemesi</w:t>
            </w:r>
          </w:p>
        </w:tc>
      </w:tr>
    </w:tbl>
    <w:p/>
    <w:p>
      <w:pPr>
        <w:pStyle w:val="Heading1"/>
      </w:pPr>
      <w:r>
        <w:rPr>
          <w:color w:val="000000"/>
        </w:rPr>
        <w:t>2. Model Serialization</w:t>
      </w:r>
    </w:p>
    <w:p>
      <w:r>
        <w:t>Model deployment için model_artifact.json dosyasına kaydedilmiştir. Dosyada model ağırlıkları ve bias yanında aynı standardizasyonu tekrar uygulamak için eğitim ortalamaları ve standart sapmaları, özellik listesi, eşik değeri ve model sürümü bulunur. Sadece ağırlıkları kaydetmek yeterli olmayacağı için preprocessing bilgileri de artifact içine alınmıştır.</w:t>
      </w:r>
    </w:p>
    <w:tbl>
      <w:tblPr>
        <w:tblStyle w:val="TableGrid"/>
        <w:tblW w:type="auto" w:w="0"/>
        <w:tblLook w:firstColumn="1" w:firstRow="1" w:lastColumn="0" w:lastRow="0" w:noHBand="0" w:noVBand="1" w:val="04A0"/>
      </w:tblPr>
      <w:tblGrid>
        <w:gridCol w:w="4968"/>
        <w:gridCol w:w="4968"/>
      </w:tblGrid>
      <w:tr>
        <w:tc>
          <w:tcPr>
            <w:tcW w:type="dxa" w:w="4968"/>
            <w:shd w:fill="D9EAF7"/>
          </w:tcPr>
          <w:p>
            <w:r>
              <w:t>Artifact alanı</w:t>
            </w:r>
          </w:p>
        </w:tc>
        <w:tc>
          <w:tcPr>
            <w:tcW w:type="dxa" w:w="4968"/>
            <w:shd w:fill="D9EAF7"/>
          </w:tcPr>
          <w:p>
            <w:r>
              <w:t>İçerik</w:t>
            </w:r>
          </w:p>
        </w:tc>
      </w:tr>
      <w:tr>
        <w:tc>
          <w:tcPr>
            <w:tcW w:type="dxa" w:w="4968"/>
          </w:tcPr>
          <w:p>
            <w:r>
              <w:t>weights ve bias</w:t>
            </w:r>
          </w:p>
        </w:tc>
        <w:tc>
          <w:tcPr>
            <w:tcW w:type="dxa" w:w="4968"/>
          </w:tcPr>
          <w:p>
            <w:r>
              <w:t>Logistic Regression parametreleri</w:t>
            </w:r>
          </w:p>
        </w:tc>
      </w:tr>
      <w:tr>
        <w:tc>
          <w:tcPr>
            <w:tcW w:type="dxa" w:w="4968"/>
          </w:tcPr>
          <w:p>
            <w:r>
              <w:t>features</w:t>
            </w:r>
          </w:p>
        </w:tc>
        <w:tc>
          <w:tcPr>
            <w:tcW w:type="dxa" w:w="4968"/>
          </w:tcPr>
          <w:p>
            <w:r>
              <w:t>Kullanılan 7 şikâyet özelliği</w:t>
            </w:r>
          </w:p>
        </w:tc>
      </w:tr>
      <w:tr>
        <w:tc>
          <w:tcPr>
            <w:tcW w:type="dxa" w:w="4968"/>
          </w:tcPr>
          <w:p>
            <w:r>
              <w:t>mean ve std</w:t>
            </w:r>
          </w:p>
        </w:tc>
        <w:tc>
          <w:tcPr>
            <w:tcW w:type="dxa" w:w="4968"/>
          </w:tcPr>
          <w:p>
            <w:r>
              <w:t>Eğitim standardizasyon değerleri</w:t>
            </w:r>
          </w:p>
        </w:tc>
      </w:tr>
      <w:tr>
        <w:tc>
          <w:tcPr>
            <w:tcW w:type="dxa" w:w="4968"/>
          </w:tcPr>
          <w:p>
            <w:r>
              <w:t>threshold</w:t>
            </w:r>
          </w:p>
        </w:tc>
        <w:tc>
          <w:tcPr>
            <w:tcW w:type="dxa" w:w="4968"/>
          </w:tcPr>
          <w:p>
            <w:r>
              <w:t>Validation ile seçilen 0.82</w:t>
            </w:r>
          </w:p>
        </w:tc>
      </w:tr>
      <w:tr>
        <w:tc>
          <w:tcPr>
            <w:tcW w:type="dxa" w:w="4968"/>
          </w:tcPr>
          <w:p>
            <w:r>
              <w:t>artifact_version</w:t>
            </w:r>
          </w:p>
        </w:tc>
        <w:tc>
          <w:tcPr>
            <w:tcW w:type="dxa" w:w="4968"/>
          </w:tcPr>
          <w:p>
            <w:r>
              <w:t>chargeshield-logistic-v3</w:t>
            </w:r>
          </w:p>
        </w:tc>
      </w:tr>
    </w:tbl>
    <w:p/>
    <w:p>
      <w:pPr>
        <w:pStyle w:val="Heading1"/>
      </w:pPr>
      <w:r>
        <w:rPr>
          <w:color w:val="000000"/>
        </w:rPr>
        <w:t>3. Model Serving</w:t>
      </w:r>
    </w:p>
    <w:p>
      <w:r>
        <w:t>deployment_predict.py artifactı yükler, gelen özellikleri eğitimdeki ortalama ve standart sapmayla standardize eder, sigmoid olasılığı hesaplar ve karar üretir. Bu servis bağımlılık gerektirmeyen lokal prototip olarak yazılmıştır. Gerçek üretimde aynı model container veya banka içi bir servis üzerinde çalıştırılabilir.</w:t>
      </w:r>
    </w:p>
    <w:p>
      <w:r>
        <w:t>Örnek çıktı: risk_probability, threshold, risk_level, recommendation ve model_version alanlarını içerir. Örneğin olasılık eşikten yüksekse recommendation=manual_review döner.</w:t>
      </w:r>
    </w:p>
    <w:p>
      <w:pPr>
        <w:pStyle w:val="Heading1"/>
      </w:pPr>
      <w:r>
        <w:rPr>
          <w:color w:val="000000"/>
        </w:rPr>
        <w:t>4. API Integration</w:t>
      </w:r>
    </w:p>
    <w:p>
      <w:r>
        <w:t>deployment_api.py Python standart kütüphanesindeki HTTPServer ile üç endpoint sağlar: GET /health servis durumunu, POST /predict hazır özelliklerle tahmini, POST /score_complaints ise ham şikâyet listesinden özellik hesaplayarak tahmini döndürür.</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Endpoint</w:t>
            </w:r>
          </w:p>
        </w:tc>
        <w:tc>
          <w:tcPr>
            <w:tcW w:type="dxa" w:w="3312"/>
            <w:shd w:fill="D9EAF7"/>
          </w:tcPr>
          <w:p>
            <w:r>
              <w:t>Girdi</w:t>
            </w:r>
          </w:p>
        </w:tc>
        <w:tc>
          <w:tcPr>
            <w:tcW w:type="dxa" w:w="3312"/>
            <w:shd w:fill="D9EAF7"/>
          </w:tcPr>
          <w:p>
            <w:r>
              <w:t>Çıktı</w:t>
            </w:r>
          </w:p>
        </w:tc>
      </w:tr>
      <w:tr>
        <w:tc>
          <w:tcPr>
            <w:tcW w:type="dxa" w:w="3312"/>
          </w:tcPr>
          <w:p>
            <w:r>
              <w:t>GET /health</w:t>
            </w:r>
          </w:p>
        </w:tc>
        <w:tc>
          <w:tcPr>
            <w:tcW w:type="dxa" w:w="3312"/>
          </w:tcPr>
          <w:p>
            <w:r>
              <w:t>Girdi yok</w:t>
            </w:r>
          </w:p>
        </w:tc>
        <w:tc>
          <w:tcPr>
            <w:tcW w:type="dxa" w:w="3312"/>
          </w:tcPr>
          <w:p>
            <w:r>
              <w:t>Servis ve model sürümü</w:t>
            </w:r>
          </w:p>
        </w:tc>
      </w:tr>
      <w:tr>
        <w:tc>
          <w:tcPr>
            <w:tcW w:type="dxa" w:w="3312"/>
          </w:tcPr>
          <w:p>
            <w:r>
              <w:t>POST /predict</w:t>
            </w:r>
          </w:p>
        </w:tc>
        <w:tc>
          <w:tcPr>
            <w:tcW w:type="dxa" w:w="3312"/>
          </w:tcPr>
          <w:p>
            <w:r>
              <w:t>7 özellikli JSON + days_to_release</w:t>
            </w:r>
          </w:p>
        </w:tc>
        <w:tc>
          <w:tcPr>
            <w:tcW w:type="dxa" w:w="3312"/>
          </w:tcPr>
          <w:p>
            <w:r>
              <w:t>Risk olasılığı, seviye ve aciliyet</w:t>
            </w:r>
          </w:p>
        </w:tc>
      </w:tr>
      <w:tr>
        <w:tc>
          <w:tcPr>
            <w:tcW w:type="dxa" w:w="3312"/>
          </w:tcPr>
          <w:p>
            <w:r>
              <w:t>POST /score_complaints</w:t>
            </w:r>
          </w:p>
        </w:tc>
        <w:tc>
          <w:tcPr>
            <w:tcW w:type="dxa" w:w="3312"/>
          </w:tcPr>
          <w:p>
            <w:r>
              <w:t>complaints + observation_date + days_to_release</w:t>
            </w:r>
          </w:p>
        </w:tc>
        <w:tc>
          <w:tcPr>
            <w:tcW w:type="dxa" w:w="3312"/>
          </w:tcPr>
          <w:p>
            <w:r>
              <w:t>Hesaplanan özellikler ve risk tahmini</w:t>
            </w:r>
          </w:p>
        </w:tc>
      </w:tr>
    </w:tbl>
    <w:p/>
    <w:p>
      <w:r>
        <w:t>POST /predict örnek girdisi:</w:t>
      </w:r>
    </w:p>
    <w:p>
      <w:pPr>
        <w:pStyle w:val="NoSpacing"/>
      </w:pPr>
      <w:r>
        <w:rPr>
          <w:rFonts w:ascii="Courier New" w:hAnsi="Courier New"/>
          <w:sz w:val="16"/>
        </w:rPr>
        <w:t>{"complaint_count_7d":8,"complaint_count_30d":15,"negative_review_ratio_14d":0.72,"negative_review_ratio_30d":0.68,"text_available_ratio_7d":0.90,"text_available_ratio_14d":0.88,"complaint_acceleration_7_vs_30":2.4}</w:t>
      </w:r>
    </w:p>
    <w:p>
      <w:pPr>
        <w:pStyle w:val="Heading1"/>
      </w:pPr>
      <w:r>
        <w:rPr>
          <w:color w:val="000000"/>
        </w:rPr>
        <w:t>5. Local User Interface</w:t>
      </w:r>
    </w:p>
    <w:p>
      <w:r>
        <w:t>Ödev doğrudan bir arayüz zorunluluğu getirmemektedir; ancak API’yi kolayca denemek için deployment_ui.html hazırlanmıştır. Gerçek veri henüz bulunmadığı için arayüzde özellikler manuel girilir. Gerçek şikâyet kayıtları geldiğinde POST /score_complaints endpoint’i bu özellikleri otomatik hesaplayabilir. days_to_release bankanın hakediş kaydından gelir; şikâyetlerden çıkarılmaz. Bu arayüz gerçek banka paneli değil, fonksiyonel bir demo arayüzüdür.</w:t>
      </w:r>
    </w:p>
    <w:p>
      <w:pPr>
        <w:pStyle w:val="Heading1"/>
      </w:pPr>
      <w:r>
        <w:rPr>
          <w:color w:val="000000"/>
        </w:rPr>
        <w:t>6. Security Considerations</w:t>
      </w:r>
    </w:p>
    <w:p>
      <w:pPr>
        <w:pStyle w:val="ListBullet"/>
      </w:pPr>
      <w:r>
        <w:t>Bu lokal PoC kimlik doğrulama içermez; gerçek serviste OAuth2/JWT veya mTLS uygulanmalıdır.</w:t>
      </w:r>
    </w:p>
    <w:p>
      <w:pPr>
        <w:pStyle w:val="ListBullet"/>
      </w:pPr>
      <w:r>
        <w:t>Üretimde TLS/HTTPS zorunlu olmalı ve API gateway kullanılmalıdır.</w:t>
      </w:r>
    </w:p>
    <w:p>
      <w:pPr>
        <w:pStyle w:val="ListBullet"/>
      </w:pPr>
      <w:r>
        <w:t>Rol tabanlı yetkilendirme ile yalnızca yetkili risk personeli sonuçları görmelidir.</w:t>
      </w:r>
    </w:p>
    <w:p>
      <w:pPr>
        <w:pStyle w:val="ListBullet"/>
      </w:pPr>
      <w:r>
        <w:t>Müşteri adı, kart numarası ve ham kişisel metinler loglara yazılmamalıdır.</w:t>
      </w:r>
    </w:p>
    <w:p>
      <w:pPr>
        <w:pStyle w:val="ListBullet"/>
      </w:pPr>
      <w:r>
        <w:t>KVKK kapsamında veri minimizasyonu, maskeleme, erişim kaydı ve saklama süresi politikası uygulanmalıdır.</w:t>
      </w:r>
    </w:p>
    <w:p>
      <w:pPr>
        <w:pStyle w:val="ListBullet"/>
      </w:pPr>
      <w:r>
        <w:t>Model tek başına POS kapatma veya para aktarımını durdurma kararı vermemelidir; karar destek sistemi olarak çalışmalıdır.</w:t>
      </w:r>
    </w:p>
    <w:p>
      <w:pPr>
        <w:pStyle w:val="Heading1"/>
      </w:pPr>
      <w:r>
        <w:rPr>
          <w:color w:val="000000"/>
        </w:rPr>
        <w:t>7. Monitoring and Logging</w:t>
      </w:r>
    </w:p>
    <w:p>
      <w:r>
        <w:t>Deployment sonrasında aşağıdaki metrikler izlenmelidir:</w:t>
      </w:r>
    </w:p>
    <w:p>
      <w:pPr>
        <w:pStyle w:val="ListBullet"/>
      </w:pPr>
      <w:r>
        <w:t>API yanıt süresi ve hata oranı</w:t>
      </w:r>
    </w:p>
    <w:p>
      <w:pPr>
        <w:pStyle w:val="ListBullet"/>
      </w:pPr>
      <w:r>
        <w:t>Günlük yüksek risk alarm sayısı</w:t>
      </w:r>
    </w:p>
    <w:p>
      <w:pPr>
        <w:pStyle w:val="ListBullet"/>
      </w:pPr>
      <w:r>
        <w:t>Risk olasılığı dağılımı ve veri drift’i</w:t>
      </w:r>
    </w:p>
    <w:p>
      <w:pPr>
        <w:pStyle w:val="ListBullet"/>
      </w:pPr>
      <w:r>
        <w:t>Precision, recall, F1 ve kalibrasyon</w:t>
      </w:r>
    </w:p>
    <w:p>
      <w:pPr>
        <w:pStyle w:val="ListBullet"/>
      </w:pPr>
      <w:r>
        <w:t>Manuel inceleme sonucu ile model alarmının uyuşması</w:t>
      </w:r>
    </w:p>
    <w:p>
      <w:pPr>
        <w:pStyle w:val="ListBullet"/>
      </w:pPr>
      <w:r>
        <w:t>Gerçekleşen chargeback sonuçları geldiğinde gecikmeli performans</w:t>
      </w:r>
    </w:p>
    <w:p>
      <w:r>
        <w:t>Loglarda yalnızca istek zamanı, model sürümü, işlem sonucu ve teknik hata bilgisi tutulmalı; kişisel müşteri içeriği tutulmamalıdır. Alarm oranı beklenmedik şekilde yükselirse model ve veri hattı incelenmelidir.</w:t>
      </w:r>
    </w:p>
    <w:p>
      <w:pPr>
        <w:pStyle w:val="Heading1"/>
      </w:pPr>
      <w:r>
        <w:rPr>
          <w:color w:val="000000"/>
        </w:rPr>
        <w:t>8. Çalıştırma</w:t>
      </w:r>
    </w:p>
    <w:p>
      <w:pPr>
        <w:pStyle w:val="NoSpacing"/>
      </w:pPr>
      <w:r>
        <w:rPr>
          <w:rFonts w:ascii="Courier New" w:hAnsi="Courier New"/>
          <w:sz w:val="17"/>
        </w:rPr>
        <w:t>cd /Users/edavural/Desktop/scapstone/new_version</w:t>
        <w:br/>
        <w:t>python3 deployment_artifacts.py</w:t>
        <w:br/>
        <w:t>cd deployment</w:t>
        <w:br/>
        <w:t>python3 deployment_api.py</w:t>
        <w:br/>
        <w:t># başka terminalde: curl http://127.0.0.1:8000/health</w:t>
        <w:br/>
        <w:t># arayüz: python3 -m http.server 8080 ve deployment_ui.html</w:t>
      </w:r>
    </w:p>
    <w:p>
      <w:pPr>
        <w:pStyle w:val="Heading1"/>
      </w:pPr>
      <w:r>
        <w:rPr>
          <w:color w:val="000000"/>
        </w:rPr>
        <w:t>9. Sonuç ve Sınırlılıklar</w:t>
      </w:r>
    </w:p>
    <w:p>
      <w:r>
        <w:t>Deployment prototipi model artifactı, tahmin modülü, API ve demo arayüzüyle tamamlanmıştır. Bu yapı modelin yeni kayıtlarla tekrar kullanılabildiğini gösterir. Ancak gerçek bankaya deployment yapılmamıştır. Model ve API sentetik şikâyet sinyalleriyle oluşturulduğu için üretim öncesinde gerçek veya anonimleştirilmiş chargeback sonuçlarıyla doğrulama, güvenlik testi, kalibrasyon ve KVKK incelemesi gereklidir.</w:t>
      </w:r>
    </w:p>
    <w:p>
      <w:pPr>
        <w:pStyle w:val="Heading1"/>
      </w:pPr>
      <w:r>
        <w:rPr>
          <w:color w:val="000000"/>
        </w:rPr>
        <w:t>10. Dosya Yapısı</w:t>
      </w:r>
    </w:p>
    <w:tbl>
      <w:tblPr>
        <w:tblStyle w:val="TableGrid"/>
        <w:tblW w:type="auto" w:w="0"/>
        <w:tblLook w:firstColumn="1" w:firstRow="1" w:lastColumn="0" w:lastRow="0" w:noHBand="0" w:noVBand="1" w:val="04A0"/>
      </w:tblPr>
      <w:tblGrid>
        <w:gridCol w:w="4968"/>
        <w:gridCol w:w="4968"/>
      </w:tblGrid>
      <w:tr>
        <w:tc>
          <w:tcPr>
            <w:tcW w:type="dxa" w:w="4968"/>
            <w:shd w:fill="D9EAF7"/>
          </w:tcPr>
          <w:p>
            <w:r>
              <w:t>Dosya</w:t>
            </w:r>
          </w:p>
        </w:tc>
        <w:tc>
          <w:tcPr>
            <w:tcW w:type="dxa" w:w="4968"/>
            <w:shd w:fill="D9EAF7"/>
          </w:tcPr>
          <w:p>
            <w:r>
              <w:t>Görevi</w:t>
            </w:r>
          </w:p>
        </w:tc>
      </w:tr>
      <w:tr>
        <w:tc>
          <w:tcPr>
            <w:tcW w:type="dxa" w:w="4968"/>
          </w:tcPr>
          <w:p>
            <w:r>
              <w:t>deployment/model_artifact.json</w:t>
            </w:r>
          </w:p>
        </w:tc>
        <w:tc>
          <w:tcPr>
            <w:tcW w:type="dxa" w:w="4968"/>
          </w:tcPr>
          <w:p>
            <w:r>
              <w:t>Serileştirilmiş model ve preprocessing bilgileri</w:t>
            </w:r>
          </w:p>
        </w:tc>
      </w:tr>
      <w:tr>
        <w:tc>
          <w:tcPr>
            <w:tcW w:type="dxa" w:w="4968"/>
          </w:tcPr>
          <w:p>
            <w:r>
              <w:t>deployment/deployment_predict.py</w:t>
            </w:r>
          </w:p>
        </w:tc>
        <w:tc>
          <w:tcPr>
            <w:tcW w:type="dxa" w:w="4968"/>
          </w:tcPr>
          <w:p>
            <w:r>
              <w:t>Artifactı yükleyip tahmin yapar</w:t>
            </w:r>
          </w:p>
        </w:tc>
      </w:tr>
      <w:tr>
        <w:tc>
          <w:tcPr>
            <w:tcW w:type="dxa" w:w="4968"/>
          </w:tcPr>
          <w:p>
            <w:r>
              <w:t>deployment/deployment_api.py</w:t>
            </w:r>
          </w:p>
        </w:tc>
        <w:tc>
          <w:tcPr>
            <w:tcW w:type="dxa" w:w="4968"/>
          </w:tcPr>
          <w:p>
            <w:r>
              <w:t>GET /health ve POST /predict endpointleri</w:t>
            </w:r>
          </w:p>
        </w:tc>
      </w:tr>
      <w:tr>
        <w:tc>
          <w:tcPr>
            <w:tcW w:type="dxa" w:w="4968"/>
          </w:tcPr>
          <w:p>
            <w:r>
              <w:t>deployment/deployment_ui.html</w:t>
            </w:r>
          </w:p>
        </w:tc>
        <w:tc>
          <w:tcPr>
            <w:tcW w:type="dxa" w:w="4968"/>
          </w:tcPr>
          <w:p>
            <w:r>
              <w:t>Lokal tarayıcı demo arayüzü</w:t>
            </w:r>
          </w:p>
        </w:tc>
      </w:tr>
      <w:tr>
        <w:tc>
          <w:tcPr>
            <w:tcW w:type="dxa" w:w="4968"/>
          </w:tcPr>
          <w:p>
            <w:r>
              <w:t>deployment/DEPLOYMENT_README_TR.md</w:t>
            </w:r>
          </w:p>
        </w:tc>
        <w:tc>
          <w:tcPr>
            <w:tcW w:type="dxa" w:w="4968"/>
          </w:tcPr>
          <w:p>
            <w:r>
              <w:t>Çalıştırma ve güvenlik notları</w:t>
            </w:r>
          </w:p>
        </w:tc>
      </w:tr>
      <w:tr>
        <w:tc>
          <w:tcPr>
            <w:tcW w:type="dxa" w:w="4968"/>
          </w:tcPr>
          <w:p>
            <w:r>
              <w:t>deployment/sample_request.json</w:t>
            </w:r>
          </w:p>
        </w:tc>
        <w:tc>
          <w:tcPr>
            <w:tcW w:type="dxa" w:w="4968"/>
          </w:tcPr>
          <w:p>
            <w:r>
              <w:t>Örnek API girdisi</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