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30"/>
          <w:szCs w:val="30"/>
          <w:rtl w:val="0"/>
        </w:rPr>
        <w:t xml:space="preserve">IDEA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c716e"/>
          <w:sz w:val="23"/>
          <w:szCs w:val="23"/>
          <w:rtl w:val="0"/>
        </w:rPr>
        <w:t xml:space="preserve">Retail Location Intelligence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b656e"/>
          <w:sz w:val="19"/>
          <w:szCs w:val="19"/>
          <w:rtl w:val="0"/>
        </w:rPr>
        <w:t xml:space="preserve"> | An Explainable GIS-Based Café Site Recommendation System for Çankaya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20"/>
          <w:szCs w:val="20"/>
          <w:rtl w:val="0"/>
        </w:rPr>
        <w:t xml:space="preserve">1. Project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50" w:before="0" w:line="246.9999999999999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Opening a café is often guided by intuition even though location strongly shapes accessibility, demand and competition.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3272a"/>
          <w:sz w:val="18"/>
          <w:szCs w:val="18"/>
          <w:rtl w:val="0"/>
        </w:rPr>
        <w:t xml:space="preserve">The goal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 is to divide Çankaya into 300 × 300 m grid cells and assign each cell a 0–100 suitability score using nearby cafés, restaurants, shops, schools, universities, parks, hospitals and public transport. An interactive Streamlit map will display the ten highest-ranked areas and explain why each area scores well. The result is a decision-support tool, not a guarantee of profit.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20"/>
          <w:szCs w:val="20"/>
          <w:rtl w:val="0"/>
        </w:rPr>
        <w:t xml:space="preserve">2. Relevance to Sustainable Development Goals (SDGs)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50" w:before="0" w:line="246.9999999999999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The project primarily supports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c716e"/>
            <w:sz w:val="19"/>
            <w:szCs w:val="19"/>
            <w:u w:val="single"/>
            <w:rtl w:val="0"/>
          </w:rPr>
          <w:t xml:space="preserve">SDG 11: Sustainable Cities and Communities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 by encouraging evidence-based urban and commercial decisions and considering access to public transport, green spaces and daily services. It also relates to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c716e"/>
            <w:sz w:val="19"/>
            <w:szCs w:val="19"/>
            <w:u w:val="single"/>
            <w:rtl w:val="0"/>
          </w:rPr>
          <w:t xml:space="preserve">SDG 8, Target 8.3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, which promotes entrepreneurship and the growth of small and medium-sized enterprises. Reducing information gaps can help founders choose locations more responsibly and use limited resources more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20"/>
          <w:szCs w:val="20"/>
          <w:rtl w:val="0"/>
        </w:rPr>
        <w:t xml:space="preserve">3. Literature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50" w:before="0" w:line="246.99999999999994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3272a"/>
          <w:sz w:val="18"/>
          <w:szCs w:val="18"/>
          <w:rtl w:val="0"/>
        </w:rPr>
        <w:t xml:space="preserve">1) Roig-Tierno et al. (2013), </w:t>
      </w:r>
      <w:hyperlink r:id="rId8">
        <w:r w:rsidDel="00000000" w:rsidR="00000000" w:rsidRPr="00000000">
          <w:rPr>
            <w:rFonts w:ascii="Arial" w:cs="Arial" w:eastAsia="Arial" w:hAnsi="Arial"/>
            <w:color w:val="1c716e"/>
            <w:sz w:val="19"/>
            <w:szCs w:val="19"/>
            <w:u w:val="single"/>
            <w:rtl w:val="0"/>
          </w:rPr>
          <w:t xml:space="preserve">“The retail site location decision process using GIS and the analytical hierarchy process”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, combined GIS and AHP to rank supermarket locations using demand- and competition-related criteria. It demonstrates how transparent multi-criteria scoring can support retail site decisions.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3272a"/>
          <w:sz w:val="18"/>
          <w:szCs w:val="18"/>
          <w:rtl w:val="0"/>
        </w:rPr>
        <w:t xml:space="preserve">2) Zhao, Zong and Wu (2023), </w:t>
      </w:r>
      <w:hyperlink r:id="rId9">
        <w:r w:rsidDel="00000000" w:rsidR="00000000" w:rsidRPr="00000000">
          <w:rPr>
            <w:rFonts w:ascii="Arial" w:cs="Arial" w:eastAsia="Arial" w:hAnsi="Arial"/>
            <w:color w:val="1c716e"/>
            <w:sz w:val="19"/>
            <w:szCs w:val="19"/>
            <w:u w:val="single"/>
            <w:rtl w:val="0"/>
          </w:rPr>
          <w:t xml:space="preserve">“Site Selection Prediction for Coffee Shops Based on Multi-Source Space Data Using Machine Learning Techniques”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, used spatial buffers, multi-source features and regression models for coffee-shop site selection in Beijing. It supports using nearby POIs and an optional Random Forest benchmark.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20"/>
          <w:szCs w:val="20"/>
          <w:rtl w:val="0"/>
        </w:rPr>
        <w:t xml:space="preserve">4. Describe Your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50" w:before="0" w:line="246.9999999999999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The primary source will be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c716e"/>
            <w:sz w:val="19"/>
            <w:szCs w:val="19"/>
            <w:u w:val="single"/>
            <w:rtl w:val="0"/>
          </w:rPr>
          <w:t xml:space="preserve">OpenStreetMap via OSMnx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: the Çankaya boundary, cafés, restaurants, shops, schools, universities, parks, hospitals, bus stops, metro entrances and roads. Geometry will be stored as GeoJSON/GeoPackage and grid features as CSV. The district-scale dataset is expected to contain hundreds to several thousand POIs and grid cells; the final size will be reported after extraction. Preprocessing will remove duplicates and invalid geometries, convert coordinates to EPSG:32636, create the grid, count POIs within 400–500 m buffers and normalize features to 0–1. Optional sources are TÜİK demographics, Ankara Metropolitan Municipality open transport data and aggregated Strava Metro mobility data if access is granted.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748"/>
          <w:sz w:val="20"/>
          <w:szCs w:val="20"/>
          <w:rtl w:val="0"/>
        </w:rPr>
        <w:t xml:space="preserve">5. Approach (Machine Learning or Deep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50" w:before="0" w:line="246.99999999999994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A machine learning approach is more suitable than deep learning because the data are structured, geospatial and relatively small.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3272a"/>
          <w:sz w:val="18"/>
          <w:szCs w:val="18"/>
          <w:rtl w:val="0"/>
        </w:rPr>
        <w:t xml:space="preserve">Random Forest classifier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 will learn patterns that distinguish existing-café cells from carefully sampled non-café cells using demand, transport, attraction and competition features. Its probability will be converted to a 0–100 suitability score and evaluated with a spatial train/test split. A transparent weighted baseline—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3272a"/>
          <w:sz w:val="18"/>
          <w:szCs w:val="18"/>
          <w:rtl w:val="0"/>
        </w:rPr>
        <w:t xml:space="preserve">35% demand, 25% transport access, 20% urban attraction and 20% low competition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3272a"/>
          <w:sz w:val="18"/>
          <w:szCs w:val="18"/>
          <w:rtl w:val="0"/>
        </w:rPr>
        <w:t xml:space="preserve">—will support comparison and explanation. The model estimates similarity to current location patterns, not future profit; deep learning would add complexity without a clear benefit for this one-week scope.</w:t>
      </w: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893" w:top="979" w:left="1181" w:right="1181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before="0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5b656e"/>
        <w:sz w:val="16"/>
        <w:szCs w:val="16"/>
        <w:rtl w:val="0"/>
      </w:rPr>
      <w:t xml:space="preserve">Initial one-week MVP scope • Çankaya, Ankara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www.openstreetmap.org/" TargetMode="External"/><Relationship Id="rId9" Type="http://schemas.openxmlformats.org/officeDocument/2006/relationships/hyperlink" Target="https://doi.org/10.3390/ijgi12080329" TargetMode="External"/><Relationship Id="rId5" Type="http://schemas.openxmlformats.org/officeDocument/2006/relationships/styles" Target="styles.xml"/><Relationship Id="rId6" Type="http://schemas.openxmlformats.org/officeDocument/2006/relationships/hyperlink" Target="https://sdgs.un.org/goals/goal11" TargetMode="External"/><Relationship Id="rId7" Type="http://schemas.openxmlformats.org/officeDocument/2006/relationships/hyperlink" Target="https://sdgs.un.org/goals/goal8" TargetMode="External"/><Relationship Id="rId8" Type="http://schemas.openxmlformats.org/officeDocument/2006/relationships/hyperlink" Target="https://doi.org/10.1016/j.apgeog.2013.03.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