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Veri Hazırlama, Özellik Mühendisliği ve Model Keşfi</w:t>
      </w:r>
    </w:p>
    <w:p>
      <w:pPr>
        <w:spacing w:after="280"/>
      </w:pPr>
      <w:r>
        <w:rPr>
          <w:rFonts w:ascii="Calibri" w:hAnsi="Calibri"/>
          <w:color w:val="547068"/>
          <w:sz w:val="27"/>
        </w:rPr>
        <w:t>Gelecekte satın alma hareketsizliği için yeniden üretilebilir zamansal müşteri modellemesi</w:t>
      </w:r>
    </w:p>
    <w:p>
      <w:pPr>
        <w:keepLines/>
        <w:spacing w:after="60" w:line="276" w:lineRule="auto"/>
      </w:pPr>
      <w:r>
        <w:rPr>
          <w:rFonts w:ascii="Calibri" w:hAnsi="Calibri"/>
          <w:b/>
          <w:color w:val="173B32"/>
          <w:sz w:val="21"/>
        </w:rPr>
        <w:t xml:space="preserve">Ders: </w:t>
      </w:r>
      <w:r>
        <w:rPr>
          <w:rFonts w:ascii="Calibri" w:hAnsi="Calibri"/>
          <w:color w:val="000000"/>
          <w:sz w:val="21"/>
        </w:rPr>
        <w:t>Samsung Innovation Campus — Pazarlamada Yapay Zekâ Bitirme Projesi</w:t>
      </w:r>
    </w:p>
    <w:p>
      <w:pPr>
        <w:keepLines/>
        <w:spacing w:after="60" w:line="276" w:lineRule="auto"/>
      </w:pPr>
      <w:r>
        <w:rPr>
          <w:rFonts w:ascii="Calibri" w:hAnsi="Calibri"/>
          <w:b/>
          <w:color w:val="173B32"/>
          <w:sz w:val="21"/>
        </w:rPr>
        <w:t xml:space="preserve">Ekip: </w:t>
      </w:r>
      <w:r>
        <w:rPr>
          <w:rFonts w:ascii="Calibri" w:hAnsi="Calibri"/>
          <w:color w:val="000000"/>
          <w:sz w:val="21"/>
        </w:rPr>
        <w:t>Grup 7</w:t>
      </w:r>
    </w:p>
    <w:p>
      <w:pPr>
        <w:keepLines/>
        <w:spacing w:after="60" w:line="276" w:lineRule="auto"/>
      </w:pPr>
      <w:r>
        <w:rPr>
          <w:rFonts w:ascii="Calibri" w:hAnsi="Calibri"/>
          <w:b/>
          <w:color w:val="173B32"/>
          <w:sz w:val="21"/>
        </w:rPr>
        <w:t xml:space="preserve">Proje: </w:t>
      </w:r>
      <w:r>
        <w:rPr>
          <w:rFonts w:ascii="Calibri" w:hAnsi="Calibri"/>
          <w:color w:val="000000"/>
          <w:sz w:val="21"/>
        </w:rPr>
        <w:t>GrowthPilot AI</w:t>
      </w:r>
    </w:p>
    <w:p>
      <w:pPr>
        <w:keepLines/>
        <w:spacing w:after="60" w:line="276" w:lineRule="auto"/>
      </w:pPr>
      <w:r>
        <w:rPr>
          <w:rFonts w:ascii="Calibri" w:hAnsi="Calibri"/>
          <w:b/>
          <w:color w:val="173B32"/>
          <w:sz w:val="21"/>
        </w:rPr>
        <w:t xml:space="preserve">Hazırlayan: </w:t>
      </w:r>
      <w:r>
        <w:rPr>
          <w:rFonts w:ascii="Calibri" w:hAnsi="Calibri"/>
          <w:color w:val="000000"/>
          <w:sz w:val="21"/>
        </w:rPr>
        <w:t>Şahin Başcı</w:t>
      </w:r>
    </w:p>
    <w:p>
      <w:pPr>
        <w:keepLines/>
        <w:spacing w:after="60" w:line="276" w:lineRule="auto"/>
      </w:pPr>
      <w:r>
        <w:rPr>
          <w:rFonts w:ascii="Calibri" w:hAnsi="Calibri"/>
          <w:b/>
          <w:color w:val="173B32"/>
          <w:sz w:val="21"/>
        </w:rPr>
        <w:t xml:space="preserve">Tarih: </w:t>
      </w:r>
      <w:r>
        <w:rPr>
          <w:rFonts w:ascii="Calibri" w:hAnsi="Calibri"/>
          <w:color w:val="000000"/>
          <w:sz w:val="21"/>
        </w:rPr>
        <w:t>9 Eylül 2026</w:t>
      </w:r>
    </w:p>
    <w:p>
      <w:pPr>
        <w:keepLines/>
        <w:spacing w:after="60" w:line="276" w:lineRule="auto"/>
      </w:pPr>
      <w:r>
        <w:rPr>
          <w:rFonts w:ascii="Calibri" w:hAnsi="Calibri"/>
          <w:b/>
          <w:color w:val="173B32"/>
          <w:sz w:val="21"/>
        </w:rPr>
        <w:t xml:space="preserve">Durum: </w:t>
      </w:r>
      <w:r>
        <w:rPr>
          <w:rFonts w:ascii="Calibri" w:hAnsi="Calibri"/>
          <w:color w:val="000000"/>
          <w:sz w:val="21"/>
        </w:rPr>
        <w:t>Nihai yerel akademik paket</w:t>
      </w:r>
    </w:p>
    <w:p>
      <w:pPr>
        <w:spacing w:after="240"/>
        <w:pBdr>
          <w:bottom w:val="single" w:sz="12" w:space="6" w:color="1E5A49"/>
        </w:pBdr>
      </w:pPr>
    </w:p>
    <w:p>
      <w:pPr>
        <w:shd w:fill="E8F1ED"/>
        <w:spacing w:before="80" w:after="160"/>
        <w:ind w:left="115" w:right="115"/>
      </w:pPr>
      <w:r>
        <w:rPr>
          <w:rFonts w:ascii="Calibri" w:hAnsi="Calibri"/>
          <w:b/>
          <w:color w:val="173B32"/>
          <w:sz w:val="19"/>
        </w:rPr>
        <w:t>YAPAY ZEKA KULLANIM BEYANI — Bu belge OpenAI Codex/ChatGPT desteğiyle hazırlanmış ve depo kanıtlarıyla kontrol edilmiştir. Proje ölçütleri yürütülmüş, sürümlenmiş eserlerden gelir; dış iddialar kaynaklandırılmıştır. İnsan incelemesi gereklidir.</w:t>
      </w:r>
    </w:p>
    <w:p/>
    <w:p>
      <w:r>
        <w:br w:type="page"/>
      </w:r>
    </w:p>
    <w:p>
      <w:pPr>
        <w:pStyle w:val="Heading1"/>
      </w:pPr>
      <w:r>
        <w:t>Bölüm I — Veri hazırlama ve özellik mühendisliği</w:t>
      </w:r>
    </w:p>
    <w:p>
      <w:pPr>
        <w:pStyle w:val="Heading2"/>
      </w:pPr>
      <w:r>
        <w:t>1. Genel bakış ve toplama</w:t>
      </w:r>
    </w:p>
    <w:p>
      <w:r>
        <w:t>İşlem hattı UCI Online Retail II'yi kalıcı depo URL'sinden indirir, SHA-256 572e36277c2390fbfde10664750731e0a86f55e33470d91919085f0408e67bfb değerini doğrular, iki çalışma sayfasını profiller ve belirlenimci raporlar yazar. Ham ve müşteri düzeyi hazırlanmış dosyalar yerelde/Git dışında; toplu kanıtlar ve betikler sürüm denetimindedir.</w:t>
      </w:r>
    </w:p>
    <w:p>
      <w:pPr>
        <w:pStyle w:val="Heading2"/>
      </w:pPr>
      <w:r>
        <w:t>2. Temizleme ve doğrulama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Adım</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Satır / kural</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Gerekçe</w:t>
            </w:r>
          </w:p>
        </w:tc>
      </w:tr>
      <w:tr>
        <w:trPr>
          <w:cantSplit w:val="true"/>
        </w:trPr>
        <w:tc>
          <w:tcPr>
            <w:tcW w:type="dxa" w:w="3120"/>
            <w:vAlign w:val="top"/>
          </w:tcPr>
          <w:p>
            <w:pPr>
              <w:spacing w:after="0"/>
            </w:pPr>
            <w:r>
              <w:rPr>
                <w:rFonts w:ascii="Calibri" w:hAnsi="Calibri"/>
                <w:color w:val="000000"/>
                <w:sz w:val="18"/>
              </w:rPr>
              <w:t>Ham girdi</w:t>
            </w:r>
          </w:p>
        </w:tc>
        <w:tc>
          <w:tcPr>
            <w:tcW w:type="dxa" w:w="3120"/>
            <w:vAlign w:val="top"/>
          </w:tcPr>
          <w:p>
            <w:pPr>
              <w:spacing w:after="0"/>
            </w:pPr>
            <w:r>
              <w:rPr>
                <w:rFonts w:ascii="Calibri" w:hAnsi="Calibri"/>
                <w:color w:val="000000"/>
                <w:sz w:val="18"/>
              </w:rPr>
              <w:t>1.067.371</w:t>
            </w:r>
          </w:p>
        </w:tc>
        <w:tc>
          <w:tcPr>
            <w:tcW w:type="dxa" w:w="3120"/>
            <w:vAlign w:val="top"/>
          </w:tcPr>
          <w:p>
            <w:pPr>
              <w:spacing w:after="0"/>
            </w:pPr>
            <w:r>
              <w:rPr>
                <w:rFonts w:ascii="Calibri" w:hAnsi="Calibri"/>
                <w:color w:val="000000"/>
                <w:sz w:val="18"/>
              </w:rPr>
              <w:t>Dış kaynak kanıtı korunur</w:t>
            </w:r>
          </w:p>
        </w:tc>
      </w:tr>
      <w:tr>
        <w:trPr>
          <w:cantSplit w:val="true"/>
        </w:trPr>
        <w:tc>
          <w:tcPr>
            <w:tcW w:type="dxa" w:w="3120"/>
            <w:vAlign w:val="top"/>
          </w:tcPr>
          <w:p>
            <w:pPr>
              <w:spacing w:after="0"/>
            </w:pPr>
            <w:r>
              <w:rPr>
                <w:rFonts w:ascii="Calibri" w:hAnsi="Calibri"/>
                <w:color w:val="000000"/>
                <w:sz w:val="18"/>
              </w:rPr>
              <w:t>Birebir yinelenenleri kaldırma</w:t>
            </w:r>
          </w:p>
        </w:tc>
        <w:tc>
          <w:tcPr>
            <w:tcW w:type="dxa" w:w="3120"/>
            <w:vAlign w:val="top"/>
          </w:tcPr>
          <w:p>
            <w:pPr>
              <w:spacing w:after="0"/>
            </w:pPr>
            <w:r>
              <w:rPr>
                <w:rFonts w:ascii="Calibri" w:hAnsi="Calibri"/>
                <w:color w:val="000000"/>
                <w:sz w:val="18"/>
              </w:rPr>
              <w:t>34.335 kaldırıldı</w:t>
            </w:r>
          </w:p>
        </w:tc>
        <w:tc>
          <w:tcPr>
            <w:tcW w:type="dxa" w:w="3120"/>
            <w:vAlign w:val="top"/>
          </w:tcPr>
          <w:p>
            <w:pPr>
              <w:spacing w:after="0"/>
            </w:pPr>
            <w:r>
              <w:rPr>
                <w:rFonts w:ascii="Calibri" w:hAnsi="Calibri"/>
                <w:color w:val="000000"/>
                <w:sz w:val="18"/>
              </w:rPr>
              <w:t>Aynı işlem satırının tekrarını önler</w:t>
            </w:r>
          </w:p>
        </w:tc>
      </w:tr>
      <w:tr>
        <w:trPr>
          <w:cantSplit w:val="true"/>
        </w:trPr>
        <w:tc>
          <w:tcPr>
            <w:tcW w:type="dxa" w:w="3120"/>
            <w:vAlign w:val="top"/>
          </w:tcPr>
          <w:p>
            <w:pPr>
              <w:spacing w:after="0"/>
            </w:pPr>
            <w:r>
              <w:rPr>
                <w:rFonts w:ascii="Calibri" w:hAnsi="Calibri"/>
                <w:color w:val="000000"/>
                <w:sz w:val="18"/>
              </w:rPr>
              <w:t>Kimlik/tarih kullanılabilirliği</w:t>
            </w:r>
          </w:p>
        </w:tc>
        <w:tc>
          <w:tcPr>
            <w:tcW w:type="dxa" w:w="3120"/>
            <w:vAlign w:val="top"/>
          </w:tcPr>
          <w:p>
            <w:pPr>
              <w:spacing w:after="0"/>
            </w:pPr>
            <w:r>
              <w:rPr>
                <w:rFonts w:ascii="Calibri" w:hAnsi="Calibri"/>
                <w:color w:val="000000"/>
                <w:sz w:val="18"/>
              </w:rPr>
              <w:t>235.151 dışlandı</w:t>
            </w:r>
          </w:p>
        </w:tc>
        <w:tc>
          <w:tcPr>
            <w:tcW w:type="dxa" w:w="3120"/>
            <w:vAlign w:val="top"/>
          </w:tcPr>
          <w:p>
            <w:pPr>
              <w:spacing w:after="0"/>
            </w:pPr>
            <w:r>
              <w:rPr>
                <w:rFonts w:ascii="Calibri" w:hAnsi="Calibri"/>
                <w:color w:val="000000"/>
                <w:sz w:val="18"/>
              </w:rPr>
              <w:t>Anlık görüntü için kararlı kimlik ve zaman gerekir</w:t>
            </w:r>
          </w:p>
        </w:tc>
      </w:tr>
      <w:tr>
        <w:trPr>
          <w:cantSplit w:val="true"/>
        </w:trPr>
        <w:tc>
          <w:tcPr>
            <w:tcW w:type="dxa" w:w="3120"/>
            <w:vAlign w:val="top"/>
          </w:tcPr>
          <w:p>
            <w:pPr>
              <w:spacing w:after="0"/>
            </w:pPr>
            <w:r>
              <w:rPr>
                <w:rFonts w:ascii="Calibri" w:hAnsi="Calibri"/>
                <w:color w:val="000000"/>
                <w:sz w:val="18"/>
              </w:rPr>
              <w:t>Tutulan normalleştirilmiş satır</w:t>
            </w:r>
          </w:p>
        </w:tc>
        <w:tc>
          <w:tcPr>
            <w:tcW w:type="dxa" w:w="3120"/>
            <w:vAlign w:val="top"/>
          </w:tcPr>
          <w:p>
            <w:pPr>
              <w:spacing w:after="0"/>
            </w:pPr>
            <w:r>
              <w:rPr>
                <w:rFonts w:ascii="Calibri" w:hAnsi="Calibri"/>
                <w:color w:val="000000"/>
                <w:sz w:val="18"/>
              </w:rPr>
              <w:t>797.885</w:t>
            </w:r>
          </w:p>
        </w:tc>
        <w:tc>
          <w:tcPr>
            <w:tcW w:type="dxa" w:w="3120"/>
            <w:vAlign w:val="top"/>
          </w:tcPr>
          <w:p>
            <w:pPr>
              <w:spacing w:after="0"/>
            </w:pPr>
            <w:r>
              <w:rPr>
                <w:rFonts w:ascii="Calibri" w:hAnsi="Calibri"/>
                <w:color w:val="000000"/>
                <w:sz w:val="18"/>
              </w:rPr>
              <w:t>Belirlenimci kurallar sonrası standart ad/tür</w:t>
            </w:r>
          </w:p>
        </w:tc>
      </w:tr>
      <w:tr>
        <w:trPr>
          <w:cantSplit w:val="true"/>
        </w:trPr>
        <w:tc>
          <w:tcPr>
            <w:tcW w:type="dxa" w:w="3120"/>
            <w:vAlign w:val="top"/>
          </w:tcPr>
          <w:p>
            <w:pPr>
              <w:spacing w:after="0"/>
            </w:pPr>
            <w:r>
              <w:rPr>
                <w:rFonts w:ascii="Calibri" w:hAnsi="Calibri"/>
                <w:color w:val="000000"/>
                <w:sz w:val="18"/>
              </w:rPr>
              <w:t>Uygun satın alma olayı</w:t>
            </w:r>
          </w:p>
        </w:tc>
        <w:tc>
          <w:tcPr>
            <w:tcW w:type="dxa" w:w="3120"/>
            <w:vAlign w:val="top"/>
          </w:tcPr>
          <w:p>
            <w:pPr>
              <w:spacing w:after="0"/>
            </w:pPr>
            <w:r>
              <w:rPr>
                <w:rFonts w:ascii="Calibri" w:hAnsi="Calibri"/>
                <w:color w:val="000000"/>
                <w:sz w:val="18"/>
              </w:rPr>
              <w:t>Pozitif miktar/fiyat; iptal değil; kesim öncesi</w:t>
            </w:r>
          </w:p>
        </w:tc>
        <w:tc>
          <w:tcPr>
            <w:tcW w:type="dxa" w:w="3120"/>
            <w:vAlign w:val="top"/>
          </w:tcPr>
          <w:p>
            <w:pPr>
              <w:spacing w:after="0"/>
            </w:pPr>
            <w:r>
              <w:rPr>
                <w:rFonts w:ascii="Calibri" w:hAnsi="Calibri"/>
                <w:color w:val="000000"/>
                <w:sz w:val="18"/>
              </w:rPr>
              <w:t>Satın almayı iade/iptalden ayırır</w:t>
            </w:r>
          </w:p>
        </w:tc>
      </w:tr>
    </w:tbl>
    <w:p>
      <w:pPr>
        <w:spacing w:after="40"/>
      </w:pPr>
    </w:p>
    <w:p>
      <w:r>
        <w:t>Kanıt sınıfı: artifacts/reports/data_preparation.json üzerinden projede üretilmiştir.</w:t>
      </w:r>
    </w:p>
    <w:p>
      <w:r>
        <w:t>Eksik müşteri kimliği atanmamıştır; keyfî atama sahte geçmiş üretirdi. Eksik açıklamalar müşteri davranış özelliklerini engellemez. Pozitif olmayan miktar/fiyat ve iptal faturaları uygun olaylardan çıkarılır ancak kaynak kalite kanıtında kalır. Parasal aykırı değerler toplama öncesi kırpılmaz; log1p ve standartlaştırma eğitilmiş hat içinde ölçek baskısını azaltır.</w:t>
      </w:r>
    </w:p>
    <w:p>
      <w:pPr>
        <w:pStyle w:val="Heading2"/>
      </w:pPr>
      <w:r>
        <w:t>3. Zamansal anlık görüntüler ve sızıntı önleme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Veri bölümü</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Kesim tarihleri</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Satır</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Hareketsizlik oranı</w:t>
            </w:r>
          </w:p>
        </w:tc>
      </w:tr>
      <w:tr>
        <w:trPr>
          <w:cantSplit w:val="true"/>
        </w:trPr>
        <w:tc>
          <w:tcPr>
            <w:tcW w:type="dxa" w:w="2340"/>
            <w:vAlign w:val="top"/>
          </w:tcPr>
          <w:p>
            <w:pPr>
              <w:spacing w:after="0"/>
            </w:pPr>
            <w:r>
              <w:rPr>
                <w:rFonts w:ascii="Calibri" w:hAnsi="Calibri"/>
                <w:color w:val="000000"/>
                <w:sz w:val="18"/>
              </w:rPr>
              <w:t>Eğitim</w:t>
            </w:r>
          </w:p>
        </w:tc>
        <w:tc>
          <w:tcPr>
            <w:tcW w:type="dxa" w:w="2340"/>
            <w:vAlign w:val="top"/>
          </w:tcPr>
          <w:p>
            <w:pPr>
              <w:spacing w:after="0"/>
            </w:pPr>
            <w:r>
              <w:rPr>
                <w:rFonts w:ascii="Calibri" w:hAnsi="Calibri"/>
                <w:color w:val="000000"/>
                <w:sz w:val="18"/>
              </w:rPr>
              <w:t>2010-06-01–2010-12-01 aylık</w:t>
            </w:r>
          </w:p>
        </w:tc>
        <w:tc>
          <w:tcPr>
            <w:tcW w:type="dxa" w:w="2340"/>
            <w:vAlign w:val="top"/>
          </w:tcPr>
          <w:p>
            <w:pPr>
              <w:spacing w:after="0"/>
            </w:pPr>
            <w:r>
              <w:rPr>
                <w:rFonts w:ascii="Calibri" w:hAnsi="Calibri"/>
                <w:color w:val="000000"/>
                <w:sz w:val="18"/>
              </w:rPr>
              <w:t>20.677</w:t>
            </w:r>
          </w:p>
        </w:tc>
        <w:tc>
          <w:tcPr>
            <w:tcW w:type="dxa" w:w="2340"/>
            <w:vAlign w:val="top"/>
          </w:tcPr>
          <w:p>
            <w:pPr>
              <w:spacing w:after="0"/>
            </w:pPr>
            <w:r>
              <w:rPr>
                <w:rFonts w:ascii="Calibri" w:hAnsi="Calibri"/>
                <w:color w:val="000000"/>
                <w:sz w:val="18"/>
              </w:rPr>
              <w:t>0.483823</w:t>
            </w:r>
          </w:p>
        </w:tc>
      </w:tr>
      <w:tr>
        <w:trPr>
          <w:cantSplit w:val="true"/>
        </w:trPr>
        <w:tc>
          <w:tcPr>
            <w:tcW w:type="dxa" w:w="2340"/>
            <w:vAlign w:val="top"/>
          </w:tcPr>
          <w:p>
            <w:pPr>
              <w:spacing w:after="0"/>
            </w:pPr>
            <w:r>
              <w:rPr>
                <w:rFonts w:ascii="Calibri" w:hAnsi="Calibri"/>
                <w:color w:val="000000"/>
                <w:sz w:val="18"/>
              </w:rPr>
              <w:t>Doğrulama</w:t>
            </w:r>
          </w:p>
        </w:tc>
        <w:tc>
          <w:tcPr>
            <w:tcW w:type="dxa" w:w="2340"/>
            <w:vAlign w:val="top"/>
          </w:tcPr>
          <w:p>
            <w:pPr>
              <w:spacing w:after="0"/>
            </w:pPr>
            <w:r>
              <w:rPr>
                <w:rFonts w:ascii="Calibri" w:hAnsi="Calibri"/>
                <w:color w:val="000000"/>
                <w:sz w:val="18"/>
              </w:rPr>
              <w:t>2011-03-01</w:t>
            </w:r>
          </w:p>
        </w:tc>
        <w:tc>
          <w:tcPr>
            <w:tcW w:type="dxa" w:w="2340"/>
            <w:vAlign w:val="top"/>
          </w:tcPr>
          <w:p>
            <w:pPr>
              <w:spacing w:after="0"/>
            </w:pPr>
            <w:r>
              <w:rPr>
                <w:rFonts w:ascii="Calibri" w:hAnsi="Calibri"/>
                <w:color w:val="000000"/>
                <w:sz w:val="18"/>
              </w:rPr>
              <w:t>3.349</w:t>
            </w:r>
          </w:p>
        </w:tc>
        <w:tc>
          <w:tcPr>
            <w:tcW w:type="dxa" w:w="2340"/>
            <w:vAlign w:val="top"/>
          </w:tcPr>
          <w:p>
            <w:pPr>
              <w:spacing w:after="0"/>
            </w:pPr>
            <w:r>
              <w:rPr>
                <w:rFonts w:ascii="Calibri" w:hAnsi="Calibri"/>
                <w:color w:val="000000"/>
                <w:sz w:val="18"/>
              </w:rPr>
              <w:t>0.577187</w:t>
            </w:r>
          </w:p>
        </w:tc>
      </w:tr>
      <w:tr>
        <w:trPr>
          <w:cantSplit w:val="true"/>
        </w:trPr>
        <w:tc>
          <w:tcPr>
            <w:tcW w:type="dxa" w:w="2340"/>
            <w:vAlign w:val="top"/>
          </w:tcPr>
          <w:p>
            <w:pPr>
              <w:spacing w:after="0"/>
            </w:pPr>
            <w:r>
              <w:rPr>
                <w:rFonts w:ascii="Calibri" w:hAnsi="Calibri"/>
                <w:color w:val="000000"/>
                <w:sz w:val="18"/>
              </w:rPr>
              <w:t>Kalibrasyon</w:t>
            </w:r>
          </w:p>
        </w:tc>
        <w:tc>
          <w:tcPr>
            <w:tcW w:type="dxa" w:w="2340"/>
            <w:vAlign w:val="top"/>
          </w:tcPr>
          <w:p>
            <w:pPr>
              <w:spacing w:after="0"/>
            </w:pPr>
            <w:r>
              <w:rPr>
                <w:rFonts w:ascii="Calibri" w:hAnsi="Calibri"/>
                <w:color w:val="000000"/>
                <w:sz w:val="18"/>
              </w:rPr>
              <w:t>2011-06-01</w:t>
            </w:r>
          </w:p>
        </w:tc>
        <w:tc>
          <w:tcPr>
            <w:tcW w:type="dxa" w:w="2340"/>
            <w:vAlign w:val="top"/>
          </w:tcPr>
          <w:p>
            <w:pPr>
              <w:spacing w:after="0"/>
            </w:pPr>
            <w:r>
              <w:rPr>
                <w:rFonts w:ascii="Calibri" w:hAnsi="Calibri"/>
                <w:color w:val="000000"/>
                <w:sz w:val="18"/>
              </w:rPr>
              <w:t>2.659</w:t>
            </w:r>
          </w:p>
        </w:tc>
        <w:tc>
          <w:tcPr>
            <w:tcW w:type="dxa" w:w="2340"/>
            <w:vAlign w:val="top"/>
          </w:tcPr>
          <w:p>
            <w:pPr>
              <w:spacing w:after="0"/>
            </w:pPr>
            <w:r>
              <w:rPr>
                <w:rFonts w:ascii="Calibri" w:hAnsi="Calibri"/>
                <w:color w:val="000000"/>
                <w:sz w:val="18"/>
              </w:rPr>
              <w:t>0.499436</w:t>
            </w:r>
          </w:p>
        </w:tc>
      </w:tr>
      <w:tr>
        <w:trPr>
          <w:cantSplit w:val="true"/>
        </w:trPr>
        <w:tc>
          <w:tcPr>
            <w:tcW w:type="dxa" w:w="2340"/>
            <w:vAlign w:val="top"/>
          </w:tcPr>
          <w:p>
            <w:pPr>
              <w:spacing w:after="0"/>
            </w:pPr>
            <w:r>
              <w:rPr>
                <w:rFonts w:ascii="Calibri" w:hAnsi="Calibri"/>
                <w:color w:val="000000"/>
                <w:sz w:val="18"/>
              </w:rPr>
              <w:t>Nihai test</w:t>
            </w:r>
          </w:p>
        </w:tc>
        <w:tc>
          <w:tcPr>
            <w:tcW w:type="dxa" w:w="2340"/>
            <w:vAlign w:val="top"/>
          </w:tcPr>
          <w:p>
            <w:pPr>
              <w:spacing w:after="0"/>
            </w:pPr>
            <w:r>
              <w:rPr>
                <w:rFonts w:ascii="Calibri" w:hAnsi="Calibri"/>
                <w:color w:val="000000"/>
                <w:sz w:val="18"/>
              </w:rPr>
              <w:t>2011-09-01</w:t>
            </w:r>
          </w:p>
        </w:tc>
        <w:tc>
          <w:tcPr>
            <w:tcW w:type="dxa" w:w="2340"/>
            <w:vAlign w:val="top"/>
          </w:tcPr>
          <w:p>
            <w:pPr>
              <w:spacing w:after="0"/>
            </w:pPr>
            <w:r>
              <w:rPr>
                <w:rFonts w:ascii="Calibri" w:hAnsi="Calibri"/>
                <w:color w:val="000000"/>
                <w:sz w:val="18"/>
              </w:rPr>
              <w:t>2.772</w:t>
            </w:r>
          </w:p>
        </w:tc>
        <w:tc>
          <w:tcPr>
            <w:tcW w:type="dxa" w:w="2340"/>
            <w:vAlign w:val="top"/>
          </w:tcPr>
          <w:p>
            <w:pPr>
              <w:spacing w:after="0"/>
            </w:pPr>
            <w:r>
              <w:rPr>
                <w:rFonts w:ascii="Calibri" w:hAnsi="Calibri"/>
                <w:color w:val="000000"/>
                <w:sz w:val="18"/>
              </w:rPr>
              <w:t>Nihai değerlendirmeye kadar mühürlü</w:t>
            </w:r>
          </w:p>
        </w:tc>
      </w:tr>
    </w:tbl>
    <w:p>
      <w:pPr>
        <w:spacing w:after="40"/>
      </w:pPr>
    </w:p>
    <w:p>
      <w:r>
        <w:t>Tüm özellikler kesinlikle kesim öncesi olayları kullanır; her 90 günlük etiket penceresi tamamen gözlenir.</w:t>
      </w:r>
    </w:p>
    <w:p>
      <w:pPr>
        <w:pStyle w:val="Heading2"/>
      </w:pPr>
      <w:r>
        <w:t>4. Keşifsel veri analizi</w:t>
      </w:r>
    </w:p>
    <w:p>
      <w:pPr>
        <w:spacing w:before="120" w:after="80"/>
        <w:jc w:val="center"/>
      </w:pPr>
      <w:r>
        <w:drawing>
          <wp:inline xmlns:a="http://schemas.openxmlformats.org/drawingml/2006/main" xmlns:pic="http://schemas.openxmlformats.org/drawingml/2006/picture">
            <wp:extent cx="5806440" cy="2322576"/>
            <wp:docPr id="1" name="Picture 1" descr="Şekil 1. Eğitim anlık görüntülerinde etiket yaygınlığı ve yakınlık." title="Şekil 1"/>
            <wp:cNvGraphicFramePr>
              <a:graphicFrameLocks noChangeAspect="1"/>
            </wp:cNvGraphicFramePr>
            <a:graphic>
              <a:graphicData uri="http://schemas.openxmlformats.org/drawingml/2006/picture">
                <pic:pic>
                  <pic:nvPicPr>
                    <pic:cNvPr id="0" name="training_label_recency.png"/>
                    <pic:cNvPicPr/>
                  </pic:nvPicPr>
                  <pic:blipFill>
                    <a:blip r:embed="rId11"/>
                    <a:stretch>
                      <a:fillRect/>
                    </a:stretch>
                  </pic:blipFill>
                  <pic:spPr>
                    <a:xfrm>
                      <a:off x="0" y="0"/>
                      <a:ext cx="5806440" cy="2322576"/>
                    </a:xfrm>
                    <a:prstGeom prst="rect"/>
                  </pic:spPr>
                </pic:pic>
              </a:graphicData>
            </a:graphic>
          </wp:inline>
        </w:drawing>
      </w:r>
    </w:p>
    <w:p>
      <w:pPr>
        <w:spacing w:before="80" w:after="160"/>
        <w:jc w:val="center"/>
      </w:pPr>
      <w:r>
        <w:rPr>
          <w:rFonts w:ascii="Calibri" w:hAnsi="Calibri"/>
          <w:i/>
          <w:color w:val="547068"/>
          <w:sz w:val="18"/>
        </w:rPr>
        <w:t>Şekil 1. Eğitim anlık görüntülerinde etiket yaygınlığı ve yakınlık.</w:t>
      </w:r>
    </w:p>
    <w:p>
      <w:pPr>
        <w:spacing w:before="120" w:after="80"/>
        <w:jc w:val="center"/>
      </w:pPr>
      <w:r>
        <w:drawing>
          <wp:inline xmlns:a="http://schemas.openxmlformats.org/drawingml/2006/main" xmlns:pic="http://schemas.openxmlformats.org/drawingml/2006/picture">
            <wp:extent cx="5806440" cy="2322576"/>
            <wp:docPr id="2" name="Picture 2" descr="Şekil 2. Sıklık ve harcama dağılımları dönüşümlü modellemeyi destekler." title="Şekil 2"/>
            <wp:cNvGraphicFramePr>
              <a:graphicFrameLocks noChangeAspect="1"/>
            </wp:cNvGraphicFramePr>
            <a:graphic>
              <a:graphicData uri="http://schemas.openxmlformats.org/drawingml/2006/picture">
                <pic:pic>
                  <pic:nvPicPr>
                    <pic:cNvPr id="0" name="training_frequency_spend.png"/>
                    <pic:cNvPicPr/>
                  </pic:nvPicPr>
                  <pic:blipFill>
                    <a:blip r:embed="rId12"/>
                    <a:stretch>
                      <a:fillRect/>
                    </a:stretch>
                  </pic:blipFill>
                  <pic:spPr>
                    <a:xfrm>
                      <a:off x="0" y="0"/>
                      <a:ext cx="5806440" cy="2322576"/>
                    </a:xfrm>
                    <a:prstGeom prst="rect"/>
                  </pic:spPr>
                </pic:pic>
              </a:graphicData>
            </a:graphic>
          </wp:inline>
        </w:drawing>
      </w:r>
    </w:p>
    <w:p>
      <w:pPr>
        <w:spacing w:before="80" w:after="160"/>
        <w:jc w:val="center"/>
      </w:pPr>
      <w:r>
        <w:rPr>
          <w:rFonts w:ascii="Calibri" w:hAnsi="Calibri"/>
          <w:i/>
          <w:color w:val="547068"/>
          <w:sz w:val="18"/>
        </w:rPr>
        <w:t>Şekil 2. Sıklık ve harcama dağılımları dönüşümlü modellemeyi destekler.</w:t>
      </w:r>
    </w:p>
    <w:p>
      <w:r>
        <w:t>Eğitim 20.677 müşteri anlık görüntüsü ve %48,3823 hareketsizlik etiketi; doğrulama 3.349 satır ve %57,7187 hareketsizlik içerir. Yaygınlık değişimi doğruluğun neden birincil ölçüt olmadığını gösterir. Çarpıklık ve tekrarlı gözlemler, rastgele satır bölmesi yerine zamana dayalı değerlendirme ve müşteri davranışı toplamlarını destekler.</w:t>
      </w:r>
    </w:p>
    <w:p>
      <w:pPr>
        <w:pStyle w:val="Heading2"/>
      </w:pPr>
      <w:r>
        <w:t>5. Özellik tasarımı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Özellik ailesi</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Örnekler</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Gerekçe</w:t>
            </w:r>
          </w:p>
        </w:tc>
      </w:tr>
      <w:tr>
        <w:trPr>
          <w:cantSplit w:val="true"/>
        </w:trPr>
        <w:tc>
          <w:tcPr>
            <w:tcW w:type="dxa" w:w="3120"/>
            <w:vAlign w:val="top"/>
          </w:tcPr>
          <w:p>
            <w:pPr>
              <w:spacing w:after="0"/>
            </w:pPr>
            <w:r>
              <w:rPr>
                <w:rFonts w:ascii="Calibri" w:hAnsi="Calibri"/>
                <w:color w:val="000000"/>
                <w:sz w:val="18"/>
              </w:rPr>
              <w:t>Yakınlık/müşteri yaşı</w:t>
            </w:r>
          </w:p>
        </w:tc>
        <w:tc>
          <w:tcPr>
            <w:tcW w:type="dxa" w:w="3120"/>
            <w:vAlign w:val="top"/>
          </w:tcPr>
          <w:p>
            <w:pPr>
              <w:spacing w:after="0"/>
            </w:pPr>
            <w:r>
              <w:rPr>
                <w:rFonts w:ascii="Calibri" w:hAnsi="Calibri"/>
                <w:color w:val="000000"/>
                <w:sz w:val="18"/>
              </w:rPr>
              <w:t>recency_days, tenure_days</w:t>
            </w:r>
          </w:p>
        </w:tc>
        <w:tc>
          <w:tcPr>
            <w:tcW w:type="dxa" w:w="3120"/>
            <w:vAlign w:val="top"/>
          </w:tcPr>
          <w:p>
            <w:pPr>
              <w:spacing w:after="0"/>
            </w:pPr>
            <w:r>
              <w:rPr>
                <w:rFonts w:ascii="Calibri" w:hAnsi="Calibri"/>
                <w:color w:val="000000"/>
                <w:sz w:val="18"/>
              </w:rPr>
              <w:t>İlişkinin ne kadar yakın ve eski olduğu</w:t>
            </w:r>
          </w:p>
        </w:tc>
      </w:tr>
      <w:tr>
        <w:trPr>
          <w:cantSplit w:val="true"/>
        </w:trPr>
        <w:tc>
          <w:tcPr>
            <w:tcW w:type="dxa" w:w="3120"/>
            <w:vAlign w:val="top"/>
          </w:tcPr>
          <w:p>
            <w:pPr>
              <w:spacing w:after="0"/>
            </w:pPr>
            <w:r>
              <w:rPr>
                <w:rFonts w:ascii="Calibri" w:hAnsi="Calibri"/>
                <w:color w:val="000000"/>
                <w:sz w:val="18"/>
              </w:rPr>
              <w:t>Sıklık/ritim</w:t>
            </w:r>
          </w:p>
        </w:tc>
        <w:tc>
          <w:tcPr>
            <w:tcW w:type="dxa" w:w="3120"/>
            <w:vAlign w:val="top"/>
          </w:tcPr>
          <w:p>
            <w:pPr>
              <w:spacing w:after="0"/>
            </w:pPr>
            <w:r>
              <w:rPr>
                <w:rFonts w:ascii="Calibri" w:hAnsi="Calibri"/>
                <w:color w:val="000000"/>
                <w:sz w:val="18"/>
              </w:rPr>
              <w:t>invoice_count, active_days, ortalama/medyan/azami aralık</w:t>
            </w:r>
          </w:p>
        </w:tc>
        <w:tc>
          <w:tcPr>
            <w:tcW w:type="dxa" w:w="3120"/>
            <w:vAlign w:val="top"/>
          </w:tcPr>
          <w:p>
            <w:pPr>
              <w:spacing w:after="0"/>
            </w:pPr>
            <w:r>
              <w:rPr>
                <w:rFonts w:ascii="Calibri" w:hAnsi="Calibri"/>
                <w:color w:val="000000"/>
                <w:sz w:val="18"/>
              </w:rPr>
              <w:t>Tekrar ve satın alma dönemselliği</w:t>
            </w:r>
          </w:p>
        </w:tc>
      </w:tr>
      <w:tr>
        <w:trPr>
          <w:cantSplit w:val="true"/>
        </w:trPr>
        <w:tc>
          <w:tcPr>
            <w:tcW w:type="dxa" w:w="3120"/>
            <w:vAlign w:val="top"/>
          </w:tcPr>
          <w:p>
            <w:pPr>
              <w:spacing w:after="0"/>
            </w:pPr>
            <w:r>
              <w:rPr>
                <w:rFonts w:ascii="Calibri" w:hAnsi="Calibri"/>
                <w:color w:val="000000"/>
                <w:sz w:val="18"/>
              </w:rPr>
              <w:t>Parasal</w:t>
            </w:r>
          </w:p>
        </w:tc>
        <w:tc>
          <w:tcPr>
            <w:tcW w:type="dxa" w:w="3120"/>
            <w:vAlign w:val="top"/>
          </w:tcPr>
          <w:p>
            <w:pPr>
              <w:spacing w:after="0"/>
            </w:pPr>
            <w:r>
              <w:rPr>
                <w:rFonts w:ascii="Calibri" w:hAnsi="Calibri"/>
                <w:color w:val="000000"/>
                <w:sz w:val="18"/>
              </w:rPr>
              <w:t>brüt/net harcama, ortalama sipariş, iade</w:t>
            </w:r>
          </w:p>
        </w:tc>
        <w:tc>
          <w:tcPr>
            <w:tcW w:type="dxa" w:w="3120"/>
            <w:vAlign w:val="top"/>
          </w:tcPr>
          <w:p>
            <w:pPr>
              <w:spacing w:after="0"/>
            </w:pPr>
            <w:r>
              <w:rPr>
                <w:rFonts w:ascii="Calibri" w:hAnsi="Calibri"/>
                <w:color w:val="000000"/>
                <w:sz w:val="18"/>
              </w:rPr>
              <w:t>Ticari büyüklük ve ters işlem</w:t>
            </w:r>
          </w:p>
        </w:tc>
      </w:tr>
      <w:tr>
        <w:trPr>
          <w:cantSplit w:val="true"/>
        </w:trPr>
        <w:tc>
          <w:tcPr>
            <w:tcW w:type="dxa" w:w="3120"/>
            <w:vAlign w:val="top"/>
          </w:tcPr>
          <w:p>
            <w:pPr>
              <w:spacing w:after="0"/>
            </w:pPr>
            <w:r>
              <w:rPr>
                <w:rFonts w:ascii="Calibri" w:hAnsi="Calibri"/>
                <w:color w:val="000000"/>
                <w:sz w:val="18"/>
              </w:rPr>
              <w:t>Ürün çeşitliliği</w:t>
            </w:r>
          </w:p>
        </w:tc>
        <w:tc>
          <w:tcPr>
            <w:tcW w:type="dxa" w:w="3120"/>
            <w:vAlign w:val="top"/>
          </w:tcPr>
          <w:p>
            <w:pPr>
              <w:spacing w:after="0"/>
            </w:pPr>
            <w:r>
              <w:rPr>
                <w:rFonts w:ascii="Calibri" w:hAnsi="Calibri"/>
                <w:color w:val="000000"/>
                <w:sz w:val="18"/>
              </w:rPr>
              <w:t>farklı ürün, miktar, sepet genişliği</w:t>
            </w:r>
          </w:p>
        </w:tc>
        <w:tc>
          <w:tcPr>
            <w:tcW w:type="dxa" w:w="3120"/>
            <w:vAlign w:val="top"/>
          </w:tcPr>
          <w:p>
            <w:pPr>
              <w:spacing w:after="0"/>
            </w:pPr>
            <w:r>
              <w:rPr>
                <w:rFonts w:ascii="Calibri" w:hAnsi="Calibri"/>
                <w:color w:val="000000"/>
                <w:sz w:val="18"/>
              </w:rPr>
              <w:t>Etkileşim derinliği ve çeşitliliği</w:t>
            </w:r>
          </w:p>
        </w:tc>
      </w:tr>
      <w:tr>
        <w:trPr>
          <w:cantSplit w:val="true"/>
        </w:trPr>
        <w:tc>
          <w:tcPr>
            <w:tcW w:type="dxa" w:w="3120"/>
            <w:vAlign w:val="top"/>
          </w:tcPr>
          <w:p>
            <w:pPr>
              <w:spacing w:after="0"/>
            </w:pPr>
            <w:r>
              <w:rPr>
                <w:rFonts w:ascii="Calibri" w:hAnsi="Calibri"/>
                <w:color w:val="000000"/>
                <w:sz w:val="18"/>
              </w:rPr>
              <w:t>Pencereli davranış</w:t>
            </w:r>
          </w:p>
        </w:tc>
        <w:tc>
          <w:tcPr>
            <w:tcW w:type="dxa" w:w="3120"/>
            <w:vAlign w:val="top"/>
          </w:tcPr>
          <w:p>
            <w:pPr>
              <w:spacing w:after="0"/>
            </w:pPr>
            <w:r>
              <w:rPr>
                <w:rFonts w:ascii="Calibri" w:hAnsi="Calibri"/>
                <w:color w:val="000000"/>
                <w:sz w:val="18"/>
              </w:rPr>
              <w:t>30/60/90 günlük sayım/harcama ve eğilim</w:t>
            </w:r>
          </w:p>
        </w:tc>
        <w:tc>
          <w:tcPr>
            <w:tcW w:type="dxa" w:w="3120"/>
            <w:vAlign w:val="top"/>
          </w:tcPr>
          <w:p>
            <w:pPr>
              <w:spacing w:after="0"/>
            </w:pPr>
            <w:r>
              <w:rPr>
                <w:rFonts w:ascii="Calibri" w:hAnsi="Calibri"/>
                <w:color w:val="000000"/>
                <w:sz w:val="18"/>
              </w:rPr>
              <w:t>Kesim öncesi hızlanma veya düşüş</w:t>
            </w:r>
          </w:p>
        </w:tc>
      </w:tr>
      <w:tr>
        <w:trPr>
          <w:cantSplit w:val="true"/>
        </w:trPr>
        <w:tc>
          <w:tcPr>
            <w:tcW w:type="dxa" w:w="3120"/>
            <w:vAlign w:val="top"/>
          </w:tcPr>
          <w:p>
            <w:pPr>
              <w:spacing w:after="0"/>
            </w:pPr>
            <w:r>
              <w:rPr>
                <w:rFonts w:ascii="Calibri" w:hAnsi="Calibri"/>
                <w:color w:val="000000"/>
                <w:sz w:val="18"/>
              </w:rPr>
              <w:t>Bağlam</w:t>
            </w:r>
          </w:p>
        </w:tc>
        <w:tc>
          <w:tcPr>
            <w:tcW w:type="dxa" w:w="3120"/>
            <w:vAlign w:val="top"/>
          </w:tcPr>
          <w:p>
            <w:pPr>
              <w:spacing w:after="0"/>
            </w:pPr>
            <w:r>
              <w:rPr>
                <w:rFonts w:ascii="Calibri" w:hAnsi="Calibri"/>
                <w:color w:val="000000"/>
                <w:sz w:val="18"/>
              </w:rPr>
              <w:t>ülke ve anlık görüntü ayı</w:t>
            </w:r>
          </w:p>
        </w:tc>
        <w:tc>
          <w:tcPr>
            <w:tcW w:type="dxa" w:w="3120"/>
            <w:vAlign w:val="top"/>
          </w:tcPr>
          <w:p>
            <w:pPr>
              <w:spacing w:after="0"/>
            </w:pPr>
            <w:r>
              <w:rPr>
                <w:rFonts w:ascii="Calibri" w:hAnsi="Calibri"/>
                <w:color w:val="000000"/>
                <w:sz w:val="18"/>
              </w:rPr>
              <w:t>Hat içinde kodlanan pazar/zaman bağlamı</w:t>
            </w:r>
          </w:p>
        </w:tc>
      </w:tr>
    </w:tbl>
    <w:p>
      <w:pPr>
        <w:spacing w:after="40"/>
      </w:pPr>
    </w:p>
    <w:p>
      <w:pPr>
        <w:pStyle w:val="Heading2"/>
      </w:pPr>
      <w:r>
        <w:t>6. Ölçekleme, normalleştirme ve kodlama</w:t>
      </w:r>
    </w:p>
    <w:p>
      <w:r>
        <w:t>scikit-learn ColumnTransformer ön işlemeyi yalnız eğitim verisinde uyarlar. Sayısal sütunlar medyan doldurma, uygun yerde log1p ve lojistik regresyon için StandardScaler kullanır. Kategorikler en sık değerle doldurulur ve bilinmeyen kategori toleranslı one-hot kodlanır. Ağaç adayları, ölçeklemenin ağaçları iyileştirdiğini varsaymadan uyumlu kodlanmış girdi kullanır.</w:t>
      </w:r>
    </w:p>
    <w:p>
      <w:pPr>
        <w:pStyle w:val="AcademicCode"/>
        <w:shd w:fill="F7F9F8"/>
      </w:pPr>
      <w:r>
        <w:rPr>
          <w:rFonts w:ascii="Menlo" w:hAnsi="Menlo"/>
          <w:color w:val="173B32"/>
          <w:sz w:val="17"/>
        </w:rPr>
        <w:t>numeric = Pipeline([</w:t>
        <w:br/>
        <w:t xml:space="preserve">    ('impute', SimpleImputer(strategy='median')),</w:t>
        <w:br/>
        <w:t xml:space="preserve">    ('scale', StandardScaler()),</w:t>
        <w:br/>
        <w:t>])</w:t>
        <w:br/>
        <w:t>categorical = Pipeline([</w:t>
        <w:br/>
        <w:t xml:space="preserve">    ('impute', SimpleImputer(strategy='most_frequent')),</w:t>
        <w:br/>
        <w:t xml:space="preserve">    ('onehot', OneHotEncoder(handle_unknown='ignore')),</w:t>
        <w:br/>
        <w:t>])</w:t>
        <w:br/>
        <w:t>model = Pipeline([('preprocess', ColumnTransformer(...)),</w:t>
        <w:br/>
        <w:t xml:space="preserve">                  ('classifier', LogisticRegression(C=0.01, max_iter=2000))])</w:t>
      </w:r>
    </w:p>
    <w:p>
      <w:pPr>
        <w:pStyle w:val="Heading1"/>
      </w:pPr>
      <w:r>
        <w:t>Bölüm II — Model keşfi</w:t>
      </w:r>
    </w:p>
    <w:p>
      <w:pPr>
        <w:pStyle w:val="Heading2"/>
      </w:pPr>
      <w:r>
        <w:t>1. Aday seçimi gerekçesi</w:t>
      </w:r>
    </w:p>
    <w:p>
      <w:r>
        <w:t>Yakınlık sezgiseli iş temeli; kukla önsel, modelin sıralama bilgisi katıp katmadığı kontrolüdür. Lojistik regresyon şeffaf, hızlı ve düzenlileştirilebilir; rastgele orman doğrusal olmayan etkileşimleri; LightGBM verimli artırılmış ağaç yaklaşımını temsil eder. Kavram sunumu LightGBM öngörse de deney ona öncelik vermemiş, doğrulama PR-AUC lojistik regresyonu seçmiştir.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Aday</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Güçlü yön</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Zayıf yön</w:t>
            </w:r>
          </w:p>
        </w:tc>
      </w:tr>
      <w:tr>
        <w:trPr>
          <w:cantSplit w:val="true"/>
        </w:trPr>
        <w:tc>
          <w:tcPr>
            <w:tcW w:type="dxa" w:w="3120"/>
            <w:vAlign w:val="top"/>
          </w:tcPr>
          <w:p>
            <w:pPr>
              <w:spacing w:after="0"/>
            </w:pPr>
            <w:r>
              <w:rPr>
                <w:rFonts w:ascii="Calibri" w:hAnsi="Calibri"/>
                <w:color w:val="000000"/>
                <w:sz w:val="18"/>
              </w:rPr>
              <w:t>Yakınlık sezgiseli</w:t>
            </w:r>
          </w:p>
        </w:tc>
        <w:tc>
          <w:tcPr>
            <w:tcW w:type="dxa" w:w="3120"/>
            <w:vAlign w:val="top"/>
          </w:tcPr>
          <w:p>
            <w:pPr>
              <w:spacing w:after="0"/>
            </w:pPr>
            <w:r>
              <w:rPr>
                <w:rFonts w:ascii="Calibri" w:hAnsi="Calibri"/>
                <w:color w:val="000000"/>
                <w:sz w:val="18"/>
              </w:rPr>
              <w:t>Basit ve açıklanabilir</w:t>
            </w:r>
          </w:p>
        </w:tc>
        <w:tc>
          <w:tcPr>
            <w:tcW w:type="dxa" w:w="3120"/>
            <w:vAlign w:val="top"/>
          </w:tcPr>
          <w:p>
            <w:pPr>
              <w:spacing w:after="0"/>
            </w:pPr>
            <w:r>
              <w:rPr>
                <w:rFonts w:ascii="Calibri" w:hAnsi="Calibri"/>
                <w:color w:val="000000"/>
                <w:sz w:val="18"/>
              </w:rPr>
              <w:t>Sıklık, değer ve ritmi yok sayar</w:t>
            </w:r>
          </w:p>
        </w:tc>
      </w:tr>
      <w:tr>
        <w:trPr>
          <w:cantSplit w:val="true"/>
        </w:trPr>
        <w:tc>
          <w:tcPr>
            <w:tcW w:type="dxa" w:w="3120"/>
            <w:vAlign w:val="top"/>
          </w:tcPr>
          <w:p>
            <w:pPr>
              <w:spacing w:after="0"/>
            </w:pPr>
            <w:r>
              <w:rPr>
                <w:rFonts w:ascii="Calibri" w:hAnsi="Calibri"/>
                <w:color w:val="000000"/>
                <w:sz w:val="18"/>
              </w:rPr>
              <w:t>Kukla önsel</w:t>
            </w:r>
          </w:p>
        </w:tc>
        <w:tc>
          <w:tcPr>
            <w:tcW w:type="dxa" w:w="3120"/>
            <w:vAlign w:val="top"/>
          </w:tcPr>
          <w:p>
            <w:pPr>
              <w:spacing w:after="0"/>
            </w:pPr>
            <w:r>
              <w:rPr>
                <w:rFonts w:ascii="Calibri" w:hAnsi="Calibri"/>
                <w:color w:val="000000"/>
                <w:sz w:val="18"/>
              </w:rPr>
              <w:t>Kalibrasyon/yaygınlık sağlaması</w:t>
            </w:r>
          </w:p>
        </w:tc>
        <w:tc>
          <w:tcPr>
            <w:tcW w:type="dxa" w:w="3120"/>
            <w:vAlign w:val="top"/>
          </w:tcPr>
          <w:p>
            <w:pPr>
              <w:spacing w:after="0"/>
            </w:pPr>
            <w:r>
              <w:rPr>
                <w:rFonts w:ascii="Calibri" w:hAnsi="Calibri"/>
                <w:color w:val="000000"/>
                <w:sz w:val="18"/>
              </w:rPr>
              <w:t>Kişiselleştirilmiş sıralama yok</w:t>
            </w:r>
          </w:p>
        </w:tc>
      </w:tr>
      <w:tr>
        <w:trPr>
          <w:cantSplit w:val="true"/>
        </w:trPr>
        <w:tc>
          <w:tcPr>
            <w:tcW w:type="dxa" w:w="3120"/>
            <w:vAlign w:val="top"/>
          </w:tcPr>
          <w:p>
            <w:pPr>
              <w:spacing w:after="0"/>
            </w:pPr>
            <w:r>
              <w:rPr>
                <w:rFonts w:ascii="Calibri" w:hAnsi="Calibri"/>
                <w:color w:val="000000"/>
                <w:sz w:val="18"/>
              </w:rPr>
              <w:t>Lojistik regresyon</w:t>
            </w:r>
          </w:p>
        </w:tc>
        <w:tc>
          <w:tcPr>
            <w:tcW w:type="dxa" w:w="3120"/>
            <w:vAlign w:val="top"/>
          </w:tcPr>
          <w:p>
            <w:pPr>
              <w:spacing w:after="0"/>
            </w:pPr>
            <w:r>
              <w:rPr>
                <w:rFonts w:ascii="Calibri" w:hAnsi="Calibri"/>
                <w:color w:val="000000"/>
                <w:sz w:val="18"/>
              </w:rPr>
              <w:t>Şeffaf, verimli, kararlı düzenlileştirme</w:t>
            </w:r>
          </w:p>
        </w:tc>
        <w:tc>
          <w:tcPr>
            <w:tcW w:type="dxa" w:w="3120"/>
            <w:vAlign w:val="top"/>
          </w:tcPr>
          <w:p>
            <w:pPr>
              <w:spacing w:after="0"/>
            </w:pPr>
            <w:r>
              <w:rPr>
                <w:rFonts w:ascii="Calibri" w:hAnsi="Calibri"/>
                <w:color w:val="000000"/>
                <w:sz w:val="18"/>
              </w:rPr>
              <w:t>Doğrusal log-olasılık sınırı</w:t>
            </w:r>
          </w:p>
        </w:tc>
      </w:tr>
      <w:tr>
        <w:trPr>
          <w:cantSplit w:val="true"/>
        </w:trPr>
        <w:tc>
          <w:tcPr>
            <w:tcW w:type="dxa" w:w="3120"/>
            <w:vAlign w:val="top"/>
          </w:tcPr>
          <w:p>
            <w:pPr>
              <w:spacing w:after="0"/>
            </w:pPr>
            <w:r>
              <w:rPr>
                <w:rFonts w:ascii="Calibri" w:hAnsi="Calibri"/>
                <w:color w:val="000000"/>
                <w:sz w:val="18"/>
              </w:rPr>
              <w:t>Rastgele orman</w:t>
            </w:r>
          </w:p>
        </w:tc>
        <w:tc>
          <w:tcPr>
            <w:tcW w:type="dxa" w:w="3120"/>
            <w:vAlign w:val="top"/>
          </w:tcPr>
          <w:p>
            <w:pPr>
              <w:spacing w:after="0"/>
            </w:pPr>
            <w:r>
              <w:rPr>
                <w:rFonts w:ascii="Calibri" w:hAnsi="Calibri"/>
                <w:color w:val="000000"/>
                <w:sz w:val="18"/>
              </w:rPr>
              <w:t>Doğrusal olmayan etkileşim ve sağlamlık</w:t>
            </w:r>
          </w:p>
        </w:tc>
        <w:tc>
          <w:tcPr>
            <w:tcW w:type="dxa" w:w="3120"/>
            <w:vAlign w:val="top"/>
          </w:tcPr>
          <w:p>
            <w:pPr>
              <w:spacing w:after="0"/>
            </w:pPr>
            <w:r>
              <w:rPr>
                <w:rFonts w:ascii="Calibri" w:hAnsi="Calibri"/>
                <w:color w:val="000000"/>
                <w:sz w:val="18"/>
              </w:rPr>
              <w:t>Daha büyük model; kalibrasyon bozulabilir</w:t>
            </w:r>
          </w:p>
        </w:tc>
      </w:tr>
      <w:tr>
        <w:trPr>
          <w:cantSplit w:val="true"/>
        </w:trPr>
        <w:tc>
          <w:tcPr>
            <w:tcW w:type="dxa" w:w="3120"/>
            <w:vAlign w:val="top"/>
          </w:tcPr>
          <w:p>
            <w:pPr>
              <w:spacing w:after="0"/>
            </w:pPr>
            <w:r>
              <w:rPr>
                <w:rFonts w:ascii="Calibri" w:hAnsi="Calibri"/>
                <w:color w:val="000000"/>
                <w:sz w:val="18"/>
              </w:rPr>
              <w:t>LightGBM</w:t>
            </w:r>
          </w:p>
        </w:tc>
        <w:tc>
          <w:tcPr>
            <w:tcW w:type="dxa" w:w="3120"/>
            <w:vAlign w:val="top"/>
          </w:tcPr>
          <w:p>
            <w:pPr>
              <w:spacing w:after="0"/>
            </w:pPr>
            <w:r>
              <w:rPr>
                <w:rFonts w:ascii="Calibri" w:hAnsi="Calibri"/>
                <w:color w:val="000000"/>
                <w:sz w:val="18"/>
              </w:rPr>
              <w:t>Güçlü doğrusal olmayan tablo öğrenicisi</w:t>
            </w:r>
          </w:p>
        </w:tc>
        <w:tc>
          <w:tcPr>
            <w:tcW w:type="dxa" w:w="3120"/>
            <w:vAlign w:val="top"/>
          </w:tcPr>
          <w:p>
            <w:pPr>
              <w:spacing w:after="0"/>
            </w:pPr>
            <w:r>
              <w:rPr>
                <w:rFonts w:ascii="Calibri" w:hAnsi="Calibri"/>
                <w:color w:val="000000"/>
                <w:sz w:val="18"/>
              </w:rPr>
              <w:t>Daha karmaşık ayar/yorum ve aşırı uyum riski</w:t>
            </w:r>
          </w:p>
        </w:tc>
      </w:tr>
    </w:tbl>
    <w:p>
      <w:pPr>
        <w:spacing w:after="40"/>
      </w:pPr>
    </w:p>
    <w:p>
      <w:pPr>
        <w:pStyle w:val="Heading2"/>
      </w:pPr>
      <w:r>
        <w:t>2. Eğitim, hiperparametreler ve doğrulama</w:t>
      </w:r>
    </w:p>
    <w:p>
      <w:r>
        <w:t>Adaylar test öncesi yedi kesimde eğitilir. Aile, yalnız 2011-03-01 doğrulamasında seçilir. 2011-06-01 sigmoid kalibrasyon ve eşik için ayrılır; 2011-09-01 keşifte kullanılmaz.</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shd w:fill="F2F4F7"/>
            <w:vAlign w:val="center"/>
          </w:tcPr>
          <w:p>
            <w:pPr>
              <w:spacing w:after="0"/>
            </w:pPr>
            <w:r>
              <w:rPr>
                <w:rFonts w:ascii="Calibri" w:hAnsi="Calibri"/>
                <w:b/>
                <w:color w:val="173B32"/>
                <w:sz w:val="19"/>
              </w:rPr>
              <w:t>Model</w:t>
            </w:r>
          </w:p>
        </w:tc>
        <w:tc>
          <w:tcPr>
            <w:tcW w:type="dxa" w:w="1560"/>
            <w:tcMar>
              <w:top w:w="80" w:type="dxa"/>
              <w:start w:w="120" w:type="dxa"/>
              <w:bottom w:w="80" w:type="dxa"/>
              <w:end w:w="120" w:type="dxa"/>
            </w:tcMar>
            <w:shd w:fill="F2F4F7"/>
            <w:vAlign w:val="center"/>
          </w:tcPr>
          <w:p>
            <w:pPr>
              <w:spacing w:after="0"/>
            </w:pPr>
            <w:r>
              <w:rPr>
                <w:rFonts w:ascii="Calibri" w:hAnsi="Calibri"/>
                <w:b/>
                <w:color w:val="173B32"/>
                <w:sz w:val="19"/>
              </w:rPr>
              <w:t>Temel parametre</w:t>
            </w:r>
          </w:p>
        </w:tc>
        <w:tc>
          <w:tcPr>
            <w:tcW w:type="dxa" w:w="1560"/>
            <w:tcMar>
              <w:top w:w="80" w:type="dxa"/>
              <w:start w:w="120" w:type="dxa"/>
              <w:bottom w:w="80" w:type="dxa"/>
              <w:end w:w="120" w:type="dxa"/>
            </w:tcMar>
            <w:shd w:fill="F2F4F7"/>
            <w:vAlign w:val="center"/>
          </w:tcPr>
          <w:p>
            <w:pPr>
              <w:spacing w:after="0"/>
            </w:pPr>
            <w:r>
              <w:rPr>
                <w:rFonts w:ascii="Calibri" w:hAnsi="Calibri"/>
                <w:b/>
                <w:color w:val="173B32"/>
                <w:sz w:val="19"/>
              </w:rPr>
              <w:t>Doğrulama PR-AUC</w:t>
            </w:r>
          </w:p>
        </w:tc>
        <w:tc>
          <w:tcPr>
            <w:tcW w:type="dxa" w:w="1560"/>
            <w:tcMar>
              <w:top w:w="80" w:type="dxa"/>
              <w:start w:w="120" w:type="dxa"/>
              <w:bottom w:w="80" w:type="dxa"/>
              <w:end w:w="120" w:type="dxa"/>
            </w:tcMar>
            <w:shd w:fill="F2F4F7"/>
            <w:vAlign w:val="center"/>
          </w:tcPr>
          <w:p>
            <w:pPr>
              <w:spacing w:after="0"/>
            </w:pPr>
            <w:r>
              <w:rPr>
                <w:rFonts w:ascii="Calibri" w:hAnsi="Calibri"/>
                <w:b/>
                <w:color w:val="173B32"/>
                <w:sz w:val="19"/>
              </w:rPr>
              <w:t>ROC-AUC</w:t>
            </w:r>
          </w:p>
        </w:tc>
        <w:tc>
          <w:tcPr>
            <w:tcW w:type="dxa" w:w="1560"/>
            <w:tcMar>
              <w:top w:w="80" w:type="dxa"/>
              <w:start w:w="120" w:type="dxa"/>
              <w:bottom w:w="80" w:type="dxa"/>
              <w:end w:w="120" w:type="dxa"/>
            </w:tcMar>
            <w:shd w:fill="F2F4F7"/>
            <w:vAlign w:val="center"/>
          </w:tcPr>
          <w:p>
            <w:pPr>
              <w:spacing w:after="0"/>
            </w:pPr>
            <w:r>
              <w:rPr>
                <w:rFonts w:ascii="Calibri" w:hAnsi="Calibri"/>
                <w:b/>
                <w:color w:val="173B32"/>
                <w:sz w:val="19"/>
              </w:rPr>
              <w:t>Brier</w:t>
            </w:r>
          </w:p>
        </w:tc>
        <w:tc>
          <w:tcPr>
            <w:tcW w:type="dxa" w:w="1560"/>
            <w:tcMar>
              <w:top w:w="80" w:type="dxa"/>
              <w:start w:w="120" w:type="dxa"/>
              <w:bottom w:w="80" w:type="dxa"/>
              <w:end w:w="120" w:type="dxa"/>
            </w:tcMar>
            <w:shd w:fill="F2F4F7"/>
            <w:vAlign w:val="center"/>
          </w:tcPr>
          <w:p>
            <w:pPr>
              <w:spacing w:after="0"/>
            </w:pPr>
            <w:r>
              <w:rPr>
                <w:rFonts w:ascii="Calibri" w:hAnsi="Calibri"/>
                <w:b/>
                <w:color w:val="173B32"/>
                <w:sz w:val="19"/>
              </w:rPr>
              <w:t>İlk %10 artış</w:t>
            </w:r>
          </w:p>
        </w:tc>
      </w:tr>
      <w:tr>
        <w:trPr>
          <w:cantSplit w:val="true"/>
        </w:trPr>
        <w:tc>
          <w:tcPr>
            <w:tcW w:type="dxa" w:w="1560"/>
            <w:vAlign w:val="top"/>
          </w:tcPr>
          <w:p>
            <w:pPr>
              <w:spacing w:after="0"/>
            </w:pPr>
            <w:r>
              <w:rPr>
                <w:rFonts w:ascii="Calibri" w:hAnsi="Calibri"/>
                <w:color w:val="000000"/>
                <w:sz w:val="18"/>
              </w:rPr>
              <w:t>Yakınlık</w:t>
            </w:r>
          </w:p>
        </w:tc>
        <w:tc>
          <w:tcPr>
            <w:tcW w:type="dxa" w:w="1560"/>
            <w:vAlign w:val="top"/>
          </w:tcPr>
          <w:p>
            <w:pPr>
              <w:spacing w:after="0"/>
            </w:pPr>
            <w:r>
              <w:rPr>
                <w:rFonts w:ascii="Calibri" w:hAnsi="Calibri"/>
                <w:color w:val="000000"/>
                <w:sz w:val="18"/>
              </w:rPr>
              <w:t>clip(recency/180)</w:t>
            </w:r>
          </w:p>
        </w:tc>
        <w:tc>
          <w:tcPr>
            <w:tcW w:type="dxa" w:w="1560"/>
            <w:vAlign w:val="top"/>
          </w:tcPr>
          <w:p>
            <w:pPr>
              <w:spacing w:after="0"/>
            </w:pPr>
            <w:r>
              <w:rPr>
                <w:rFonts w:ascii="Calibri" w:hAnsi="Calibri"/>
                <w:color w:val="000000"/>
                <w:sz w:val="18"/>
              </w:rPr>
              <w:t>0.715529</w:t>
            </w:r>
          </w:p>
        </w:tc>
        <w:tc>
          <w:tcPr>
            <w:tcW w:type="dxa" w:w="1560"/>
            <w:vAlign w:val="top"/>
          </w:tcPr>
          <w:p>
            <w:pPr>
              <w:spacing w:after="0"/>
            </w:pPr>
            <w:r>
              <w:rPr>
                <w:rFonts w:ascii="Calibri" w:hAnsi="Calibri"/>
                <w:color w:val="000000"/>
                <w:sz w:val="18"/>
              </w:rPr>
              <w:t>0.689417</w:t>
            </w:r>
          </w:p>
        </w:tc>
        <w:tc>
          <w:tcPr>
            <w:tcW w:type="dxa" w:w="1560"/>
            <w:vAlign w:val="top"/>
          </w:tcPr>
          <w:p>
            <w:pPr>
              <w:spacing w:after="0"/>
            </w:pPr>
            <w:r>
              <w:rPr>
                <w:rFonts w:ascii="Calibri" w:hAnsi="Calibri"/>
                <w:color w:val="000000"/>
                <w:sz w:val="18"/>
              </w:rPr>
              <w:t>0.248166</w:t>
            </w:r>
          </w:p>
        </w:tc>
        <w:tc>
          <w:tcPr>
            <w:tcW w:type="dxa" w:w="1560"/>
            <w:vAlign w:val="top"/>
          </w:tcPr>
          <w:p>
            <w:pPr>
              <w:spacing w:after="0"/>
            </w:pPr>
            <w:r>
              <w:rPr>
                <w:rFonts w:ascii="Calibri" w:hAnsi="Calibri"/>
                <w:color w:val="000000"/>
                <w:sz w:val="18"/>
              </w:rPr>
              <w:t>1.292940</w:t>
            </w:r>
          </w:p>
        </w:tc>
      </w:tr>
      <w:tr>
        <w:trPr>
          <w:cantSplit w:val="true"/>
        </w:trPr>
        <w:tc>
          <w:tcPr>
            <w:tcW w:type="dxa" w:w="1560"/>
            <w:vAlign w:val="top"/>
          </w:tcPr>
          <w:p>
            <w:pPr>
              <w:spacing w:after="0"/>
            </w:pPr>
            <w:r>
              <w:rPr>
                <w:rFonts w:ascii="Calibri" w:hAnsi="Calibri"/>
                <w:color w:val="000000"/>
                <w:sz w:val="18"/>
              </w:rPr>
              <w:t>Kukla</w:t>
            </w:r>
          </w:p>
        </w:tc>
        <w:tc>
          <w:tcPr>
            <w:tcW w:type="dxa" w:w="1560"/>
            <w:vAlign w:val="top"/>
          </w:tcPr>
          <w:p>
            <w:pPr>
              <w:spacing w:after="0"/>
            </w:pPr>
            <w:r>
              <w:rPr>
                <w:rFonts w:ascii="Calibri" w:hAnsi="Calibri"/>
                <w:color w:val="000000"/>
                <w:sz w:val="18"/>
              </w:rPr>
              <w:t>prior</w:t>
            </w:r>
          </w:p>
        </w:tc>
        <w:tc>
          <w:tcPr>
            <w:tcW w:type="dxa" w:w="1560"/>
            <w:vAlign w:val="top"/>
          </w:tcPr>
          <w:p>
            <w:pPr>
              <w:spacing w:after="0"/>
            </w:pPr>
            <w:r>
              <w:rPr>
                <w:rFonts w:ascii="Calibri" w:hAnsi="Calibri"/>
                <w:color w:val="000000"/>
                <w:sz w:val="18"/>
              </w:rPr>
              <w:t>0.577187</w:t>
            </w:r>
          </w:p>
        </w:tc>
        <w:tc>
          <w:tcPr>
            <w:tcW w:type="dxa" w:w="1560"/>
            <w:vAlign w:val="top"/>
          </w:tcPr>
          <w:p>
            <w:pPr>
              <w:spacing w:after="0"/>
            </w:pPr>
            <w:r>
              <w:rPr>
                <w:rFonts w:ascii="Calibri" w:hAnsi="Calibri"/>
                <w:color w:val="000000"/>
                <w:sz w:val="18"/>
              </w:rPr>
              <w:t>0.500000</w:t>
            </w:r>
          </w:p>
        </w:tc>
        <w:tc>
          <w:tcPr>
            <w:tcW w:type="dxa" w:w="1560"/>
            <w:vAlign w:val="top"/>
          </w:tcPr>
          <w:p>
            <w:pPr>
              <w:spacing w:after="0"/>
            </w:pPr>
            <w:r>
              <w:rPr>
                <w:rFonts w:ascii="Calibri" w:hAnsi="Calibri"/>
                <w:color w:val="000000"/>
                <w:sz w:val="18"/>
              </w:rPr>
              <w:t>0.244072</w:t>
            </w:r>
          </w:p>
        </w:tc>
        <w:tc>
          <w:tcPr>
            <w:tcW w:type="dxa" w:w="1560"/>
            <w:vAlign w:val="top"/>
          </w:tcPr>
          <w:p>
            <w:pPr>
              <w:spacing w:after="0"/>
            </w:pPr>
            <w:r>
              <w:rPr>
                <w:rFonts w:ascii="Calibri" w:hAnsi="Calibri"/>
                <w:color w:val="000000"/>
                <w:sz w:val="18"/>
              </w:rPr>
              <w:t>0.961948</w:t>
            </w:r>
          </w:p>
        </w:tc>
      </w:tr>
      <w:tr>
        <w:trPr>
          <w:cantSplit w:val="true"/>
        </w:trPr>
        <w:tc>
          <w:tcPr>
            <w:tcW w:type="dxa" w:w="1560"/>
            <w:vAlign w:val="top"/>
          </w:tcPr>
          <w:p>
            <w:pPr>
              <w:spacing w:after="0"/>
            </w:pPr>
            <w:r>
              <w:rPr>
                <w:rFonts w:ascii="Calibri" w:hAnsi="Calibri"/>
                <w:color w:val="000000"/>
                <w:sz w:val="18"/>
              </w:rPr>
              <w:t>Lojistik</w:t>
            </w:r>
          </w:p>
        </w:tc>
        <w:tc>
          <w:tcPr>
            <w:tcW w:type="dxa" w:w="1560"/>
            <w:vAlign w:val="top"/>
          </w:tcPr>
          <w:p>
            <w:pPr>
              <w:spacing w:after="0"/>
            </w:pPr>
            <w:r>
              <w:rPr>
                <w:rFonts w:ascii="Calibri" w:hAnsi="Calibri"/>
                <w:color w:val="000000"/>
                <w:sz w:val="18"/>
              </w:rPr>
              <w:t>C=1.0</w:t>
            </w:r>
          </w:p>
        </w:tc>
        <w:tc>
          <w:tcPr>
            <w:tcW w:type="dxa" w:w="1560"/>
            <w:vAlign w:val="top"/>
          </w:tcPr>
          <w:p>
            <w:pPr>
              <w:spacing w:after="0"/>
            </w:pPr>
            <w:r>
              <w:rPr>
                <w:rFonts w:ascii="Calibri" w:hAnsi="Calibri"/>
                <w:color w:val="000000"/>
                <w:sz w:val="18"/>
              </w:rPr>
              <w:t>0.805322</w:t>
            </w:r>
          </w:p>
        </w:tc>
        <w:tc>
          <w:tcPr>
            <w:tcW w:type="dxa" w:w="1560"/>
            <w:vAlign w:val="top"/>
          </w:tcPr>
          <w:p>
            <w:pPr>
              <w:spacing w:after="0"/>
            </w:pPr>
            <w:r>
              <w:rPr>
                <w:rFonts w:ascii="Calibri" w:hAnsi="Calibri"/>
                <w:color w:val="000000"/>
                <w:sz w:val="18"/>
              </w:rPr>
              <w:t>0.782819</w:t>
            </w:r>
          </w:p>
        </w:tc>
        <w:tc>
          <w:tcPr>
            <w:tcW w:type="dxa" w:w="1560"/>
            <w:vAlign w:val="top"/>
          </w:tcPr>
          <w:p>
            <w:pPr>
              <w:spacing w:after="0"/>
            </w:pPr>
            <w:r>
              <w:rPr>
                <w:rFonts w:ascii="Calibri" w:hAnsi="Calibri"/>
                <w:color w:val="000000"/>
                <w:sz w:val="18"/>
              </w:rPr>
              <w:t>0.213300</w:t>
            </w:r>
          </w:p>
        </w:tc>
        <w:tc>
          <w:tcPr>
            <w:tcW w:type="dxa" w:w="1560"/>
            <w:vAlign w:val="top"/>
          </w:tcPr>
          <w:p>
            <w:pPr>
              <w:spacing w:after="0"/>
            </w:pPr>
            <w:r>
              <w:rPr>
                <w:rFonts w:ascii="Calibri" w:hAnsi="Calibri"/>
                <w:color w:val="000000"/>
                <w:sz w:val="18"/>
              </w:rPr>
              <w:t>1.510154</w:t>
            </w:r>
          </w:p>
        </w:tc>
      </w:tr>
      <w:tr>
        <w:trPr>
          <w:cantSplit w:val="true"/>
        </w:trPr>
        <w:tc>
          <w:tcPr>
            <w:tcW w:type="dxa" w:w="1560"/>
            <w:vAlign w:val="top"/>
          </w:tcPr>
          <w:p>
            <w:pPr>
              <w:spacing w:after="0"/>
            </w:pPr>
            <w:r>
              <w:rPr>
                <w:rFonts w:ascii="Calibri" w:hAnsi="Calibri"/>
                <w:color w:val="000000"/>
                <w:sz w:val="18"/>
              </w:rPr>
              <w:t>Rastgele orman</w:t>
            </w:r>
          </w:p>
        </w:tc>
        <w:tc>
          <w:tcPr>
            <w:tcW w:type="dxa" w:w="1560"/>
            <w:vAlign w:val="top"/>
          </w:tcPr>
          <w:p>
            <w:pPr>
              <w:spacing w:after="0"/>
            </w:pPr>
            <w:r>
              <w:rPr>
                <w:rFonts w:ascii="Calibri" w:hAnsi="Calibri"/>
                <w:color w:val="000000"/>
                <w:sz w:val="18"/>
              </w:rPr>
              <w:t>300 ağaç; yaprak=10</w:t>
            </w:r>
          </w:p>
        </w:tc>
        <w:tc>
          <w:tcPr>
            <w:tcW w:type="dxa" w:w="1560"/>
            <w:vAlign w:val="top"/>
          </w:tcPr>
          <w:p>
            <w:pPr>
              <w:spacing w:after="0"/>
            </w:pPr>
            <w:r>
              <w:rPr>
                <w:rFonts w:ascii="Calibri" w:hAnsi="Calibri"/>
                <w:color w:val="000000"/>
                <w:sz w:val="18"/>
              </w:rPr>
              <w:t>0.803517</w:t>
            </w:r>
          </w:p>
        </w:tc>
        <w:tc>
          <w:tcPr>
            <w:tcW w:type="dxa" w:w="1560"/>
            <w:vAlign w:val="top"/>
          </w:tcPr>
          <w:p>
            <w:pPr>
              <w:spacing w:after="0"/>
            </w:pPr>
            <w:r>
              <w:rPr>
                <w:rFonts w:ascii="Calibri" w:hAnsi="Calibri"/>
                <w:color w:val="000000"/>
                <w:sz w:val="18"/>
              </w:rPr>
              <w:t>0.782053</w:t>
            </w:r>
          </w:p>
        </w:tc>
        <w:tc>
          <w:tcPr>
            <w:tcW w:type="dxa" w:w="1560"/>
            <w:vAlign w:val="top"/>
          </w:tcPr>
          <w:p>
            <w:pPr>
              <w:spacing w:after="0"/>
            </w:pPr>
            <w:r>
              <w:rPr>
                <w:rFonts w:ascii="Calibri" w:hAnsi="Calibri"/>
                <w:color w:val="000000"/>
                <w:sz w:val="18"/>
              </w:rPr>
              <w:t>0.195463</w:t>
            </w:r>
          </w:p>
        </w:tc>
        <w:tc>
          <w:tcPr>
            <w:tcW w:type="dxa" w:w="1560"/>
            <w:vAlign w:val="top"/>
          </w:tcPr>
          <w:p>
            <w:pPr>
              <w:spacing w:after="0"/>
            </w:pPr>
            <w:r>
              <w:rPr>
                <w:rFonts w:ascii="Calibri" w:hAnsi="Calibri"/>
                <w:color w:val="000000"/>
                <w:sz w:val="18"/>
              </w:rPr>
              <w:t>1.520498</w:t>
            </w:r>
          </w:p>
        </w:tc>
      </w:tr>
      <w:tr>
        <w:trPr>
          <w:cantSplit w:val="true"/>
        </w:trPr>
        <w:tc>
          <w:tcPr>
            <w:tcW w:type="dxa" w:w="1560"/>
            <w:vAlign w:val="top"/>
          </w:tcPr>
          <w:p>
            <w:pPr>
              <w:spacing w:after="0"/>
            </w:pPr>
            <w:r>
              <w:rPr>
                <w:rFonts w:ascii="Calibri" w:hAnsi="Calibri"/>
                <w:color w:val="000000"/>
                <w:sz w:val="18"/>
              </w:rPr>
              <w:t>LightGBM</w:t>
            </w:r>
          </w:p>
        </w:tc>
        <w:tc>
          <w:tcPr>
            <w:tcW w:type="dxa" w:w="1560"/>
            <w:vAlign w:val="top"/>
          </w:tcPr>
          <w:p>
            <w:pPr>
              <w:spacing w:after="0"/>
            </w:pPr>
            <w:r>
              <w:rPr>
                <w:rFonts w:ascii="Calibri" w:hAnsi="Calibri"/>
                <w:color w:val="000000"/>
                <w:sz w:val="18"/>
              </w:rPr>
              <w:t>300 ağaç; lr=.05; yaprak=31</w:t>
            </w:r>
          </w:p>
        </w:tc>
        <w:tc>
          <w:tcPr>
            <w:tcW w:type="dxa" w:w="1560"/>
            <w:vAlign w:val="top"/>
          </w:tcPr>
          <w:p>
            <w:pPr>
              <w:spacing w:after="0"/>
            </w:pPr>
            <w:r>
              <w:rPr>
                <w:rFonts w:ascii="Calibri" w:hAnsi="Calibri"/>
                <w:color w:val="000000"/>
                <w:sz w:val="18"/>
              </w:rPr>
              <w:t>0.805223</w:t>
            </w:r>
          </w:p>
        </w:tc>
        <w:tc>
          <w:tcPr>
            <w:tcW w:type="dxa" w:w="1560"/>
            <w:vAlign w:val="top"/>
          </w:tcPr>
          <w:p>
            <w:pPr>
              <w:spacing w:after="0"/>
            </w:pPr>
            <w:r>
              <w:rPr>
                <w:rFonts w:ascii="Calibri" w:hAnsi="Calibri"/>
                <w:color w:val="000000"/>
                <w:sz w:val="18"/>
              </w:rPr>
              <w:t>0.776941</w:t>
            </w:r>
          </w:p>
        </w:tc>
        <w:tc>
          <w:tcPr>
            <w:tcW w:type="dxa" w:w="1560"/>
            <w:vAlign w:val="top"/>
          </w:tcPr>
          <w:p>
            <w:pPr>
              <w:spacing w:after="0"/>
            </w:pPr>
            <w:r>
              <w:rPr>
                <w:rFonts w:ascii="Calibri" w:hAnsi="Calibri"/>
                <w:color w:val="000000"/>
                <w:sz w:val="18"/>
              </w:rPr>
              <w:t>0.200875</w:t>
            </w:r>
          </w:p>
        </w:tc>
        <w:tc>
          <w:tcPr>
            <w:tcW w:type="dxa" w:w="1560"/>
            <w:vAlign w:val="top"/>
          </w:tcPr>
          <w:p>
            <w:pPr>
              <w:spacing w:after="0"/>
            </w:pPr>
            <w:r>
              <w:rPr>
                <w:rFonts w:ascii="Calibri" w:hAnsi="Calibri"/>
                <w:color w:val="000000"/>
                <w:sz w:val="18"/>
              </w:rPr>
              <w:t>1.546357</w:t>
            </w:r>
          </w:p>
        </w:tc>
      </w:tr>
    </w:tbl>
    <w:p>
      <w:pPr>
        <w:spacing w:after="40"/>
      </w:pPr>
    </w:p>
    <w:p>
      <w:r>
        <w:t>Seçim ölçütü doğrulama PR-AUC; ilk kazanan lojistik regresyondur. Nihai test matrisi ve eğrileri sızıntıyı önlemek için keşifte üretilmemiş, test açıldıktan sonra Rapor 04'te sunulmuştur.</w:t>
      </w:r>
    </w:p>
    <w:p>
      <w:pPr>
        <w:pStyle w:val="Heading2"/>
      </w:pPr>
      <w:r>
        <w:t>3. Değerlendirme yorumu</w:t>
      </w:r>
    </w:p>
    <w:p>
      <w:r>
        <w:t>Lojistik PR-AUC 0.805322, LightGBM 0.805223 ve rastgele orman 0.803517 değerlerini az farkla aşar. Ağaçların kalibre edilmemiş Brier değerleri daha iyidir; bu, sonuç gördükten sonra seçim ölçütünü değiştirmeyi değil ayrı kalibrasyonu gerektirir. Yakınlık temeli daha zayıf ama anlamlıdır.</w:t>
      </w:r>
    </w:p>
    <w:p>
      <w:pPr>
        <w:pStyle w:val="Heading2"/>
      </w:pPr>
      <w:r>
        <w:t>4. Yeniden üretilebilirlik</w:t>
      </w:r>
    </w:p>
    <w:p>
      <w:pPr>
        <w:pStyle w:val="AcademicCode"/>
        <w:shd w:fill="F7F9F8"/>
      </w:pPr>
      <w:r>
        <w:rPr>
          <w:rFonts w:ascii="Menlo" w:hAnsi="Menlo"/>
          <w:color w:val="173B32"/>
          <w:sz w:val="17"/>
        </w:rPr>
        <w:t>make data-download</w:t>
        <w:br/>
        <w:t>make data-profile</w:t>
        <w:br/>
        <w:t>make data-prepare</w:t>
        <w:br/>
        <w:t>make features-build</w:t>
        <w:br/>
        <w:t>make train</w:t>
        <w:br/>
        <w:t># Çıktılar bölme özetlerini, MLflow kimliklerini, parametreleri ve ölçütleri içerir.</w:t>
      </w:r>
    </w:p>
    <w:p>
      <w:r>
        <w:t>Her bölüm SHA-256, hedef/özellik/bölme sürümleriyle izlenir; MLflow çalıştırmaları kaydeder. model_exploration.json içindeki final_test bayrağının false olması keşfin nihai testten önce tamamlandığını gösterir.</w:t>
      </w:r>
    </w:p>
    <w:p>
      <w:pPr>
        <w:pStyle w:val="Heading2"/>
      </w:pPr>
      <w:r>
        <w:t>5. Sonuç</w:t>
      </w:r>
    </w:p>
    <w:p>
      <w:r>
        <w:t>Hazırlık hattı sızıntıya dayanıklı ve belirlenimcidir. İlk keşif iyileştirme için lojistik regresyonu seçmiştir. Sonuç belirtilen tarih ve ölçütle sınırlıdır; evrensel üstünlük veya üretim hazırlığı iddiası değildir.</w:t>
      </w:r>
    </w:p>
    <w:p>
      <w:pPr>
        <w:pStyle w:val="Heading1"/>
      </w:pPr>
      <w:r>
        <w:t>Kaynakça</w:t>
      </w:r>
    </w:p>
    <w:p>
      <w:r>
        <w:t>Chen, D. (2012). Online Retail II [Veri kümesi]. UCI Machine Learning Repository. https://doi.org/10.24432/C5CG6D</w:t>
      </w:r>
    </w:p>
    <w:p>
      <w:r>
        <w:t>scikit-learn geliştiricileri. Model değerlendirme, ön işleme ve olasılık kalibrasyonu belgeleri. https://scikit-learn.org/stable/</w:t>
      </w:r>
    </w:p>
    <w:p>
      <w:r>
        <w:t>Ke, G., et al. (2017). LightGBM: A highly efficient gradient boosting decision tree. Advances in Neural Information Processing Systems, 30.</w:t>
      </w:r>
    </w:p>
    <w:p>
      <w:r>
        <w:t>Proje kanıtları: artifacts/reports/dataset_profile.json, artifacts/reports/data_preparation.json, artifacts/eda, artifacts/ml/model_exploration.json ve ilgili betikler/testler.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Sayfa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VERI HAZIRLAMA, ÖZELLIK MÜHENDISLIĞI VE MODEL KEŞFI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 Hazırlama, Özellik Mühendisliği ve Model Keşfi</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