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3B32"/>
          <w:sz w:val="36"/>
        </w:rPr>
        <w:t>SHORT WEEKLY PROGRESS REPORT</w:t>
      </w:r>
    </w:p>
    <w:p>
      <w:pPr>
        <w:spacing w:after="120"/>
      </w:pPr>
      <w:r>
        <w:rPr>
          <w:rFonts w:ascii="Calibri" w:hAnsi="Calibri"/>
          <w:b/>
          <w:color w:val="547068"/>
          <w:sz w:val="21"/>
        </w:rPr>
        <w:t>Samsung Innovation Campus · Group 7 · GrowthPilot AI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500"/>
        <w:gridCol w:w="43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Date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Reporter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Overall status</w:t>
            </w:r>
          </w:p>
        </w:tc>
      </w:tr>
      <w:t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9 September 2026</w:t>
            </w:r>
          </w:p>
        </w:tc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Şahin Başcı</w:t>
            </w:r>
          </w:p>
        </w:tc>
        <w:tc>
          <w:tcPr>
            <w:tcW w:type="dxa" w:w="43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GREEN — local scope complete; external validation open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1. Progress since the previous report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Completed the production-oriented local application, temporal churn-proxy data/ML pipeline, frozen final evaluation, model registry/inference, integrations, attribution, audiences/campaign approval, security boundaries and all academic submission artifacts. No fabricated business result or live provider result is included.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2. Current focus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Final audit: rendered document/slide QA, clean full test suite, dependency/secret scans, evidence mapping and Phase 22–24 readiness documentation.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3. Status and evidence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Green for authorized local delivery. Backend: 83 tests passing before final package audit; frontend typecheck/lint/Vitest/webpack build passing. Final test: PR-AUC 0.647525, ROC-AUC 0.765878, Brier 0.199854; model SHA-256 942d705d…52ad.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4. Problems and risks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No live Meta, Google Ads, LLM, OIDC or cloud credentials; browser controller unavailable; production backup/restore and load tests not performed. Dataset is historical, single-retailer, UK-based; inactivity is a proxy, not contractual churn; predictive results are noncausal.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5. Support or decision needed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Project Lead should audit deliverables and decide whether to authorize final squash/publication. Founder must provide sandbox credentials and approve any deployment or real campaign. Submission dates in instructor files have elapsed and require instructor confirmation.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6. Tasks before next report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Address audit findings; run credentialed sandbox and browser/accessibility validation; rehearse backup/restore; define pilot eligibility and randomized holdout; only then request separate deployment/publication authorization.</w:t>
      </w:r>
    </w:p>
    <w:p>
      <w:pPr>
        <w:spacing w:before="60" w:after="0"/>
        <w:shd w:fill="E8F1ED"/>
      </w:pPr>
      <w:r>
        <w:rPr>
          <w:rFonts w:ascii="Calibri" w:hAnsi="Calibri"/>
          <w:b/>
          <w:color w:val="173B32"/>
          <w:sz w:val="16"/>
        </w:rPr>
        <w:t>AI disclosure: drafted with OpenAI Codex/ChatGPT assistance and verified against repository evidence; human review required.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1440" w:bottom="720" w:left="14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Calibri" w:hAnsi="Calibri"/>
        <w:color w:val="547068"/>
        <w:sz w:val="17"/>
      </w:rPr>
      <w:t xml:space="preserve">Page </w:t>
    </w:r>
    <w:r>
      <w:rPr>
        <w:rFonts w:ascii="Calibri" w:hAnsi="Calibri"/>
        <w:color w:val="547068"/>
        <w:sz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47068"/>
        <w:sz w:val="17"/>
      </w:rPr>
      <w:t xml:space="preserve"> of </w:t>
    </w:r>
    <w:r>
      <w:rPr>
        <w:rFonts w:ascii="Calibri" w:hAnsi="Calibri"/>
        <w:color w:val="547068"/>
        <w:sz w:val="17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6" w:color="B8D2C8"/>
      </w:pBdr>
    </w:pPr>
    <w:r>
      <w:rPr>
        <w:rFonts w:ascii="Calibri" w:hAnsi="Calibri"/>
        <w:b/>
        <w:color w:val="547068"/>
        <w:sz w:val="17"/>
      </w:rPr>
      <w:t>GROWTHPILOT AI  |  WEEKLY PROGRESS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ademicCode">
    <w:name w:val="Academic Code"/>
    <w:basedOn w:val="Normal"/>
    <w:pPr>
      <w:spacing w:before="80" w:after="160"/>
      <w:ind w:left="288" w:right="288"/>
    </w:pPr>
    <w:rPr>
      <w:rFonts w:ascii="Menlo" w:hAnsi="Menlo"/>
      <w:sz w:val="17"/>
    </w:rPr>
  </w:style>
  <w:style w:type="paragraph" w:customStyle="1" w:styleId="AcademicBullet">
    <w:name w:val="Academic Bullet"/>
    <w:basedOn w:val="Normal"/>
    <w:pPr>
      <w:numPr>
        <w:ilvl w:val="0"/>
        <w:numId w:val="10"/>
      </w:numPr>
    </w:pPr>
  </w:style>
  <w:style w:type="paragraph" w:customStyle="1" w:styleId="AcademicNumber">
    <w:name w:val="Academic Number"/>
    <w:basedOn w:val="Normal"/>
    <w:pPr>
      <w:numPr>
        <w:ilvl w:val="0"/>
        <w:numId w:val="11"/>
      </w:numP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GrowthPilot AI Weekly Progress Report — 2026-09-09</dc:title>
  <dc:subject/>
  <dc:creator>Şahin Başcı; AI-assisted drafting disclosed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