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</w:p>
    <w:p>
      <w:pPr>
        <w:spacing w:after="80"/>
      </w:pPr>
      <w:r>
        <w:rPr>
          <w:rFonts w:ascii="Calibri" w:hAnsi="Calibri"/>
          <w:b/>
          <w:color w:val="173B32"/>
          <w:sz w:val="46"/>
        </w:rPr>
        <w:t>Model İyileştirme ve Test Çalışması</w:t>
      </w:r>
    </w:p>
    <w:p>
      <w:pPr>
        <w:spacing w:after="280"/>
      </w:pPr>
      <w:r>
        <w:rPr>
          <w:rFonts w:ascii="Calibri" w:hAnsi="Calibri"/>
          <w:color w:val="547068"/>
          <w:sz w:val="27"/>
        </w:rPr>
        <w:t>Dondurulmuş, kalibre edilmiş lojistik müşteri kaybı vekil adayı ve dokunulmamış zamansal değerlendirme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Ders: </w:t>
      </w:r>
      <w:r>
        <w:rPr>
          <w:rFonts w:ascii="Calibri" w:hAnsi="Calibri"/>
          <w:color w:val="000000"/>
          <w:sz w:val="21"/>
        </w:rPr>
        <w:t>Samsung Innovation Campus — Pazarlamada Yapay Zekâ Bitirme Projesi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Ekip: </w:t>
      </w:r>
      <w:r>
        <w:rPr>
          <w:rFonts w:ascii="Calibri" w:hAnsi="Calibri"/>
          <w:color w:val="000000"/>
          <w:sz w:val="21"/>
        </w:rPr>
        <w:t>Grup 7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Proje: </w:t>
      </w:r>
      <w:r>
        <w:rPr>
          <w:rFonts w:ascii="Calibri" w:hAnsi="Calibri"/>
          <w:color w:val="000000"/>
          <w:sz w:val="21"/>
        </w:rPr>
        <w:t>GrowthPilot AI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Hazırlayan: </w:t>
      </w:r>
      <w:r>
        <w:rPr>
          <w:rFonts w:ascii="Calibri" w:hAnsi="Calibri"/>
          <w:color w:val="000000"/>
          <w:sz w:val="21"/>
        </w:rPr>
        <w:t>Şahin Başcı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Tarih: </w:t>
      </w:r>
      <w:r>
        <w:rPr>
          <w:rFonts w:ascii="Calibri" w:hAnsi="Calibri"/>
          <w:color w:val="000000"/>
          <w:sz w:val="21"/>
        </w:rPr>
        <w:t>9 Eylül 2026</w:t>
      </w:r>
    </w:p>
    <w:p>
      <w:pPr>
        <w:keepLines/>
        <w:spacing w:after="60" w:line="276" w:lineRule="auto"/>
      </w:pPr>
      <w:r>
        <w:rPr>
          <w:rFonts w:ascii="Calibri" w:hAnsi="Calibri"/>
          <w:b/>
          <w:color w:val="173B32"/>
          <w:sz w:val="21"/>
        </w:rPr>
        <w:t xml:space="preserve">Durum: </w:t>
      </w:r>
      <w:r>
        <w:rPr>
          <w:rFonts w:ascii="Calibri" w:hAnsi="Calibri"/>
          <w:color w:val="000000"/>
          <w:sz w:val="21"/>
        </w:rPr>
        <w:t>Nihai yerel akademik paket</w:t>
      </w:r>
    </w:p>
    <w:p>
      <w:pPr>
        <w:spacing w:after="240"/>
        <w:pBdr>
          <w:bottom w:val="single" w:sz="12" w:space="6" w:color="1E5A49"/>
        </w:pBdr>
      </w:pPr>
    </w:p>
    <w:p>
      <w:pPr>
        <w:shd w:fill="E8F1ED"/>
        <w:spacing w:before="80" w:after="160"/>
        <w:ind w:left="115" w:right="115"/>
      </w:pPr>
      <w:r>
        <w:rPr>
          <w:rFonts w:ascii="Calibri" w:hAnsi="Calibri"/>
          <w:b/>
          <w:color w:val="173B32"/>
          <w:sz w:val="19"/>
        </w:rPr>
        <w:t>YAPAY ZEKA KULLANIM BEYANI — Bu belge OpenAI Codex/ChatGPT desteğiyle hazırlanmış ve depo kanıtlarıyla kontrol edilmiştir. Proje ölçütleri yürütülmüş, sürümlenmiş eserlerden gelir; dış iddialar kaynaklandırılmıştır. İnsan incelemesi gereklidir.</w:t>
      </w:r>
    </w:p>
    <w:p/>
    <w:p>
      <w:pPr>
        <w:pStyle w:val="Heading1"/>
      </w:pPr>
      <w:r>
        <w:t>Bölüm I — Model iyileştirme</w:t>
      </w:r>
    </w:p>
    <w:p>
      <w:pPr>
        <w:pStyle w:val="Heading2"/>
      </w:pPr>
      <w:r>
        <w:t>1. İlk değerlendirme ve zayıflıklar</w:t>
      </w:r>
    </w:p>
    <w:p>
      <w:r>
        <w:t>İlk keşif lojistik regresyonu doğrulama PR-AUC 0.805322 ile seçti. Zayıflıkları olasılık kalibrasyonu (Brier 0.213300; ECE 0.169377) ve düzenlileştirme duyarlılığıydı. LightGBM PR-AUC'de çok yakındı ve ham kalibrasyonu daha iyiydi; bu nedenle iyileştirme, birincil seçim kuralını değiştirmeden üç öğrenilmiş aileyi karşılaştırdı.</w:t>
      </w:r>
    </w:p>
    <w:p>
      <w:pPr>
        <w:pStyle w:val="Heading2"/>
      </w:pPr>
      <w:r>
        <w:t>2. İyileştirme teknikleri</w:t>
      </w:r>
    </w:p>
    <w:p>
      <w:pPr>
        <w:pStyle w:val="AcademicBullet"/>
      </w:pPr>
      <w:r>
        <w:t>Lojistik ızgara: C ∈ {0.01, 0.05, 0.2, 1.0, 5.0}; sıralama, kalibrasyon ve kapasite doğrudan ölçüldüğünden sınıf ağırlığı kapalı tutuldu.</w:t>
      </w:r>
    </w:p>
    <w:p>
      <w:pPr>
        <w:pStyle w:val="AcademicBullet"/>
      </w:pPr>
      <w:r>
        <w:t>Rastgele orman ızgarası: 400 ağaç, asgari yaprak {5,10,20}, azami derinlik {8,16}.</w:t>
      </w:r>
    </w:p>
    <w:p>
      <w:pPr>
        <w:pStyle w:val="AcademicBullet"/>
      </w:pPr>
      <w:r>
        <w:t>LightGBM: öğrenme oranı, yaprak, derinlik, asgari alt örnek, L2, satır ve sütun alt örneklemesinde 12 tohumlu deneme.</w:t>
      </w:r>
    </w:p>
    <w:p>
      <w:pPr>
        <w:pStyle w:val="AcademicBullet"/>
      </w:pPr>
      <w:r>
        <w:t>Sigmoid kalibrasyon yalnız 2011-06-01 anlık görüntüsünde uyarlandı.</w:t>
      </w:r>
    </w:p>
    <w:p>
      <w:pPr>
        <w:pStyle w:val="AcademicBullet"/>
      </w:pPr>
      <w:r>
        <w:t>Operasyon eşiği yaklaşık %10 kalibrasyon kapasitesinde 0.812509305136 olarak sabitlendi.</w:t>
      </w:r>
    </w:p>
    <w:p>
      <w:pPr>
        <w:pStyle w:val="Heading2"/>
      </w:pPr>
      <w:r>
        <w:t>3. Ayarlamanın etkisi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  <w:cantSplit w:val="true"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Aşama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PR-AUC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ROC-AUC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Brier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ECE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İlk %10 kesinlik / artış</w:t>
            </w:r>
          </w:p>
        </w:tc>
      </w:tr>
      <w:tr>
        <w:trPr>
          <w:cantSplit w:val="true"/>
        </w:trPr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İlk lojistik doğrulama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0.805322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0.782819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0.213300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0.169377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0.871642 / 1.510154</w:t>
            </w:r>
          </w:p>
        </w:tc>
      </w:tr>
      <w:tr>
        <w:trPr>
          <w:cantSplit w:val="true"/>
        </w:trPr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İyileştirilmiş lojistik C=.01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0.812223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0.787127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0.196710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0.106133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0.883582 / 1.530841</w:t>
            </w:r>
          </w:p>
        </w:tc>
      </w:tr>
      <w:tr>
        <w:trPr>
          <w:cantSplit w:val="true"/>
        </w:trPr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Kalibrasyon uyumu, betimsel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0.739014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0.773722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0.193632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0.040863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0.834586 / 1.671058</w:t>
            </w:r>
          </w:p>
        </w:tc>
      </w:tr>
    </w:tbl>
    <w:p>
      <w:pPr>
        <w:spacing w:after="40"/>
      </w:pPr>
    </w:p>
    <w:p>
      <w:r>
        <w:t>Kalibrasyon ölçütleri aynı kalibrasyon etiketlerini yeniden kullandığından betimseldir, tarafsız test tahmini değildir.</w:t>
      </w:r>
    </w:p>
    <w:p>
      <w:r>
        <w:t>C değerinin 1.0'dan 0.01'e indirilmesi PR-AUC'yi 0.812223'e çıkarıp Brier'ı 0.196710'a düşürdü. Sonraki bölümde sigmoid kalibrasyon ECE'yi betimsel olarak 0.040863'e düşürdü. Seri hâle getirilmiş adayın sağlama toplamı 942d705d66a9469d57494626a99da83c91a9a895a3a2b2d7e977ff3ba56952ad'dir.</w:t>
      </w:r>
    </w:p>
    <w:p>
      <w:pPr>
        <w:pStyle w:val="Heading2"/>
      </w:pPr>
      <w:r>
        <w:t>4. Çapraz doğrulama ve özellik seçimi</w:t>
      </w:r>
    </w:p>
    <w:p>
      <w:r>
        <w:t>Rastgele k-katlı doğrulama, gelecek/geçmiş anlık görüntülerini ve tekrarlanan müşterileri karıştıracağı için kullanılmadı. Bunun yerine genişleyen kronolojik eğitim kesimleri ile ayrı doğrulama, kalibrasyon ve nihai test tarihleri kullanıldı. Test sonrası özellik seçimi yapılmadı: düzenlileştirilmiş lojistik hat katsayı büyüklüğünü sınırlar; testi gördükten sonra özellik kaldırmak dondurma kuralını ihlal eder.</w:t>
      </w:r>
    </w:p>
    <w:p>
      <w:pPr>
        <w:pStyle w:val="Heading2"/>
      </w:pPr>
      <w:r>
        <w:t>5. Açıklanabilirlik doğrulaması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4064508"/>
            <wp:docPr id="1" name="Picture 1" descr="Şekil 1. Kalibre log-olasılıkta küresel ortalama mutlak SHAP katkısı. Projede üretilen tanı." title="Şekil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lanations_glob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064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i/>
          <w:color w:val="547068"/>
          <w:sz w:val="18"/>
        </w:rPr>
        <w:t>Şekil 1. Kalibre log-olasılıkta küresel ortalama mutlak SHAP katkısı. Projede üretilen tanı.</w:t>
      </w:r>
    </w:p>
    <w:p>
      <w:r>
        <w:t>SHAP ayrıştırması dondurulmuş lojistik hat için kalibre log-olasılıkta hesaplandı. Azami toplamsallık hatası 8.881784197001252×10⁻¹⁶ olup sayısal tutarlılığı doğrular. Katkılar model puanını açıklar; nedensel etki değildir ve desteklenmeyen kişisel iddialara dönüştürülemez.</w:t>
      </w:r>
    </w:p>
    <w:p>
      <w:pPr>
        <w:pStyle w:val="Heading1"/>
      </w:pPr>
      <w:r>
        <w:t>Bölüm II — Nihai test</w:t>
      </w:r>
    </w:p>
    <w:p>
      <w:pPr>
        <w:pStyle w:val="Heading2"/>
      </w:pPr>
      <w:r>
        <w:t>1. Test hazırlığı ve bütünlük</w:t>
      </w:r>
    </w:p>
    <w:p>
      <w:r>
        <w:t>Nihai test, 2011-09-01 kesiminde tamamen gözlenen 90 günlük etiket penceresine sahip 2.772 müşteridir. Hazırlanmış dosyanın SHA-256 değeri 2830e4738acfee8c5561f5eb513874d0cacae32f3b3095c412db62dc2cf78ff6'dır. Erişimden önce aday bildirimi, ön işleme, kalibratör, sağlama toplamı ve eşik donduruldu. Test sonrası yeniden ayar yasaktır.</w:t>
      </w:r>
    </w:p>
    <w:p>
      <w:pPr>
        <w:pStyle w:val="Heading2"/>
      </w:pPr>
      <w:r>
        <w:t>2. Model uygulaması</w:t>
      </w:r>
    </w:p>
    <w:p>
      <w:pPr>
        <w:pStyle w:val="AcademicCode"/>
        <w:shd w:fill="F7F9F8"/>
      </w:pPr>
      <w:r>
        <w:rPr>
          <w:rFonts w:ascii="Menlo" w:hAnsi="Menlo"/>
          <w:color w:val="173B32"/>
          <w:sz w:val="17"/>
        </w:rPr>
        <w:t>bundle = joblib.load('artifacts/models/final_candidate.joblib')</w:t>
        <w:br/>
        <w:t>assert sha256_file(model_path) == EXPECTED_MODEL_SHA256</w:t>
        <w:br/>
        <w:t>scores = bundle['calibrated_model'].predict_proba(X_test)[:, 1]</w:t>
        <w:br/>
        <w:t>predicted = scores &gt;= 0.812509305136</w:t>
        <w:br/>
        <w:t># Hedef, özellik ve bölme sürümleri raporlamadan önce denetlenir.</w:t>
      </w:r>
    </w:p>
    <w:p>
      <w:pPr>
        <w:pStyle w:val="Heading2"/>
      </w:pPr>
      <w:r>
        <w:t>3. Nihai test ölçütleri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Ölçüt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Nihai test sonucu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%95 bootstrap aralığı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Satır / yaygınlık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2.772 / 0.392857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Uygulanamaz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PR-AUC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0.647525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[0.618131, 0.678937]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ROC-AUC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0.765878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[0.748534, 0.782761]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Brier skoru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0.199854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[0.192598, 0.207125]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Log kaybı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0.582761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Bootstrap uygulanmadı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ECE (10 kutu)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0.095054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Bootstrap uygulanmadı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İlk %10 kesinlik / duyarlılık / artış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0.748201 / 0.191001 / 1.904513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Bootstrap uygulanmadı</w:t>
            </w:r>
          </w:p>
        </w:tc>
      </w:tr>
    </w:tbl>
    <w:p>
      <w:pPr>
        <w:spacing w:after="40"/>
      </w:pPr>
    </w:p>
    <w:p>
      <w:r>
        <w:t>Kanıt sınıfı: projede yürütülen, dokunulmamış zamansal bekletme. Aralıklar bu kesim için parametrik olmayan satır bootstrap aralıklarıdır.</w:t>
      </w:r>
    </w:p>
    <w:p>
      <w:pPr>
        <w:spacing w:before="120" w:after="80"/>
        <w:jc w:val="center"/>
      </w:pPr>
      <w:r>
        <w:drawing>
          <wp:inline xmlns:a="http://schemas.openxmlformats.org/drawingml/2006/main" xmlns:pic="http://schemas.openxmlformats.org/drawingml/2006/picture">
            <wp:extent cx="5806440" cy="2322576"/>
            <wp:docPr id="2" name="Picture 2" descr="Şekil 2. Nihai zamansal testte kesinlik–duyarlılık ve olasılık kalibrasyonu." title="Şekil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evalu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322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rPr>
          <w:rFonts w:ascii="Calibri" w:hAnsi="Calibri"/>
          <w:i/>
          <w:color w:val="547068"/>
          <w:sz w:val="18"/>
        </w:rPr>
        <w:t>Şekil 2. Nihai zamansal testte kesinlik–duyarlılık ve olasılık kalibrasyonu.</w:t>
      </w:r>
    </w:p>
    <w:p>
      <w:pPr>
        <w:pStyle w:val="Heading2"/>
      </w:pPr>
      <w:r>
        <w:t>4. Dondurulmuş eşik karışıklık matrisi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  <w:cantSplit w:val="true"/>
        </w:trPr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Gerçek / tahmin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Aktif tahmini</w:t>
            </w:r>
          </w:p>
        </w:tc>
        <w:tc>
          <w:tcPr>
            <w:tcW w:type="dxa" w:w="312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Hareketsiz tahmini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Gerçekte aktif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TN = 1.603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FP = 80</w:t>
            </w:r>
          </w:p>
        </w:tc>
      </w:tr>
      <w:tr>
        <w:trPr>
          <w:cantSplit w:val="true"/>
        </w:trPr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Gerçekte hareketsiz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FN = 867</w:t>
            </w:r>
          </w:p>
        </w:tc>
        <w:tc>
          <w:tcPr>
            <w:tcW w:type="dxa" w:w="312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TP = 222</w:t>
            </w:r>
          </w:p>
        </w:tc>
      </w:tr>
    </w:tbl>
    <w:p>
      <w:pPr>
        <w:spacing w:after="40"/>
      </w:pPr>
    </w:p>
    <w:p>
      <w:r>
        <w:t>0.812509305136 eşiği 302 müşteriyi (%10,8947) seçti: kesinlik 0.735099, duyarlılık 0.203857, F1 0.319195.</w:t>
      </w:r>
    </w:p>
    <w:p>
      <w:pPr>
        <w:pStyle w:val="Heading2"/>
      </w:pPr>
      <w:r>
        <w:t>5. Doğrulamadan teste karşılaştırma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  <w:cantSplit w:val="true"/>
        </w:trP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Bölüm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PR-AUC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ROC-AUC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Brier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Yaygınlık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  <w:shd w:fill="F2F4F7"/>
            <w:vAlign w:val="center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73B32"/>
                <w:sz w:val="19"/>
              </w:rPr>
              <w:t>Yorum</w:t>
            </w:r>
          </w:p>
        </w:tc>
      </w:tr>
      <w:tr>
        <w:trPr>
          <w:cantSplit w:val="true"/>
        </w:trPr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Doğrulama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0.812223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0.787127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0.196710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0.577187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Aile/ayar seçimi</w:t>
            </w:r>
          </w:p>
        </w:tc>
      </w:tr>
      <w:tr>
        <w:trPr>
          <w:cantSplit w:val="true"/>
        </w:trPr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Kalibrasyon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0.739014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0.773722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0.193632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0.499436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Sigmoid ve eşik; betimsel</w:t>
            </w:r>
          </w:p>
        </w:tc>
      </w:tr>
      <w:tr>
        <w:trPr>
          <w:cantSplit w:val="true"/>
        </w:trPr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Nihai test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0.647525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0.765878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0.199854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0.392857</w:t>
            </w:r>
          </w:p>
        </w:tc>
        <w:tc>
          <w:tcPr>
            <w:tcW w:type="dxa" w:w="1560"/>
            <w:vAlign w:val="top"/>
          </w:tcPr>
          <w:p>
            <w:pPr>
              <w:spacing w:after="0"/>
            </w:pPr>
            <w:r>
              <w:rPr>
                <w:rFonts w:ascii="Calibri" w:hAnsi="Calibri"/>
                <w:color w:val="000000"/>
                <w:sz w:val="18"/>
              </w:rPr>
              <w:t>Tek dokunulmamış zamansal bekletme</w:t>
            </w:r>
          </w:p>
        </w:tc>
      </w:tr>
    </w:tbl>
    <w:p>
      <w:pPr>
        <w:spacing w:after="40"/>
      </w:pPr>
    </w:p>
    <w:p>
      <w:r>
        <w:t>PR-AUC 0.812223'ten 0.647525'e, yaygınlık 0.577187'den 0.392857'ye iner. ROC-AUC 0.765878 kalırken ilk %10 artış 1.904513'e çıkar. Fark, dondurulmuş sonucu değiştirme gerekçesi değil, zamansal/veri kayması ve belirsizlik kanıtıdır.</w:t>
      </w:r>
    </w:p>
    <w:p>
      <w:pPr>
        <w:pStyle w:val="Heading2"/>
      </w:pPr>
      <w:r>
        <w:t>6. Dağıtımın gerçek durumu</w:t>
      </w:r>
    </w:p>
    <w:p>
      <w:r>
        <w:t>Eser yerelde growthpilot-churn-inactivity sürüm 1 ve champion takma adıyla kayıtlı, kiracı kapsamlı istek üzerine ve kalıcı toplu puanlamaya bağlıdır. “Champion” yerel kayıt takma adıdır, üretim dağıtımı kanıtı değildir. İstek üzerine puanlama demo kapılıdır; canlı bulut, kiracı verisi sapması ve hizmet düzeyi doğrulanmamıştır. Hiçbir puan eylem yetkisi vermez.</w:t>
      </w:r>
    </w:p>
    <w:p>
      <w:pPr>
        <w:pStyle w:val="Heading2"/>
      </w:pPr>
      <w:r>
        <w:t>7. Sonuç</w:t>
      </w:r>
    </w:p>
    <w:p>
      <w:r>
        <w:t>Dondurulmuş model tarihsel testte, özellikle sınırlı erişim kapasitesinde yararlı sıralama sinyali verir; ancak katı eşikte çoğu hareketsiz müşteriyi kaçırır. İnsan kararını desteklemeli, yerine geçmemelidir. Üretim için güncel kiracı verisi, hukuka uygun kullanım, kalibrasyon/sapma izleme ve nedensel kampanya değerlendirmesi gerekir.</w:t>
      </w:r>
    </w:p>
    <w:p>
      <w:pPr>
        <w:pStyle w:val="Heading1"/>
      </w:pPr>
      <w:r>
        <w:t>Kaynakça ve kanıt</w:t>
      </w:r>
    </w:p>
    <w:p>
      <w:r>
        <w:t>scikit-learn geliştiricileri. Olasılık kalibrasyonu ve model değerlendirme belgeleri. https://scikit-learn.org/stable/modules/calibration.html</w:t>
      </w:r>
    </w:p>
    <w:p>
      <w:r>
        <w:t>Lundberg, S. M., &amp; Lee, S.-I. (2017). A unified approach to interpreting model predictions. NeurIPS 30. https://arxiv.org/abs/1705.07874</w:t>
      </w:r>
    </w:p>
    <w:p>
      <w:r>
        <w:t>Proje kanıtları: artifacts/ml/final_candidate.json, final_evaluation.json/png, explanations.json/png, model_registry.json; scripts/refine_model.py, evaluate_final.py, explain_model.py ve register_model.py.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right"/>
    </w:pPr>
    <w:r>
      <w:rPr>
        <w:rFonts w:ascii="Calibri" w:hAnsi="Calibri"/>
        <w:color w:val="547068"/>
        <w:sz w:val="17"/>
      </w:rPr>
      <w:t xml:space="preserve">Sayfa </w:t>
    </w:r>
    <w:r>
      <w:rPr>
        <w:rFonts w:ascii="Calibri" w:hAnsi="Calibri"/>
        <w:color w:val="547068"/>
        <w:sz w:val="17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color w:val="547068"/>
        <w:sz w:val="17"/>
      </w:rPr>
      <w:t xml:space="preserve"> / </w:t>
    </w:r>
    <w:r>
      <w:rPr>
        <w:rFonts w:ascii="Calibri" w:hAnsi="Calibri"/>
        <w:color w:val="547068"/>
        <w:sz w:val="17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  <w:pBdr>
        <w:bottom w:val="single" w:sz="6" w:space="6" w:color="B8D2C8"/>
      </w:pBdr>
    </w:pPr>
    <w:r>
      <w:rPr>
        <w:rFonts w:ascii="Calibri" w:hAnsi="Calibri"/>
        <w:b/>
        <w:color w:val="547068"/>
        <w:sz w:val="17"/>
      </w:rPr>
      <w:t>GROWTHPILOT AI  |  MODEL İYILEŞTIRME VE TEST ÇALIŞMASI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cademicCode">
    <w:name w:val="Academic Code"/>
    <w:basedOn w:val="Normal"/>
    <w:pPr>
      <w:spacing w:before="80" w:after="160"/>
      <w:ind w:left="288" w:right="288"/>
    </w:pPr>
    <w:rPr>
      <w:rFonts w:ascii="Menlo" w:hAnsi="Menlo"/>
      <w:sz w:val="17"/>
    </w:rPr>
  </w:style>
  <w:style w:type="paragraph" w:customStyle="1" w:styleId="AcademicBullet">
    <w:name w:val="Academic Bullet"/>
    <w:basedOn w:val="Normal"/>
    <w:pPr>
      <w:numPr>
        <w:ilvl w:val="0"/>
        <w:numId w:val="10"/>
      </w:numPr>
    </w:pPr>
  </w:style>
  <w:style w:type="paragraph" w:customStyle="1" w:styleId="AcademicNumber">
    <w:name w:val="Academic Number"/>
    <w:basedOn w:val="Normal"/>
    <w:pPr>
      <w:numPr>
        <w:ilvl w:val="0"/>
        <w:numId w:val="11"/>
      </w:numPr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 İyileştirme ve Test Çalışması</dc:title>
  <dc:subject>Samsung Innovation Campus — AI in Marketing Capstone</dc:subject>
  <dc:creator>Şahin Başcı; AI-assisted drafting disclosed</dc:creator>
  <cp:keywords>GrowthPilot, capstone, AI in marketing, Group 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