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360"/>
      </w:pPr>
    </w:p>
    <w:p>
      <w:pPr>
        <w:pStyle w:val="Title"/>
        <w:jc w:val="left"/>
      </w:pPr>
      <w:r>
        <w:rPr>
          <w:rFonts w:ascii="Times New Roman" w:hAnsi="Times New Roman"/>
          <w:b/>
          <w:color w:val="000000"/>
          <w:sz w:val="48"/>
        </w:rPr>
        <w:t>Makine Öğrenmesi Proje Dokümantasyonu</w:t>
      </w:r>
    </w:p>
    <w:p>
      <w:pPr>
        <w:spacing w:after="200"/>
      </w:pPr>
      <w:r>
        <w:rPr>
          <w:rFonts w:ascii="Times New Roman" w:hAnsi="Times New Roman"/>
          <w:b/>
          <w:color w:val="000000"/>
          <w:sz w:val="36"/>
        </w:rPr>
        <w:t>Model Dağıtımı</w:t>
      </w:r>
    </w:p>
    <w:p>
      <w:pPr>
        <w:spacing w:after="400"/>
      </w:pPr>
      <w:r>
        <w:rPr>
          <w:rFonts w:ascii="Times New Roman" w:hAnsi="Times New Roman"/>
          <w:color w:val="000000"/>
          <w:sz w:val="27"/>
        </w:rPr>
        <w:t>GrowthPilot AI Açıklanabilir Müşteri Hareketsizliği Modelinin Güvenli ve İzlenebilir Sunum Mimarisi</w:t>
      </w:r>
    </w:p>
    <w:p>
      <w:pPr>
        <w:spacing w:after="60"/>
      </w:pPr>
      <w:r>
        <w:rPr>
          <w:rFonts w:ascii="Times New Roman" w:hAnsi="Times New Roman"/>
          <w:b/>
          <w:color w:val="000000"/>
          <w:sz w:val="23"/>
        </w:rPr>
        <w:t>Hazırlayan:</w:t>
      </w:r>
      <w:r>
        <w:rPr>
          <w:rFonts w:ascii="Times New Roman" w:hAnsi="Times New Roman"/>
          <w:color w:val="000000"/>
          <w:sz w:val="23"/>
        </w:rPr>
        <w:t xml:space="preserve"> Şahin Başcı</w:t>
      </w:r>
    </w:p>
    <w:p>
      <w:pPr>
        <w:spacing w:after="60"/>
      </w:pPr>
      <w:r>
        <w:rPr>
          <w:rFonts w:ascii="Times New Roman" w:hAnsi="Times New Roman"/>
          <w:b/>
          <w:color w:val="000000"/>
          <w:sz w:val="23"/>
        </w:rPr>
        <w:t>Program:</w:t>
      </w:r>
      <w:r>
        <w:rPr>
          <w:rFonts w:ascii="Times New Roman" w:hAnsi="Times New Roman"/>
          <w:color w:val="000000"/>
          <w:sz w:val="23"/>
        </w:rPr>
        <w:t xml:space="preserve"> Samsung Innovation Campus Pazarlamada Yapay Zekâ Bitirme Projesi</w:t>
      </w:r>
    </w:p>
    <w:p>
      <w:pPr>
        <w:spacing w:after="60"/>
      </w:pPr>
      <w:r>
        <w:rPr>
          <w:rFonts w:ascii="Times New Roman" w:hAnsi="Times New Roman"/>
          <w:b/>
          <w:color w:val="000000"/>
          <w:sz w:val="23"/>
        </w:rPr>
        <w:t>Proje:</w:t>
      </w:r>
      <w:r>
        <w:rPr>
          <w:rFonts w:ascii="Times New Roman" w:hAnsi="Times New Roman"/>
          <w:color w:val="000000"/>
          <w:sz w:val="23"/>
        </w:rPr>
        <w:t xml:space="preserve"> GrowthPilot AI</w:t>
      </w:r>
    </w:p>
    <w:p>
      <w:pPr>
        <w:spacing w:after="60"/>
      </w:pPr>
      <w:r>
        <w:rPr>
          <w:rFonts w:ascii="Times New Roman" w:hAnsi="Times New Roman"/>
          <w:b/>
          <w:color w:val="000000"/>
          <w:sz w:val="23"/>
        </w:rPr>
        <w:t>Teslim tarihi:</w:t>
      </w:r>
      <w:r>
        <w:rPr>
          <w:rFonts w:ascii="Times New Roman" w:hAnsi="Times New Roman"/>
          <w:color w:val="000000"/>
          <w:sz w:val="23"/>
        </w:rPr>
        <w:t xml:space="preserve"> 21 Eylül 2026</w:t>
      </w:r>
    </w:p>
    <w:p>
      <w:pPr>
        <w:spacing w:after="60"/>
      </w:pPr>
      <w:r>
        <w:rPr>
          <w:rFonts w:ascii="Times New Roman" w:hAnsi="Times New Roman"/>
          <w:b/>
          <w:color w:val="000000"/>
          <w:sz w:val="23"/>
        </w:rPr>
        <w:t>Belge durumu:</w:t>
      </w:r>
      <w:r>
        <w:rPr>
          <w:rFonts w:ascii="Times New Roman" w:hAnsi="Times New Roman"/>
          <w:color w:val="000000"/>
          <w:sz w:val="23"/>
        </w:rPr>
        <w:t xml:space="preserve"> Yerel uygulama ve test kanıtı tamamlandı; canlı ortam dağıtımı yapılmadı</w:t>
      </w:r>
    </w:p>
    <w:p>
      <w:pPr>
        <w:spacing w:after="100"/>
      </w:pPr>
    </w:p>
    <w:p>
      <w:pPr>
        <w:spacing w:before="160" w:after="160"/>
      </w:pPr>
      <w:r>
        <w:rPr>
          <w:rFonts w:ascii="Times New Roman" w:hAnsi="Times New Roman"/>
          <w:b/>
          <w:color w:val="000000"/>
        </w:rPr>
        <w:t>Yapay zekâ kullanım beyanı:</w:t>
      </w:r>
      <w:r>
        <w:rPr>
          <w:rFonts w:ascii="Times New Roman" w:hAnsi="Times New Roman"/>
          <w:color w:val="000000"/>
        </w:rPr>
        <w:t xml:space="preserve"> Bu çalışmada yapay zekâ araçlarından teknik kontrol, taslak düzenleme ve dil iyileştirme süreçlerinde destek alınmıştır. Nihai içerik, kod referansları ve teknik sonuçlar proje deposu üzerinden doğrulanmıştır.</w:t>
      </w:r>
    </w:p>
    <w:p>
      <w:pPr>
        <w:spacing w:before="360" w:after="0"/>
      </w:pPr>
      <w:r>
        <w:rPr>
          <w:rFonts w:ascii="Times New Roman" w:hAnsi="Times New Roman"/>
          <w:b/>
          <w:color w:val="2D766F"/>
          <w:sz w:val="18"/>
        </w:rPr>
        <w:t>DAĞITIM DURUMU</w:t>
      </w:r>
    </w:p>
    <w:p>
      <w:pPr>
        <w:spacing w:after="0"/>
      </w:pPr>
      <w:r>
        <w:rPr>
          <w:rFonts w:ascii="Times New Roman" w:hAnsi="Times New Roman"/>
          <w:b/>
          <w:color w:val="173B52"/>
          <w:sz w:val="22"/>
        </w:rPr>
        <w:t>Yerel uygulama ve test kanıtı mevcuttur. Canlı AWS dağıtımı, üretim OIDC, yönetilen alarm sistemi ve gerçek müşteri performans doğrulaması yoktur.</w:t>
      </w:r>
    </w:p>
    <w:p>
      <w:r>
        <w:br w:type="page"/>
      </w:r>
    </w:p>
    <w:p>
      <w:pPr>
        <w:pStyle w:val="Heading1"/>
      </w:pPr>
      <w:r>
        <w:t>1 Genel Bakış</w:t>
      </w:r>
    </w:p>
    <w:p>
      <w:r>
        <w:rPr>
          <w:rFonts w:ascii="Times New Roman" w:hAnsi="Times New Roman"/>
          <w:color w:val="000000"/>
        </w:rPr>
        <w:t>GrowthPilot AI, müşteri ve sipariş geçmişinden gelecekteki satın alma hareketsizliği olasılığını hesaplayan modeli CRM akışına bağlar. Bu rapor; model serileştirme (model serialization), çalışma anında yükleme, API ile çıkarım, güvenlik ve izleme sınırlarını inceler. Çıkarım kodu, API, kalıcı tahmin kayıtları, iş kuyruğu, güvenlik kontrolleri, container tanımı ve AWS Terraform referansı proje deposunda bulunur ve yerel testlerle doğrulanır. Canlı bulut dağıtımı, üretim kimlik sağlayıcısı, yönetilen alarm sistemi ve gerçek müşteri verisiyle model doğrulaması ise henüz yapılmamıştır.</w:t>
      </w:r>
    </w:p>
    <w:p>
      <w:r>
        <w:rPr>
          <w:rFonts w:ascii="Times New Roman" w:hAnsi="Times New Roman"/>
          <w:color w:val="000000"/>
        </w:rPr>
        <w:t xml:space="preserve">Model, internete açılan ayrı bir makine öğrenmesi servisi değildir. FastAPI tabanlı modüler uygulamanın </w:t>
      </w:r>
      <w:r>
        <w:rPr>
          <w:rFonts w:ascii="Menlo" w:hAnsi="Menlo"/>
          <w:color w:val="173B52"/>
          <w:sz w:val="18"/>
        </w:rPr>
        <w:t>intelligence</w:t>
      </w:r>
      <w:r>
        <w:rPr>
          <w:rFonts w:ascii="Times New Roman" w:hAnsi="Times New Roman"/>
          <w:color w:val="000000"/>
        </w:rPr>
        <w:t xml:space="preserve"> alanı, organizasyon kapsamındaki veriden özellikleri üretir, SHA-256 değeri doğrulanmış modeli çağırır, karar katmanını uygular ve sonucu PostgreSQL'e eklemeli kayıt olarak yazar. Böylece yetkilendirme, organizasyon bağlamı, veri modeli ve denetim kaydı aynı işlem sınırında kalır. Bunun bedeli, modelin tek başına ölçeklenememesi ve model değişikliğinin arka uç sürümüne bağlı olmasıdır.</w:t>
      </w:r>
    </w:p>
    <w:p>
      <w:pPr>
        <w:pStyle w:val="Heading2"/>
      </w:pPr>
      <w:r>
        <w:t>1.1 Dağıtım durum matrisi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9"/>
        <w:gridCol w:w="3029"/>
        <w:gridCol w:w="3029"/>
      </w:tblGrid>
      <w:tr>
        <w:trPr>
          <w:tblHeader/>
        </w:trPr>
        <w:tc>
          <w:tcPr>
            <w:tcW w:type="dxa" w:w="2300"/>
            <w:vAlign w:val="center"/>
            <w:shd w:fill="173B52"/>
            <w:tcMar>
              <w:top w:w="55" w:type="dxa"/>
              <w:start w:w="110" w:type="dxa"/>
              <w:bottom w:w="55" w:type="dxa"/>
              <w:end w:w="110" w:type="dxa"/>
            </w:tcMar>
          </w:tcPr>
          <w:p>
            <w:pPr>
              <w:spacing w:after="0" w:line="240" w:lineRule="auto"/>
            </w:pPr>
            <w:r>
              <w:rPr>
                <w:rFonts w:ascii="Times New Roman" w:hAnsi="Times New Roman"/>
                <w:b/>
                <w:color w:val="FFFFFF"/>
                <w:sz w:val="16"/>
              </w:rPr>
              <w:t>Yetenek</w:t>
            </w:r>
          </w:p>
        </w:tc>
        <w:tc>
          <w:tcPr>
            <w:tcW w:type="dxa" w:w="2000"/>
            <w:vAlign w:val="center"/>
            <w:shd w:fill="173B52"/>
            <w:tcMar>
              <w:top w:w="55" w:type="dxa"/>
              <w:start w:w="110" w:type="dxa"/>
              <w:bottom w:w="55" w:type="dxa"/>
              <w:end w:w="110" w:type="dxa"/>
            </w:tcMar>
          </w:tcPr>
          <w:p>
            <w:pPr>
              <w:spacing w:after="0" w:line="240" w:lineRule="auto"/>
            </w:pPr>
            <w:r>
              <w:rPr>
                <w:rFonts w:ascii="Times New Roman" w:hAnsi="Times New Roman"/>
                <w:b/>
                <w:color w:val="FFFFFF"/>
                <w:sz w:val="16"/>
              </w:rPr>
              <w:t>Durum</w:t>
            </w:r>
          </w:p>
        </w:tc>
        <w:tc>
          <w:tcPr>
            <w:tcW w:type="dxa" w:w="4600"/>
            <w:vAlign w:val="center"/>
            <w:shd w:fill="173B52"/>
            <w:tcMar>
              <w:top w:w="55" w:type="dxa"/>
              <w:start w:w="110" w:type="dxa"/>
              <w:bottom w:w="55" w:type="dxa"/>
              <w:end w:w="110" w:type="dxa"/>
            </w:tcMar>
          </w:tcPr>
          <w:p>
            <w:pPr>
              <w:spacing w:after="0" w:line="240" w:lineRule="auto"/>
            </w:pPr>
            <w:r>
              <w:rPr>
                <w:rFonts w:ascii="Times New Roman" w:hAnsi="Times New Roman"/>
                <w:b/>
                <w:color w:val="FFFFFF"/>
                <w:sz w:val="16"/>
              </w:rPr>
              <w:t>Repository kanıtı</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Dondurulmuş </w:t>
            </w:r>
            <w:r>
              <w:rPr>
                <w:rFonts w:ascii="Menlo" w:hAnsi="Menlo"/>
                <w:b w:val="0"/>
                <w:color w:val="000000"/>
                <w:sz w:val="16"/>
              </w:rPr>
              <w:t>joblib</w:t>
            </w:r>
            <w:r>
              <w:rPr>
                <w:rFonts w:ascii="Times New Roman" w:hAnsi="Times New Roman"/>
                <w:b w:val="0"/>
                <w:color w:val="000000"/>
                <w:sz w:val="16"/>
              </w:rPr>
              <w:t xml:space="preserve"> model eseri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doğrulandı</w:t>
            </w:r>
          </w:p>
        </w:tc>
        <w:tc>
          <w:tcPr>
            <w:tcW w:type="dxa" w:w="4600"/>
            <w:vAlign w:val="center"/>
            <w:shd w:fill="FFFFFF"/>
            <w:tcMar>
              <w:top w:w="55" w:type="dxa"/>
              <w:start w:w="110" w:type="dxa"/>
              <w:bottom w:w="55" w:type="dxa"/>
              <w:end w:w="110" w:type="dxa"/>
            </w:tcMar>
          </w:tcPr>
          <w:p>
            <w:pPr>
              <w:spacing w:after="0" w:line="240" w:lineRule="auto"/>
            </w:pPr>
            <w:r>
              <w:rPr>
                <w:rFonts w:ascii="Menlo" w:hAnsi="Menlo"/>
                <w:b w:val="0"/>
                <w:color w:val="000000"/>
                <w:sz w:val="16"/>
              </w:rPr>
              <w:t>.local/models/final_candidate.joblib</w:t>
            </w:r>
            <w:r>
              <w:rPr>
                <w:rFonts w:ascii="Times New Roman" w:hAnsi="Times New Roman"/>
                <w:b w:val="0"/>
                <w:color w:val="000000"/>
                <w:sz w:val="16"/>
              </w:rPr>
              <w:t>; SHA-256 yeniden hesaplandı</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Manifest ve sürüm soyu</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doğrulandı</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artifacts/ml/final_candidate.json</w:t>
            </w:r>
            <w:r>
              <w:rPr>
                <w:rFonts w:ascii="Times New Roman" w:hAnsi="Times New Roman"/>
                <w:b w:val="0"/>
                <w:color w:val="000000"/>
                <w:sz w:val="16"/>
              </w:rPr>
              <w:t xml:space="preserve">, </w:t>
            </w:r>
            <w:r>
              <w:rPr>
                <w:rFonts w:ascii="Menlo" w:hAnsi="Menlo"/>
                <w:b w:val="0"/>
                <w:color w:val="000000"/>
                <w:sz w:val="16"/>
              </w:rPr>
              <w:t>final_evaluation.json</w:t>
            </w:r>
            <w:r>
              <w:rPr>
                <w:rFonts w:ascii="Times New Roman" w:hAnsi="Times New Roman"/>
                <w:b w:val="0"/>
                <w:color w:val="000000"/>
                <w:sz w:val="16"/>
              </w:rPr>
              <w:t xml:space="preserve">, </w:t>
            </w:r>
            <w:r>
              <w:rPr>
                <w:rFonts w:ascii="Menlo" w:hAnsi="Menlo"/>
                <w:b w:val="0"/>
                <w:color w:val="000000"/>
                <w:sz w:val="16"/>
              </w:rPr>
              <w:t>model_registry.json</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Yükleme öncesi SHA-256 denetimi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test edildi</w:t>
            </w:r>
          </w:p>
        </w:tc>
        <w:tc>
          <w:tcPr>
            <w:tcW w:type="dxa" w:w="4600"/>
            <w:vAlign w:val="center"/>
            <w:shd w:fill="FFFFFF"/>
            <w:tcMar>
              <w:top w:w="55" w:type="dxa"/>
              <w:start w:w="110" w:type="dxa"/>
              <w:bottom w:w="55" w:type="dxa"/>
              <w:end w:w="110" w:type="dxa"/>
            </w:tcMar>
          </w:tcPr>
          <w:p>
            <w:pPr>
              <w:spacing w:after="0" w:line="240" w:lineRule="auto"/>
            </w:pPr>
            <w:r>
              <w:rPr>
                <w:rFonts w:ascii="Menlo" w:hAnsi="Menlo"/>
                <w:b w:val="0"/>
                <w:color w:val="000000"/>
                <w:sz w:val="16"/>
              </w:rPr>
              <w:t>backend/app/intelligence/service.py</w:t>
            </w:r>
            <w:r>
              <w:rPr>
                <w:rFonts w:ascii="Times New Roman" w:hAnsi="Times New Roman"/>
                <w:b w:val="0"/>
                <w:color w:val="000000"/>
                <w:sz w:val="16"/>
              </w:rPr>
              <w:t xml:space="preserve">; </w:t>
            </w:r>
            <w:r>
              <w:rPr>
                <w:rFonts w:ascii="Menlo" w:hAnsi="Menlo"/>
                <w:b w:val="0"/>
                <w:color w:val="000000"/>
                <w:sz w:val="16"/>
              </w:rPr>
              <w:t>test_intelligence_inference.py</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Tek müşteri çıkarımı ve tahmin geçmişi</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backend/app/intelligence/router.py</w:t>
            </w:r>
            <w:r>
              <w:rPr>
                <w:rFonts w:ascii="Times New Roman" w:hAnsi="Times New Roman"/>
                <w:b w:val="0"/>
                <w:color w:val="000000"/>
                <w:sz w:val="16"/>
              </w:rPr>
              <w:t xml:space="preserve">; </w:t>
            </w:r>
            <w:r>
              <w:rPr>
                <w:rFonts w:ascii="Menlo" w:hAnsi="Menlo"/>
                <w:b w:val="0"/>
                <w:color w:val="000000"/>
                <w:sz w:val="16"/>
              </w:rPr>
              <w:t>test_intelligence_inference.py</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Kalıcı toplu puanlama işi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PostgreSQL outbox, Redis, Dramatiq, </w:t>
            </w:r>
            <w:r>
              <w:rPr>
                <w:rFonts w:ascii="Menlo" w:hAnsi="Menlo"/>
                <w:b w:val="0"/>
                <w:color w:val="000000"/>
                <w:sz w:val="16"/>
              </w:rPr>
              <w:t>ScoringJob</w:t>
            </w:r>
            <w:r>
              <w:rPr>
                <w:rFonts w:ascii="Times New Roman" w:hAnsi="Times New Roman"/>
                <w:b w:val="0"/>
                <w:color w:val="000000"/>
                <w:sz w:val="16"/>
              </w:rPr>
              <w:t xml:space="preserve">; </w:t>
            </w:r>
            <w:r>
              <w:rPr>
                <w:rFonts w:ascii="Menlo" w:hAnsi="Menlo"/>
                <w:b w:val="0"/>
                <w:color w:val="000000"/>
                <w:sz w:val="16"/>
              </w:rPr>
              <w:t>test_worker.py</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RBAC ve organizasyon yalıtımı</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identity/</w:t>
            </w:r>
            <w:r>
              <w:rPr>
                <w:rFonts w:ascii="Times New Roman" w:hAnsi="Times New Roman"/>
                <w:b w:val="0"/>
                <w:color w:val="000000"/>
                <w:sz w:val="16"/>
              </w:rPr>
              <w:t>, zorunlu RLS geçişleri, negatif yalıtım testleri</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Container model sağlama sözleşmesi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statik test edildi</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BuildKit secret, oluşturma anında SHA-256 denetimi, sabit </w:t>
            </w:r>
            <w:r>
              <w:rPr>
                <w:rFonts w:ascii="Menlo" w:hAnsi="Menlo"/>
                <w:b w:val="0"/>
                <w:color w:val="000000"/>
                <w:sz w:val="16"/>
              </w:rPr>
              <w:t>GP_MODEL_PATH</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AWS altyapısı</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Referans mimari mevcut</w:t>
            </w:r>
          </w:p>
        </w:tc>
        <w:tc>
          <w:tcPr>
            <w:tcW w:type="dxa" w:w="4600"/>
            <w:vAlign w:val="center"/>
            <w:shd w:fill="F7F9FA"/>
            <w:tcMar>
              <w:top w:w="55" w:type="dxa"/>
              <w:start w:w="110" w:type="dxa"/>
              <w:bottom w:w="55" w:type="dxa"/>
              <w:end w:w="110" w:type="dxa"/>
            </w:tcMar>
          </w:tcPr>
          <w:p>
            <w:pPr>
              <w:spacing w:after="0" w:line="240" w:lineRule="auto"/>
            </w:pPr>
            <w:r>
              <w:rPr>
                <w:rFonts w:ascii="Menlo" w:hAnsi="Menlo"/>
                <w:b w:val="0"/>
                <w:color w:val="000000"/>
                <w:sz w:val="16"/>
              </w:rPr>
              <w:t>infra/terraform/aws/</w:t>
            </w:r>
            <w:r>
              <w:rPr>
                <w:rFonts w:ascii="Times New Roman" w:hAnsi="Times New Roman"/>
                <w:b w:val="0"/>
                <w:color w:val="000000"/>
                <w:sz w:val="16"/>
              </w:rPr>
              <w:t xml:space="preserve">; </w:t>
            </w:r>
            <w:r>
              <w:rPr>
                <w:rFonts w:ascii="Menlo" w:hAnsi="Menlo"/>
                <w:b w:val="0"/>
                <w:color w:val="000000"/>
                <w:sz w:val="16"/>
              </w:rPr>
              <w:t>terraform validate</w:t>
            </w:r>
            <w:r>
              <w:rPr>
                <w:rFonts w:ascii="Times New Roman" w:hAnsi="Times New Roman"/>
                <w:b w:val="0"/>
                <w:color w:val="000000"/>
                <w:sz w:val="16"/>
              </w:rPr>
              <w:t xml:space="preserve"> canlı uygulama değildir</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HTTP gözlemlenebilirliği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Uygulandı ve yerelde test edildi</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istek kimliği, güvenli günlük alanları, sayaç, span ve sağlık uç noktaları</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Üretim OIDC</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Canlı doğrulama bekliyor</w:t>
            </w:r>
          </w:p>
        </w:tc>
        <w:tc>
          <w:tcPr>
            <w:tcW w:type="dxa" w:w="46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Kod sınırı mevcut; gerçek issuer, JWKS ve organizasyon eşlemesi doğrulanmadı</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Canlı AWS dağıtımı</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Yapılmadı</w:t>
            </w:r>
          </w:p>
        </w:tc>
        <w:tc>
          <w:tcPr>
            <w:tcW w:type="dxa" w:w="4600"/>
            <w:vAlign w:val="center"/>
            <w:shd w:fill="FFFFFF"/>
            <w:tcMar>
              <w:top w:w="55" w:type="dxa"/>
              <w:start w:w="110" w:type="dxa"/>
              <w:bottom w:w="55" w:type="dxa"/>
              <w:end w:w="110" w:type="dxa"/>
            </w:tcMar>
          </w:tcPr>
          <w:p>
            <w:pPr>
              <w:spacing w:after="0" w:line="240" w:lineRule="auto"/>
            </w:pPr>
            <w:r>
              <w:rPr>
                <w:rFonts w:ascii="Menlo" w:hAnsi="Menlo"/>
                <w:b w:val="0"/>
                <w:color w:val="000000"/>
                <w:sz w:val="16"/>
              </w:rPr>
              <w:t>terraform apply</w:t>
            </w:r>
            <w:r>
              <w:rPr>
                <w:rFonts w:ascii="Times New Roman" w:hAnsi="Times New Roman"/>
                <w:b w:val="0"/>
                <w:color w:val="000000"/>
                <w:sz w:val="16"/>
              </w:rPr>
              <w:t>, container yayını, DNS ve bulut kaynağı değişikliği yok</w:t>
            </w:r>
          </w:p>
        </w:tc>
      </w:tr>
      <w:tr>
        <w:trPr>
          <w:cantSplit/>
        </w:trPr>
        <w:tc>
          <w:tcPr>
            <w:tcW w:type="dxa" w:w="23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Gerçek zamanlı model kayması ve performans izleme</w:t>
            </w:r>
          </w:p>
        </w:tc>
        <w:tc>
          <w:tcPr>
            <w:tcW w:type="dxa" w:w="20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Planlandı</w:t>
            </w:r>
          </w:p>
        </w:tc>
        <w:tc>
          <w:tcPr>
            <w:tcW w:type="dxa" w:w="4600"/>
            <w:vAlign w:val="center"/>
            <w:shd w:fill="F7F9FA"/>
            <w:tcMar>
              <w:top w:w="55" w:type="dxa"/>
              <w:start w:w="110" w:type="dxa"/>
              <w:bottom w:w="55" w:type="dxa"/>
              <w:end w:w="110" w:type="dxa"/>
            </w:tcMar>
          </w:tcPr>
          <w:p>
            <w:pPr>
              <w:spacing w:after="0" w:line="240" w:lineRule="auto"/>
            </w:pPr>
            <w:r>
              <w:rPr>
                <w:rFonts w:ascii="Times New Roman" w:hAnsi="Times New Roman"/>
                <w:b w:val="0"/>
                <w:color w:val="000000"/>
                <w:sz w:val="16"/>
              </w:rPr>
              <w:t>Ölçüt listesi tanımlı; canlı veri/etiket hattı ve alarm yok</w:t>
            </w:r>
          </w:p>
        </w:tc>
      </w:tr>
      <w:tr>
        <w:trPr>
          <w:cantSplit/>
        </w:trPr>
        <w:tc>
          <w:tcPr>
            <w:tcW w:type="dxa" w:w="23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Otomatik pazarlama eylemi</w:t>
            </w:r>
          </w:p>
        </w:tc>
        <w:tc>
          <w:tcPr>
            <w:tcW w:type="dxa" w:w="20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Bilinçli olarak kapalı</w:t>
            </w:r>
          </w:p>
        </w:tc>
        <w:tc>
          <w:tcPr>
            <w:tcW w:type="dxa" w:w="4600"/>
            <w:vAlign w:val="center"/>
            <w:shd w:fill="FFFFFF"/>
            <w:tcMar>
              <w:top w:w="55" w:type="dxa"/>
              <w:start w:w="110" w:type="dxa"/>
              <w:bottom w:w="55" w:type="dxa"/>
              <w:end w:w="110" w:type="dxa"/>
            </w:tcMar>
          </w:tcPr>
          <w:p>
            <w:pPr>
              <w:spacing w:after="0" w:line="240" w:lineRule="auto"/>
            </w:pPr>
            <w:r>
              <w:rPr>
                <w:rFonts w:ascii="Times New Roman" w:hAnsi="Times New Roman"/>
                <w:b w:val="0"/>
                <w:color w:val="000000"/>
                <w:sz w:val="16"/>
              </w:rPr>
              <w:t xml:space="preserve">Her yanıtta </w:t>
            </w:r>
            <w:r>
              <w:rPr>
                <w:rFonts w:ascii="Menlo" w:hAnsi="Menlo"/>
                <w:b w:val="0"/>
                <w:color w:val="000000"/>
                <w:sz w:val="16"/>
              </w:rPr>
              <w:t>action_authorized=false</w:t>
            </w:r>
            <w:r>
              <w:rPr>
                <w:rFonts w:ascii="Times New Roman" w:hAnsi="Times New Roman"/>
                <w:b w:val="0"/>
                <w:color w:val="000000"/>
                <w:sz w:val="16"/>
              </w:rPr>
              <w:t>; insan onayı zorunlu</w:t>
            </w:r>
          </w:p>
        </w:tc>
      </w:tr>
    </w:tbl>
    <w:p>
      <w:pPr>
        <w:spacing w:after="20"/>
      </w:pPr>
    </w:p>
    <w:p>
      <w:pPr>
        <w:pStyle w:val="Heading2"/>
      </w:pPr>
      <w:r>
        <w:t>1.2 Dağıtıma konu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3"/>
        <w:gridCol w:w="4543"/>
      </w:tblGrid>
      <w:tr>
        <w:trPr>
          <w:tblHeader/>
        </w:trPr>
        <w:tc>
          <w:tcPr>
            <w:tcW w:type="dxa" w:w="25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Alan</w:t>
            </w:r>
          </w:p>
        </w:tc>
        <w:tc>
          <w:tcPr>
            <w:tcW w:type="dxa" w:w="64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Dondurulmuş değer</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Model ailesi</w:t>
            </w:r>
          </w:p>
        </w:tc>
        <w:tc>
          <w:tcPr>
            <w:tcW w:type="dxa" w:w="64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L2 lojistik regresyon, </w:t>
            </w:r>
            <w:r>
              <w:rPr>
                <w:rFonts w:ascii="Menlo" w:hAnsi="Menlo"/>
                <w:b w:val="0"/>
                <w:color w:val="000000"/>
                <w:sz w:val="16"/>
              </w:rPr>
              <w:t>C=0.01</w:t>
            </w:r>
            <w:r>
              <w:rPr>
                <w:rFonts w:ascii="Times New Roman" w:hAnsi="Times New Roman"/>
                <w:b w:val="0"/>
                <w:color w:val="000000"/>
                <w:sz w:val="16"/>
              </w:rPr>
              <w:t>; sigmoid olasılık kalibrasyonu</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Hedef</w:t>
            </w:r>
          </w:p>
        </w:tc>
        <w:tc>
          <w:tcPr>
            <w:tcW w:type="dxa" w:w="64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future-inactivity-v1</w:t>
            </w:r>
            <w:r>
              <w:rPr>
                <w:rFonts w:ascii="Times New Roman" w:hAnsi="Times New Roman"/>
                <w:b w:val="0"/>
                <w:color w:val="000000"/>
                <w:sz w:val="16"/>
              </w:rPr>
              <w:t>: izleyen 90 günde uygun satın alma olmaması</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Özellik ve veri bölümü sürümü</w:t>
            </w:r>
          </w:p>
        </w:tc>
        <w:tc>
          <w:tcPr>
            <w:tcW w:type="dxa" w:w="64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customer-behavior-v1</w:t>
            </w:r>
            <w:r>
              <w:rPr>
                <w:rFonts w:ascii="Times New Roman" w:hAnsi="Times New Roman"/>
                <w:b w:val="0"/>
                <w:color w:val="000000"/>
                <w:sz w:val="16"/>
              </w:rPr>
              <w:t xml:space="preserve">; </w:t>
            </w:r>
            <w:r>
              <w:rPr>
                <w:rFonts w:ascii="Menlo" w:hAnsi="Menlo"/>
                <w:b w:val="0"/>
                <w:color w:val="000000"/>
                <w:sz w:val="16"/>
              </w:rPr>
              <w:t>temporal-split-v1</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Nihai zamansal test</w:t>
            </w:r>
          </w:p>
        </w:tc>
        <w:tc>
          <w:tcPr>
            <w:tcW w:type="dxa" w:w="64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2.772 satır; kesim tarihi 1 Eylül 2011</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PR-AUC</w:t>
            </w:r>
          </w:p>
        </w:tc>
        <w:tc>
          <w:tcPr>
            <w:tcW w:type="dxa" w:w="64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0,647525</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ROC-AUC</w:t>
            </w:r>
          </w:p>
        </w:tc>
        <w:tc>
          <w:tcPr>
            <w:tcW w:type="dxa" w:w="64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0,765878</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Brier skoru ve ECE-10</w:t>
            </w:r>
          </w:p>
        </w:tc>
        <w:tc>
          <w:tcPr>
            <w:tcW w:type="dxa" w:w="64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0,199854 ve 0,095054</w:t>
            </w:r>
          </w:p>
        </w:tc>
      </w:tr>
      <w:tr>
        <w:trPr>
          <w:cantSplit/>
        </w:trPr>
        <w:tc>
          <w:tcPr>
            <w:tcW w:type="dxa" w:w="25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Dondurulmuş eşik</w:t>
            </w:r>
          </w:p>
        </w:tc>
        <w:tc>
          <w:tcPr>
            <w:tcW w:type="dxa" w:w="64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0,812509305136</w:t>
            </w:r>
          </w:p>
        </w:tc>
      </w:tr>
      <w:tr>
        <w:trPr>
          <w:cantSplit/>
        </w:trPr>
        <w:tc>
          <w:tcPr>
            <w:tcW w:type="dxa" w:w="25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Model SHA-256</w:t>
            </w:r>
          </w:p>
        </w:tc>
        <w:tc>
          <w:tcPr>
            <w:tcW w:type="dxa" w:w="64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942d705d66a9469d57494626a99da83c91a9a895a3a2b2d7e977ff3ba56952ad</w:t>
            </w:r>
          </w:p>
        </w:tc>
      </w:tr>
    </w:tbl>
    <w:p>
      <w:pPr>
        <w:spacing w:after="20"/>
      </w:pPr>
    </w:p>
    <w:p>
      <w:r>
        <w:rPr>
          <w:rFonts w:ascii="Times New Roman" w:hAnsi="Times New Roman"/>
          <w:color w:val="000000"/>
        </w:rPr>
        <w:t xml:space="preserve">Bu değerler </w:t>
      </w:r>
      <w:r>
        <w:rPr>
          <w:rFonts w:ascii="Menlo" w:hAnsi="Menlo"/>
          <w:color w:val="173B52"/>
          <w:sz w:val="18"/>
        </w:rPr>
        <w:t>artifacts/ml/final_evaluation.json</w:t>
      </w:r>
      <w:r>
        <w:rPr>
          <w:rFonts w:ascii="Times New Roman" w:hAnsi="Times New Roman"/>
          <w:color w:val="000000"/>
        </w:rPr>
        <w:t xml:space="preserve"> ve model dosyası üzerinden yeniden doğrulanmıştır. Tek tarihsel perakendeciye ait test sonucu canlı ortam performansını, nedensel kampanya etkisini veya gerçek müşteri gelirini göstermez. Dağıtım kapısı bu nedenle </w:t>
      </w:r>
      <w:r>
        <w:rPr>
          <w:rFonts w:ascii="Menlo" w:hAnsi="Menlo"/>
          <w:color w:val="173B52"/>
          <w:sz w:val="18"/>
        </w:rPr>
        <w:t>demo_only_until_business_domain_validation</w:t>
      </w:r>
      <w:r>
        <w:rPr>
          <w:rFonts w:ascii="Times New Roman" w:hAnsi="Times New Roman"/>
          <w:color w:val="000000"/>
        </w:rPr>
        <w:t xml:space="preserve"> olarak kayıtlıdır.</w:t>
      </w:r>
    </w:p>
    <w:p>
      <w:pPr>
        <w:pStyle w:val="Heading1"/>
      </w:pPr>
      <w:r>
        <w:t>2 Model Serileştirme</w:t>
      </w:r>
    </w:p>
    <w:p>
      <w:pPr>
        <w:pStyle w:val="Heading2"/>
      </w:pPr>
      <w:r>
        <w:t>2.1 Tek eser içinde özellik dönüşümü model ve kalibrasyon</w:t>
      </w:r>
    </w:p>
    <w:p>
      <w:r>
        <w:rPr>
          <w:rFonts w:ascii="Times New Roman" w:hAnsi="Times New Roman"/>
          <w:color w:val="000000"/>
        </w:rPr>
        <w:t xml:space="preserve">Model serileştirme, eğitimden çıkan Python nesnesinin yeniden eğitim yapılmadan çıkarım ortamında yüklenebilmesidir. </w:t>
      </w:r>
      <w:r>
        <w:rPr>
          <w:rFonts w:ascii="Menlo" w:hAnsi="Menlo"/>
          <w:color w:val="173B52"/>
          <w:sz w:val="18"/>
        </w:rPr>
        <w:t>scripts/refine_model.py</w:t>
      </w:r>
      <w:r>
        <w:rPr>
          <w:rFonts w:ascii="Times New Roman" w:hAnsi="Times New Roman"/>
          <w:color w:val="000000"/>
        </w:rPr>
        <w:t xml:space="preserve">, yalnız sınıflandırıcıyı değil, bütün dönüşüm zincirini kaydeder. </w:t>
      </w:r>
      <w:r>
        <w:rPr>
          <w:rFonts w:ascii="Menlo" w:hAnsi="Menlo"/>
          <w:color w:val="173B52"/>
          <w:sz w:val="18"/>
        </w:rPr>
        <w:t>BehaviorFeatureTransformer</w:t>
      </w:r>
      <w:r>
        <w:rPr>
          <w:rFonts w:ascii="Times New Roman" w:hAnsi="Times New Roman"/>
          <w:color w:val="000000"/>
        </w:rPr>
        <w:t xml:space="preserve">, sağa çarpık ve negatif olmayan sayısal değişkenlere </w:t>
      </w:r>
      <w:r>
        <w:rPr>
          <w:rFonts w:ascii="Menlo" w:hAnsi="Menlo"/>
          <w:color w:val="173B52"/>
          <w:sz w:val="18"/>
        </w:rPr>
        <w:t>np.log1p(...)</w:t>
      </w:r>
      <w:r>
        <w:rPr>
          <w:rFonts w:ascii="Times New Roman" w:hAnsi="Times New Roman"/>
          <w:color w:val="000000"/>
        </w:rPr>
        <w:t xml:space="preserve"> tabanlı logaritmik dönüşüm uygular. Ardından </w:t>
      </w:r>
      <w:r>
        <w:rPr>
          <w:rFonts w:ascii="Menlo" w:hAnsi="Menlo"/>
          <w:color w:val="173B52"/>
          <w:sz w:val="18"/>
        </w:rPr>
        <w:t>SimpleImputer(strategy="median", add_indicator=True)</w:t>
      </w:r>
      <w:r>
        <w:rPr>
          <w:rFonts w:ascii="Times New Roman" w:hAnsi="Times New Roman"/>
          <w:color w:val="000000"/>
        </w:rPr>
        <w:t xml:space="preserve">, </w:t>
      </w:r>
      <w:r>
        <w:rPr>
          <w:rFonts w:ascii="Menlo" w:hAnsi="Menlo"/>
          <w:color w:val="173B52"/>
          <w:sz w:val="18"/>
        </w:rPr>
        <w:t>RobustScaler(quantile_range=(5, 95))</w:t>
      </w:r>
      <w:r>
        <w:rPr>
          <w:rFonts w:ascii="Times New Roman" w:hAnsi="Times New Roman"/>
          <w:color w:val="000000"/>
        </w:rPr>
        <w:t xml:space="preserve"> ve ülke alanı için </w:t>
      </w:r>
      <w:r>
        <w:rPr>
          <w:rFonts w:ascii="Menlo" w:hAnsi="Menlo"/>
          <w:color w:val="173B52"/>
          <w:sz w:val="18"/>
        </w:rPr>
        <w:t>OneHotEncoder</w:t>
      </w:r>
      <w:r>
        <w:rPr>
          <w:rFonts w:ascii="Times New Roman" w:hAnsi="Times New Roman"/>
          <w:color w:val="000000"/>
        </w:rPr>
        <w:t xml:space="preserve"> çalışır. Sınıflandırıcı </w:t>
      </w:r>
      <w:r>
        <w:rPr>
          <w:rFonts w:ascii="Menlo" w:hAnsi="Menlo"/>
          <w:color w:val="173B52"/>
          <w:sz w:val="18"/>
        </w:rPr>
        <w:t>LogisticRegression(C=0.01)</w:t>
      </w:r>
      <w:r>
        <w:rPr>
          <w:rFonts w:ascii="Times New Roman" w:hAnsi="Times New Roman"/>
          <w:color w:val="000000"/>
        </w:rPr>
        <w:t xml:space="preserve"> modelidir; </w:t>
      </w:r>
      <w:r>
        <w:rPr>
          <w:rFonts w:ascii="Menlo" w:hAnsi="Menlo"/>
          <w:color w:val="173B52"/>
          <w:sz w:val="18"/>
        </w:rPr>
        <w:t>StandardScaler</w:t>
      </w:r>
      <w:r>
        <w:rPr>
          <w:rFonts w:ascii="Times New Roman" w:hAnsi="Times New Roman"/>
          <w:color w:val="000000"/>
        </w:rPr>
        <w:t xml:space="preserve"> kullanılmaz. Bu bütün, </w:t>
      </w:r>
      <w:r>
        <w:rPr>
          <w:rFonts w:ascii="Menlo" w:hAnsi="Menlo"/>
          <w:color w:val="173B52"/>
          <w:sz w:val="18"/>
        </w:rPr>
        <w:t>FrozenEstimator</w:t>
      </w:r>
      <w:r>
        <w:rPr>
          <w:rFonts w:ascii="Times New Roman" w:hAnsi="Times New Roman"/>
          <w:color w:val="000000"/>
        </w:rPr>
        <w:t xml:space="preserve"> üzerinden </w:t>
      </w:r>
      <w:r>
        <w:rPr>
          <w:rFonts w:ascii="Menlo" w:hAnsi="Menlo"/>
          <w:color w:val="173B52"/>
          <w:sz w:val="18"/>
        </w:rPr>
        <w:t>CalibratedClassifierCV(method="sigmoid")</w:t>
      </w:r>
      <w:r>
        <w:rPr>
          <w:rFonts w:ascii="Times New Roman" w:hAnsi="Times New Roman"/>
          <w:color w:val="000000"/>
        </w:rPr>
        <w:t xml:space="preserve"> ile kalibre edilir. </w:t>
      </w:r>
      <w:r>
        <w:rPr>
          <w:rFonts w:ascii="Menlo" w:hAnsi="Menlo"/>
          <w:color w:val="173B52"/>
          <w:sz w:val="18"/>
        </w:rPr>
        <w:t>joblib.dump(calibrated, MODEL)</w:t>
      </w:r>
      <w:r>
        <w:rPr>
          <w:rFonts w:ascii="Times New Roman" w:hAnsi="Times New Roman"/>
          <w:color w:val="000000"/>
        </w:rPr>
        <w:t xml:space="preserve"> çağrısı nesneyi </w:t>
      </w:r>
      <w:r>
        <w:rPr>
          <w:rFonts w:ascii="Menlo" w:hAnsi="Menlo"/>
          <w:color w:val="173B52"/>
          <w:sz w:val="18"/>
        </w:rPr>
        <w:t>.local/models/final_candidate.joblib</w:t>
      </w:r>
      <w:r>
        <w:rPr>
          <w:rFonts w:ascii="Times New Roman" w:hAnsi="Times New Roman"/>
          <w:color w:val="000000"/>
        </w:rPr>
        <w:t xml:space="preserve"> yoluna yazar. Dondurulmuş model dosyası 8.336 bayttır ve ek sıkıştırma kullanılmaz.</w:t>
      </w:r>
    </w:p>
    <w:p>
      <w:r>
        <w:rPr>
          <w:rFonts w:ascii="Times New Roman" w:hAnsi="Times New Roman"/>
          <w:color w:val="000000"/>
        </w:rPr>
        <w:t xml:space="preserve">Bu paketleme, eğitim ve sunum arasında dönüşüm adımlarının ayrı kodlarla yeniden yazılmasından doğabilecek özellik sapmasını azaltır. Yine de operasyonel özellik üretimi ayrı bir sorumluluktur. </w:t>
      </w:r>
      <w:r>
        <w:rPr>
          <w:rFonts w:ascii="Menlo" w:hAnsi="Menlo"/>
          <w:color w:val="173B52"/>
          <w:sz w:val="18"/>
        </w:rPr>
        <w:t>build_operational_features</w:t>
      </w:r>
      <w:r>
        <w:rPr>
          <w:rFonts w:ascii="Times New Roman" w:hAnsi="Times New Roman"/>
          <w:color w:val="000000"/>
        </w:rPr>
        <w:t xml:space="preserve">, organizasyon kapsamındaki sipariş, satır ve iade kayıtlarından modele verilen 24 ham sütunu kesim zamanına göre hesaplar. Dönüşüm zinciri sütun adlarını doğrular ve </w:t>
      </w:r>
      <w:r>
        <w:rPr>
          <w:rFonts w:ascii="Menlo" w:hAnsi="Menlo"/>
          <w:color w:val="173B52"/>
          <w:sz w:val="18"/>
        </w:rPr>
        <w:t>MODEL_FEATURES</w:t>
      </w:r>
      <w:r>
        <w:rPr>
          <w:rFonts w:ascii="Times New Roman" w:hAnsi="Times New Roman"/>
          <w:color w:val="000000"/>
        </w:rPr>
        <w:t xml:space="preserve"> sırasını korur.</w:t>
      </w:r>
    </w:p>
    <w:p>
      <w:r>
        <w:rPr>
          <w:rFonts w:ascii="Times New Roman" w:hAnsi="Times New Roman"/>
          <w:color w:val="000000"/>
        </w:rPr>
        <w:t xml:space="preserve">Eğitimde </w:t>
      </w:r>
      <w:r>
        <w:rPr>
          <w:rFonts w:ascii="Menlo" w:hAnsi="Menlo"/>
          <w:color w:val="173B52"/>
          <w:sz w:val="18"/>
        </w:rPr>
        <w:t>country</w:t>
      </w:r>
      <w:r>
        <w:rPr>
          <w:rFonts w:ascii="Times New Roman" w:hAnsi="Times New Roman"/>
          <w:color w:val="000000"/>
        </w:rPr>
        <w:t xml:space="preserve"> gerçek değişkenlik taşıyan bir model girdisidir. Operasyonel veride bu alan bulunmadığı için mevcut çıkarım kodu her kayıtta </w:t>
      </w:r>
      <w:r>
        <w:rPr>
          <w:rFonts w:ascii="Menlo" w:hAnsi="Menlo"/>
          <w:color w:val="173B52"/>
          <w:sz w:val="18"/>
        </w:rPr>
        <w:t>country="__missing__"</w:t>
      </w:r>
      <w:r>
        <w:rPr>
          <w:rFonts w:ascii="Times New Roman" w:hAnsi="Times New Roman"/>
          <w:color w:val="000000"/>
        </w:rPr>
        <w:t xml:space="preserve"> üretir. Bu, eğitim-sunum özellik dağılımı uyumsuzluğu (training-serving skew) riski ve üretime hazırlık açığıdır. Canlıya geçmeden önce üç seçenekten biri kanıtlanmalıdır: operasyonel veri modeline güvenilir ülke bilgisi eklemek; </w:t>
      </w:r>
      <w:r>
        <w:rPr>
          <w:rFonts w:ascii="Menlo" w:hAnsi="Menlo"/>
          <w:color w:val="173B52"/>
          <w:sz w:val="18"/>
        </w:rPr>
        <w:t>country</w:t>
      </w:r>
      <w:r>
        <w:rPr>
          <w:rFonts w:ascii="Times New Roman" w:hAnsi="Times New Roman"/>
          <w:color w:val="000000"/>
        </w:rPr>
        <w:t xml:space="preserve"> olmadan yeni bir aday modeli yeniden değerlendirmek; veya bütün ülke değerlerinin eksik olduğu ayrı bir duyarlılık/holdout testi çalıştırmak. Dondurulmuş nihai test sonucu üzerinden yeni ayar yapılamaz.</w:t>
      </w:r>
    </w:p>
    <w:p>
      <w:pPr>
        <w:pStyle w:val="Heading2"/>
      </w:pPr>
      <w:r>
        <w:t>2.2 Dondurma ve yeniden üretilebilirlik sınırı</w:t>
      </w:r>
    </w:p>
    <w:p>
      <w:r>
        <w:rPr>
          <w:rFonts w:ascii="Times New Roman" w:hAnsi="Times New Roman"/>
          <w:color w:val="000000"/>
        </w:rPr>
        <w:t xml:space="preserve">Seçim beş lojistik regresyon, altı random forest ve on iki LightGBM denemesinin doğrulama PR-AUC sonuçlarına göre yapılmıştır. Seçilen işlem hattı eğitim ve doğrulama kesimleriyle yeniden uydurulmuş, sigmoid kalibrasyon ayrı 1 Haziran 2011 kesiminde yapılmış ve yaklaşık yüzde 10 inceleme kapasitesine karşılık gelen eşik aynı kesimde belirlenmiştir. Nihai 1 Eylül 2011 testi yalnız bir kez açılmış; manifest </w:t>
      </w:r>
      <w:r>
        <w:rPr>
          <w:rFonts w:ascii="Menlo" w:hAnsi="Menlo"/>
          <w:color w:val="173B52"/>
          <w:sz w:val="18"/>
        </w:rPr>
        <w:t>final_test_accessed=true</w:t>
      </w:r>
      <w:r>
        <w:rPr>
          <w:rFonts w:ascii="Times New Roman" w:hAnsi="Times New Roman"/>
          <w:color w:val="000000"/>
        </w:rPr>
        <w:t xml:space="preserve"> ve </w:t>
      </w:r>
      <w:r>
        <w:rPr>
          <w:rFonts w:ascii="Menlo" w:hAnsi="Menlo"/>
          <w:color w:val="173B52"/>
          <w:sz w:val="18"/>
        </w:rPr>
        <w:t>post_test_retuning_permitted=false</w:t>
      </w:r>
      <w:r>
        <w:rPr>
          <w:rFonts w:ascii="Times New Roman" w:hAnsi="Times New Roman"/>
          <w:color w:val="000000"/>
        </w:rPr>
        <w:t xml:space="preserve"> alanlarıyla bu sınırı kaydetmiştir.</w:t>
      </w:r>
    </w:p>
    <w:p>
      <w:r>
        <w:rPr>
          <w:rFonts w:ascii="Times New Roman" w:hAnsi="Times New Roman"/>
          <w:color w:val="000000"/>
        </w:rPr>
        <w:t xml:space="preserve">Yeniden üretilebilirlik yalnız model dosyasına dayanmaz. Manifest hedef, özellik ve veri bölümü sürümlerini; Git revizyonunu; deneme parametrelerini ve sonuçlarını; kalibrasyon ölçütlerini; eşik politikasını; MLflow çalıştırma kimliğini ve model SHA-256 değerini saklar. </w:t>
      </w:r>
      <w:r>
        <w:rPr>
          <w:rFonts w:ascii="Menlo" w:hAnsi="Menlo"/>
          <w:color w:val="173B52"/>
          <w:sz w:val="18"/>
        </w:rPr>
        <w:t>artifacts/ml/model_registry.json</w:t>
      </w:r>
      <w:r>
        <w:rPr>
          <w:rFonts w:ascii="Times New Roman" w:hAnsi="Times New Roman"/>
          <w:color w:val="000000"/>
        </w:rPr>
        <w:t xml:space="preserve">; kayıtlı model </w:t>
      </w:r>
      <w:r>
        <w:rPr>
          <w:rFonts w:ascii="Menlo" w:hAnsi="Menlo"/>
          <w:color w:val="173B52"/>
          <w:sz w:val="18"/>
        </w:rPr>
        <w:t>growthpilot-churn-inactivity</w:t>
      </w:r>
      <w:r>
        <w:rPr>
          <w:rFonts w:ascii="Times New Roman" w:hAnsi="Times New Roman"/>
          <w:color w:val="000000"/>
        </w:rPr>
        <w:t xml:space="preserve">, </w:t>
      </w:r>
      <w:r>
        <w:rPr>
          <w:rFonts w:ascii="Menlo" w:hAnsi="Menlo"/>
          <w:color w:val="173B52"/>
          <w:sz w:val="18"/>
        </w:rPr>
        <w:t>champion</w:t>
      </w:r>
      <w:r>
        <w:rPr>
          <w:rFonts w:ascii="Times New Roman" w:hAnsi="Times New Roman"/>
          <w:color w:val="000000"/>
        </w:rPr>
        <w:t xml:space="preserve"> takma adı, sürüm 1, çalıştırma kimliği </w:t>
      </w:r>
      <w:r>
        <w:rPr>
          <w:rFonts w:ascii="Menlo" w:hAnsi="Menlo"/>
          <w:color w:val="173B52"/>
          <w:sz w:val="18"/>
        </w:rPr>
        <w:t>6259c8ebe3744b5aac04c1b70cedbb26</w:t>
      </w:r>
      <w:r>
        <w:rPr>
          <w:rFonts w:ascii="Times New Roman" w:hAnsi="Times New Roman"/>
          <w:color w:val="000000"/>
        </w:rPr>
        <w:t xml:space="preserve">, model SHA-256 değeri ve </w:t>
      </w:r>
      <w:r>
        <w:rPr>
          <w:rFonts w:ascii="Menlo" w:hAnsi="Menlo"/>
          <w:color w:val="173B52"/>
          <w:sz w:val="18"/>
        </w:rPr>
        <w:t>demo_only_until_business_domain_validation</w:t>
      </w:r>
      <w:r>
        <w:rPr>
          <w:rFonts w:ascii="Times New Roman" w:hAnsi="Times New Roman"/>
          <w:color w:val="000000"/>
        </w:rPr>
        <w:t xml:space="preserve"> kapısını birlikte kaydeder. </w:t>
      </w:r>
      <w:r>
        <w:rPr>
          <w:rFonts w:ascii="Menlo" w:hAnsi="Menlo"/>
          <w:color w:val="173B52"/>
          <w:sz w:val="18"/>
        </w:rPr>
        <w:t>champion</w:t>
      </w:r>
      <w:r>
        <w:rPr>
          <w:rFonts w:ascii="Times New Roman" w:hAnsi="Times New Roman"/>
          <w:color w:val="000000"/>
        </w:rPr>
        <w:t>, yerel model kayıt soyudur; üretime dağıtım yapıldığı anlamına gelmez.</w:t>
      </w:r>
    </w:p>
    <w:p>
      <w:pPr>
        <w:pStyle w:val="Heading2"/>
      </w:pPr>
      <w:r>
        <w:t>2.3 Bütünlük ve güvenli yükleme</w:t>
      </w:r>
    </w:p>
    <w:p>
      <w:r>
        <w:rPr>
          <w:rFonts w:ascii="Menlo" w:hAnsi="Menlo"/>
          <w:color w:val="173B52"/>
          <w:sz w:val="18"/>
        </w:rPr>
        <w:t>joblib</w:t>
      </w:r>
      <w:r>
        <w:rPr>
          <w:rFonts w:ascii="Times New Roman" w:hAnsi="Times New Roman"/>
          <w:color w:val="000000"/>
        </w:rPr>
        <w:t xml:space="preserve">, pickle protokolüne dayandığı için güvenilmeyen bir dosyayı yüklemek keyfi kod çalıştırabilir. scikit-learn, pickle tabanlı modellerin yalnız güvenilir kaynaklardan yüklenmesini önerir [2]. GrowthPilot bu riski tamamen ortadan kaldırdığını iddia etmez. Uygulama, </w:t>
      </w:r>
      <w:r>
        <w:rPr>
          <w:rFonts w:ascii="Menlo" w:hAnsi="Menlo"/>
          <w:color w:val="173B52"/>
          <w:sz w:val="18"/>
        </w:rPr>
        <w:t>joblib.load</w:t>
      </w:r>
      <w:r>
        <w:rPr>
          <w:rFonts w:ascii="Times New Roman" w:hAnsi="Times New Roman"/>
          <w:color w:val="000000"/>
        </w:rPr>
        <w:t xml:space="preserve"> öncesinde model dosyasının SHA-256 değerini manifestteki değerle karşılaştırır.</w:t>
      </w:r>
    </w:p>
    <w:p>
      <w:pPr>
        <w:pStyle w:val="DeploymentCode"/>
        <w:keepLines/>
      </w:pPr>
      <w:r>
        <w:rPr>
          <w:rFonts w:ascii="Menlo" w:hAnsi="Menlo"/>
          <w:color w:val="173B52"/>
          <w:sz w:val="14"/>
        </w:rPr>
        <w:t>class LocalCandidatePredictor:</w:t>
        <w:br/>
        <w:t xml:space="preserve">    def __init__(self, model_path: Path, manifest_path: Path) -&gt; None:</w:t>
        <w:br/>
        <w:t xml:space="preserve">        self.manifest = json.loads(manifest_path.read_text())</w:t>
        <w:br/>
        <w:t xml:space="preserve">        actual = hashlib.sha256(model_path.read_bytes()).hexdigest()</w:t>
        <w:br/>
        <w:t xml:space="preserve">        if actual != self.manifest.get("artifact_sha256"):</w:t>
        <w:br/>
        <w:t xml:space="preserve">            raise RuntimeError("Frozen candidate checksum mismatch")</w:t>
        <w:br/>
        <w:t xml:space="preserve">        self._model = joblib.load(model_path)</w:t>
        <w:br/>
        <w:br/>
        <w:t xml:space="preserve">    def predict(self, features: pd.DataFrame) -&gt; float:</w:t>
        <w:br/>
        <w:t xml:space="preserve">        return float(self._model.predict_proba(features)[0, 1])</w:t>
      </w:r>
    </w:p>
    <w:p>
      <w:r>
        <w:rPr>
          <w:rFonts w:ascii="Times New Roman" w:hAnsi="Times New Roman"/>
          <w:color w:val="000000"/>
        </w:rPr>
        <w:t xml:space="preserve">Kod parçası </w:t>
      </w:r>
      <w:r>
        <w:rPr>
          <w:rFonts w:ascii="Menlo" w:hAnsi="Menlo"/>
          <w:color w:val="173B52"/>
          <w:sz w:val="18"/>
        </w:rPr>
        <w:t>backend/app/intelligence/service.py</w:t>
      </w:r>
      <w:r>
        <w:rPr>
          <w:rFonts w:ascii="Times New Roman" w:hAnsi="Times New Roman"/>
          <w:color w:val="000000"/>
        </w:rPr>
        <w:t xml:space="preserve"> içindeki gerçek uygulamadır. </w:t>
      </w:r>
      <w:r>
        <w:rPr>
          <w:rFonts w:ascii="Menlo" w:hAnsi="Menlo"/>
          <w:color w:val="173B52"/>
          <w:sz w:val="18"/>
        </w:rPr>
        <w:t>test_candidate_loader_rejects_checksum_mismatch</w:t>
      </w:r>
      <w:r>
        <w:rPr>
          <w:rFonts w:ascii="Times New Roman" w:hAnsi="Times New Roman"/>
          <w:color w:val="000000"/>
        </w:rPr>
        <w:t xml:space="preserve">, yanlış SHA-256 değeri taşıyan dosyanın nesneye dönüştürülmeden reddedildiğini sınar. </w:t>
      </w:r>
      <w:r>
        <w:rPr>
          <w:rFonts w:ascii="Menlo" w:hAnsi="Menlo"/>
          <w:color w:val="173B52"/>
          <w:sz w:val="18"/>
        </w:rPr>
        <w:t>scripts/evaluate_final.py</w:t>
      </w:r>
      <w:r>
        <w:rPr>
          <w:rFonts w:ascii="Times New Roman" w:hAnsi="Times New Roman"/>
          <w:color w:val="000000"/>
        </w:rPr>
        <w:t xml:space="preserve">, </w:t>
      </w:r>
      <w:r>
        <w:rPr>
          <w:rFonts w:ascii="Menlo" w:hAnsi="Menlo"/>
          <w:color w:val="173B52"/>
          <w:sz w:val="18"/>
        </w:rPr>
        <w:t>scripts/explain_model.py</w:t>
      </w:r>
      <w:r>
        <w:rPr>
          <w:rFonts w:ascii="Times New Roman" w:hAnsi="Times New Roman"/>
          <w:color w:val="000000"/>
        </w:rPr>
        <w:t xml:space="preserve"> ve </w:t>
      </w:r>
      <w:r>
        <w:rPr>
          <w:rFonts w:ascii="Menlo" w:hAnsi="Menlo"/>
          <w:color w:val="173B52"/>
          <w:sz w:val="18"/>
        </w:rPr>
        <w:t>scripts/register_model.py</w:t>
      </w:r>
      <w:r>
        <w:rPr>
          <w:rFonts w:ascii="Times New Roman" w:hAnsi="Times New Roman"/>
          <w:color w:val="000000"/>
        </w:rPr>
        <w:t xml:space="preserve"> de işlemlerinden önce aynı değeri doğrular.</w:t>
      </w:r>
    </w:p>
    <w:p>
      <w:pPr>
        <w:pStyle w:val="Heading2"/>
      </w:pPr>
      <w:r>
        <w:t>2.4 Container modelini sağlama sözleşmesi</w:t>
      </w:r>
    </w:p>
    <w:p>
      <w:r>
        <w:rPr>
          <w:rFonts w:ascii="Times New Roman" w:hAnsi="Times New Roman"/>
          <w:color w:val="000000"/>
        </w:rPr>
        <w:t xml:space="preserve">Denetim başlangıcında </w:t>
      </w:r>
      <w:r>
        <w:rPr>
          <w:rFonts w:ascii="Menlo" w:hAnsi="Menlo"/>
          <w:color w:val="173B52"/>
          <w:sz w:val="18"/>
        </w:rPr>
        <w:t>Settings.model_path</w:t>
      </w:r>
      <w:r>
        <w:rPr>
          <w:rFonts w:ascii="Times New Roman" w:hAnsi="Times New Roman"/>
          <w:color w:val="000000"/>
        </w:rPr>
        <w:t xml:space="preserve"> varsayılanı </w:t>
      </w:r>
      <w:r>
        <w:rPr>
          <w:rFonts w:ascii="Menlo" w:hAnsi="Menlo"/>
          <w:color w:val="173B52"/>
          <w:sz w:val="18"/>
        </w:rPr>
        <w:t>.local/models/final_candidate.joblib</w:t>
      </w:r>
      <w:r>
        <w:rPr>
          <w:rFonts w:ascii="Times New Roman" w:hAnsi="Times New Roman"/>
          <w:color w:val="000000"/>
        </w:rPr>
        <w:t xml:space="preserve"> iken arka uç Dockerfile'ı yalnız manifesti container'a kopyalıyordu. </w:t>
      </w:r>
      <w:r>
        <w:rPr>
          <w:rFonts w:ascii="Menlo" w:hAnsi="Menlo"/>
          <w:color w:val="173B52"/>
          <w:sz w:val="18"/>
        </w:rPr>
        <w:t>.dockerignore</w:t>
      </w:r>
      <w:r>
        <w:rPr>
          <w:rFonts w:ascii="Times New Roman" w:hAnsi="Times New Roman"/>
          <w:color w:val="000000"/>
        </w:rPr>
        <w:t xml:space="preserve"> ise </w:t>
      </w:r>
      <w:r>
        <w:rPr>
          <w:rFonts w:ascii="Menlo" w:hAnsi="Menlo"/>
          <w:color w:val="173B52"/>
          <w:sz w:val="18"/>
        </w:rPr>
        <w:t>.local</w:t>
      </w:r>
      <w:r>
        <w:rPr>
          <w:rFonts w:ascii="Times New Roman" w:hAnsi="Times New Roman"/>
          <w:color w:val="000000"/>
        </w:rPr>
        <w:t xml:space="preserve"> dizinini dışlıyordu. Dolayısıyla Dockerfile tek başına çalışan bir çıkarım container'ı üretemiyordu.</w:t>
      </w:r>
    </w:p>
    <w:p>
      <w:r>
        <w:rPr>
          <w:rFonts w:ascii="Times New Roman" w:hAnsi="Times New Roman"/>
          <w:color w:val="000000"/>
        </w:rPr>
        <w:t xml:space="preserve">Arka uç container oluşturma sözleşmesi, onaylı model dosyasının oluşturma sırasında BuildKit secret olarak </w:t>
      </w:r>
      <w:r>
        <w:rPr>
          <w:rFonts w:ascii="Menlo" w:hAnsi="Menlo"/>
          <w:color w:val="173B52"/>
          <w:sz w:val="18"/>
        </w:rPr>
        <w:t>growthpilot_model</w:t>
      </w:r>
      <w:r>
        <w:rPr>
          <w:rFonts w:ascii="Times New Roman" w:hAnsi="Times New Roman"/>
          <w:color w:val="000000"/>
        </w:rPr>
        <w:t xml:space="preserve"> kimliğiyle sağlanmasını gerektirir. </w:t>
      </w:r>
      <w:r>
        <w:rPr>
          <w:rFonts w:ascii="Menlo" w:hAnsi="Menlo"/>
          <w:color w:val="173B52"/>
          <w:sz w:val="18"/>
        </w:rPr>
        <w:t>backend/app/platform/model_artifact.py</w:t>
      </w:r>
      <w:r>
        <w:rPr>
          <w:rFonts w:ascii="Times New Roman" w:hAnsi="Times New Roman"/>
          <w:color w:val="000000"/>
        </w:rPr>
        <w:t xml:space="preserve">, dosyayı nesneye dönüştürmeden SHA-256 değerini doğrular. Eksik veya uyumsuz dosya container oluşturmayı durdurur. Doğrulanan dosya salt okunur olarak </w:t>
      </w:r>
      <w:r>
        <w:rPr>
          <w:rFonts w:ascii="Menlo" w:hAnsi="Menlo"/>
          <w:color w:val="173B52"/>
          <w:sz w:val="18"/>
        </w:rPr>
        <w:t>/app/models/final_candidate.joblib</w:t>
      </w:r>
      <w:r>
        <w:rPr>
          <w:rFonts w:ascii="Times New Roman" w:hAnsi="Times New Roman"/>
          <w:color w:val="000000"/>
        </w:rPr>
        <w:t xml:space="preserve"> yoluna kurulur. Dockerfile'daki </w:t>
      </w:r>
      <w:r>
        <w:rPr>
          <w:rFonts w:ascii="Menlo" w:hAnsi="Menlo"/>
          <w:color w:val="173B52"/>
          <w:sz w:val="18"/>
        </w:rPr>
        <w:t>GP_MODEL_PATH</w:t>
      </w:r>
      <w:r>
        <w:rPr>
          <w:rFonts w:ascii="Times New Roman" w:hAnsi="Times New Roman"/>
          <w:color w:val="000000"/>
        </w:rPr>
        <w:t xml:space="preserve"> bu yolu, </w:t>
      </w:r>
      <w:r>
        <w:rPr>
          <w:rFonts w:ascii="Menlo" w:hAnsi="Menlo"/>
          <w:color w:val="173B52"/>
          <w:sz w:val="18"/>
        </w:rPr>
        <w:t>GP_MODEL_MANIFEST_PATH</w:t>
      </w:r>
      <w:r>
        <w:rPr>
          <w:rFonts w:ascii="Times New Roman" w:hAnsi="Times New Roman"/>
          <w:color w:val="000000"/>
        </w:rPr>
        <w:t xml:space="preserve"> ise </w:t>
      </w:r>
      <w:r>
        <w:rPr>
          <w:rFonts w:ascii="Menlo" w:hAnsi="Menlo"/>
          <w:color w:val="173B52"/>
          <w:sz w:val="18"/>
        </w:rPr>
        <w:t>/app/artifacts/ml/final_candidate.json</w:t>
      </w:r>
      <w:r>
        <w:rPr>
          <w:rFonts w:ascii="Times New Roman" w:hAnsi="Times New Roman"/>
          <w:color w:val="000000"/>
        </w:rPr>
        <w:t xml:space="preserve"> yolunu gösterir; bunlar </w:t>
      </w:r>
      <w:r>
        <w:rPr>
          <w:rFonts w:ascii="Menlo" w:hAnsi="Menlo"/>
          <w:color w:val="173B52"/>
          <w:sz w:val="18"/>
        </w:rPr>
        <w:t>Settings</w:t>
      </w:r>
      <w:r>
        <w:rPr>
          <w:rFonts w:ascii="Times New Roman" w:hAnsi="Times New Roman"/>
          <w:color w:val="000000"/>
        </w:rPr>
        <w:t xml:space="preserve"> alan adlarıyla eşleşir. Uygulama yükleme sırasında SHA-256 kontrolünü tekrarlar ve uyumsuzlukta başlatmayı reddeder. Bu davranış kod ve test düzeyinde bir sözleşmedir; bu ortamda gerçek container oluşturulmamıştır. Özel model deposu, imzalı terfi süreci, sürüm yayınlama işlem hattı ve container kayıt deposu henüz uygulanmamıştır.</w:t>
      </w:r>
    </w:p>
    <w:p>
      <w:pPr>
        <w:pStyle w:val="Heading1"/>
      </w:pPr>
      <w:r>
        <w:t>3 Model Sunumu</w:t>
      </w:r>
    </w:p>
    <w:p>
      <w:pPr>
        <w:pStyle w:val="Heading2"/>
      </w:pPr>
      <w:r>
        <w:t>3.1 İstek üzerine çıkarım akışı</w:t>
      </w:r>
    </w:p>
    <w:p>
      <w:r>
        <w:rPr>
          <w:rFonts w:ascii="Times New Roman" w:hAnsi="Times New Roman"/>
          <w:color w:val="000000"/>
        </w:rPr>
        <w:t xml:space="preserve">FastAPI isteği önce bearer token doğrulamasından geçer. OIDC modunda RS256 imzası, issuer, audience, </w:t>
      </w:r>
      <w:r>
        <w:rPr>
          <w:rFonts w:ascii="Menlo" w:hAnsi="Menlo"/>
          <w:color w:val="173B52"/>
          <w:sz w:val="18"/>
        </w:rPr>
        <w:t>exp</w:t>
      </w:r>
      <w:r>
        <w:rPr>
          <w:rFonts w:ascii="Times New Roman" w:hAnsi="Times New Roman"/>
          <w:color w:val="000000"/>
        </w:rPr>
        <w:t xml:space="preserve">, </w:t>
      </w:r>
      <w:r>
        <w:rPr>
          <w:rFonts w:ascii="Menlo" w:hAnsi="Menlo"/>
          <w:color w:val="173B52"/>
          <w:sz w:val="18"/>
        </w:rPr>
        <w:t>iat</w:t>
      </w:r>
      <w:r>
        <w:rPr>
          <w:rFonts w:ascii="Times New Roman" w:hAnsi="Times New Roman"/>
          <w:color w:val="000000"/>
        </w:rPr>
        <w:t xml:space="preserve">, </w:t>
      </w:r>
      <w:r>
        <w:rPr>
          <w:rFonts w:ascii="Menlo" w:hAnsi="Menlo"/>
          <w:color w:val="173B52"/>
          <w:sz w:val="18"/>
        </w:rPr>
        <w:t>sub</w:t>
      </w:r>
      <w:r>
        <w:rPr>
          <w:rFonts w:ascii="Times New Roman" w:hAnsi="Times New Roman"/>
          <w:color w:val="000000"/>
        </w:rPr>
        <w:t xml:space="preserve"> ve </w:t>
      </w:r>
      <w:r>
        <w:rPr>
          <w:rFonts w:ascii="Menlo" w:hAnsi="Menlo"/>
          <w:color w:val="173B52"/>
          <w:sz w:val="18"/>
        </w:rPr>
        <w:t>iss</w:t>
      </w:r>
      <w:r>
        <w:rPr>
          <w:rFonts w:ascii="Times New Roman" w:hAnsi="Times New Roman"/>
          <w:color w:val="000000"/>
        </w:rPr>
        <w:t xml:space="preserve"> alanları ile JWKS'den seçilen anahtar doğrulanır. Ardından token'daki issuer ve subject, </w:t>
      </w:r>
      <w:r>
        <w:rPr>
          <w:rFonts w:ascii="Menlo" w:hAnsi="Menlo"/>
          <w:color w:val="173B52"/>
          <w:sz w:val="18"/>
        </w:rPr>
        <w:t>resolve_actor</w:t>
      </w:r>
      <w:r>
        <w:rPr>
          <w:rFonts w:ascii="Times New Roman" w:hAnsi="Times New Roman"/>
          <w:color w:val="000000"/>
        </w:rPr>
        <w:t xml:space="preserve"> ile iç aktör kimliğine çevrilir. </w:t>
      </w:r>
      <w:r>
        <w:rPr>
          <w:rFonts w:ascii="Menlo" w:hAnsi="Menlo"/>
          <w:color w:val="173B52"/>
          <w:sz w:val="18"/>
        </w:rPr>
        <w:t>X-Organization-ID</w:t>
      </w:r>
      <w:r>
        <w:rPr>
          <w:rFonts w:ascii="Times New Roman" w:hAnsi="Times New Roman"/>
          <w:color w:val="000000"/>
        </w:rPr>
        <w:t xml:space="preserve"> yalnız hedef organizasyonu seçer; aktörü belirlemez. Etkin üyelik bulunmadan organizasyon bağlamı kurulmaz. Aktör ve organizasyon kimlikleri işlem kapsamında PostgreSQL'e yazılır, sonra </w:t>
      </w:r>
      <w:r>
        <w:rPr>
          <w:rFonts w:ascii="Menlo" w:hAnsi="Menlo"/>
          <w:color w:val="173B52"/>
          <w:sz w:val="18"/>
        </w:rPr>
        <w:t>Permission.SCORE</w:t>
      </w:r>
      <w:r>
        <w:rPr>
          <w:rFonts w:ascii="Times New Roman" w:hAnsi="Times New Roman"/>
          <w:color w:val="000000"/>
        </w:rPr>
        <w:t xml:space="preserve"> denetlenir. Bu akıştan sonra müşteri organizasyon kapsamında okunur, demo kapısı denetlenir, zamana duyarlı özellikler üretilir ve SHA-256 değeri doğrulanmış model olasılık verir.</w:t>
      </w:r>
    </w:p>
    <w:p>
      <w:pPr>
        <w:spacing w:before="100" w:after="60"/>
        <w:jc w:val="center"/>
      </w:pPr>
      <w:r>
        <w:drawing>
          <wp:inline xmlns:a="http://schemas.openxmlformats.org/drawingml/2006/main" xmlns:pic="http://schemas.openxmlformats.org/drawingml/2006/picture">
            <wp:extent cx="5623560" cy="2882665"/>
            <wp:docPr id="1" name="Picture 1" title="Şekil 1 Model sunum mimarisi" descr="Şekil 1 Model sunum mimarisi"/>
            <wp:cNvGraphicFramePr>
              <a:graphicFrameLocks noChangeAspect="1"/>
            </wp:cNvGraphicFramePr>
            <a:graphic>
              <a:graphicData uri="http://schemas.openxmlformats.org/drawingml/2006/picture">
                <pic:pic>
                  <pic:nvPicPr>
                    <pic:cNvPr id="0" name="deployment_serving_architecture.png"/>
                    <pic:cNvPicPr/>
                  </pic:nvPicPr>
                  <pic:blipFill>
                    <a:blip r:embed="rId8"/>
                    <a:stretch>
                      <a:fillRect/>
                    </a:stretch>
                  </pic:blipFill>
                  <pic:spPr>
                    <a:xfrm>
                      <a:off x="0" y="0"/>
                      <a:ext cx="5623560" cy="2882665"/>
                    </a:xfrm>
                    <a:prstGeom prst="rect"/>
                  </pic:spPr>
                </pic:pic>
              </a:graphicData>
            </a:graphic>
          </wp:inline>
        </w:drawing>
      </w:r>
    </w:p>
    <w:p>
      <w:pPr>
        <w:spacing w:after="140"/>
        <w:jc w:val="center"/>
      </w:pPr>
      <w:r>
        <w:rPr>
          <w:rFonts w:ascii="Times New Roman" w:hAnsi="Times New Roman"/>
          <w:i/>
          <w:color w:val="5B6870"/>
          <w:sz w:val="17"/>
        </w:rPr>
        <w:t>Şekil 1. İstek üzerine puanlama, güvenlik sınırı, model eseri ve kalıcı tahmin kaydı.</w:t>
      </w:r>
    </w:p>
    <w:p>
      <w:r>
        <w:rPr>
          <w:rFonts w:ascii="Times New Roman" w:hAnsi="Times New Roman"/>
          <w:color w:val="000000"/>
        </w:rPr>
        <w:t xml:space="preserve">Karar katmanı olasılığı dondurulmuş eşikle karşılaştırır ve o anda geçerli e-posta, SMS ve reklam rızalarını okur. Eşik altındaki müşteri </w:t>
      </w:r>
      <w:r>
        <w:rPr>
          <w:rFonts w:ascii="Menlo" w:hAnsi="Menlo"/>
          <w:color w:val="173B52"/>
          <w:sz w:val="18"/>
        </w:rPr>
        <w:t>monitor</w:t>
      </w:r>
      <w:r>
        <w:rPr>
          <w:rFonts w:ascii="Times New Roman" w:hAnsi="Times New Roman"/>
          <w:color w:val="000000"/>
        </w:rPr>
        <w:t xml:space="preserve">, eşik üstü ve izinli kanal bulunan müşteri </w:t>
      </w:r>
      <w:r>
        <w:rPr>
          <w:rFonts w:ascii="Menlo" w:hAnsi="Menlo"/>
          <w:color w:val="173B52"/>
          <w:sz w:val="18"/>
        </w:rPr>
        <w:t>review_retention</w:t>
      </w:r>
      <w:r>
        <w:rPr>
          <w:rFonts w:ascii="Times New Roman" w:hAnsi="Times New Roman"/>
          <w:color w:val="000000"/>
        </w:rPr>
        <w:t xml:space="preserve">, izinli kanal bulunmayan müşteri </w:t>
      </w:r>
      <w:r>
        <w:rPr>
          <w:rFonts w:ascii="Menlo" w:hAnsi="Menlo"/>
          <w:color w:val="173B52"/>
          <w:sz w:val="18"/>
        </w:rPr>
        <w:t>no_contact_review</w:t>
      </w:r>
      <w:r>
        <w:rPr>
          <w:rFonts w:ascii="Times New Roman" w:hAnsi="Times New Roman"/>
          <w:color w:val="000000"/>
        </w:rPr>
        <w:t xml:space="preserve"> durumuna geçer. Sonuç; olasılık, eşik, karar durumu, izinli kanallar, neden kodları, doğrudan isim, e-posta veya telefon gibi kimlik bilgileri içermeyen türetilmiş özellik anlık görüntüsü ve model soyu ile </w:t>
      </w:r>
      <w:r>
        <w:rPr>
          <w:rFonts w:ascii="Menlo" w:hAnsi="Menlo"/>
          <w:color w:val="173B52"/>
          <w:sz w:val="18"/>
        </w:rPr>
        <w:t>customer_predictions</w:t>
      </w:r>
      <w:r>
        <w:rPr>
          <w:rFonts w:ascii="Times New Roman" w:hAnsi="Times New Roman"/>
          <w:color w:val="000000"/>
        </w:rPr>
        <w:t xml:space="preserve"> tablosuna yazılır. Aynı veritabanı işlemi içinde denetim ve outbox kayıtları da oluşturulur.</w:t>
      </w:r>
    </w:p>
    <w:p>
      <w:r>
        <w:rPr>
          <w:rFonts w:ascii="Times New Roman" w:hAnsi="Times New Roman"/>
          <w:color w:val="000000"/>
        </w:rPr>
        <w:t xml:space="preserve">Bu akış bir pazarlama mesajı göndermez. </w:t>
      </w:r>
      <w:r>
        <w:rPr>
          <w:rFonts w:ascii="Menlo" w:hAnsi="Menlo"/>
          <w:color w:val="173B52"/>
          <w:sz w:val="18"/>
        </w:rPr>
        <w:t>human_approval_required</w:t>
      </w:r>
      <w:r>
        <w:rPr>
          <w:rFonts w:ascii="Times New Roman" w:hAnsi="Times New Roman"/>
          <w:color w:val="000000"/>
        </w:rPr>
        <w:t xml:space="preserve"> alanı inceleme ihtiyacını belirtir; </w:t>
      </w:r>
      <w:r>
        <w:rPr>
          <w:rFonts w:ascii="Menlo" w:hAnsi="Menlo"/>
          <w:color w:val="173B52"/>
          <w:sz w:val="18"/>
        </w:rPr>
        <w:t>action_authorized</w:t>
      </w:r>
      <w:r>
        <w:rPr>
          <w:rFonts w:ascii="Times New Roman" w:hAnsi="Times New Roman"/>
          <w:color w:val="000000"/>
        </w:rPr>
        <w:t xml:space="preserve"> her koşulda </w:t>
      </w:r>
      <w:r>
        <w:rPr>
          <w:rFonts w:ascii="Menlo" w:hAnsi="Menlo"/>
          <w:color w:val="173B52"/>
          <w:sz w:val="18"/>
        </w:rPr>
        <w:t>false</w:t>
      </w:r>
      <w:r>
        <w:rPr>
          <w:rFonts w:ascii="Times New Roman" w:hAnsi="Times New Roman"/>
          <w:color w:val="000000"/>
        </w:rPr>
        <w:t xml:space="preserve"> kalır. Skor, müşteriye temas için hukuki dayanak veya kampanya bütçesi yetkisi değildir.</w:t>
      </w:r>
    </w:p>
    <w:p>
      <w:pPr>
        <w:pStyle w:val="Heading2"/>
      </w:pPr>
      <w:r>
        <w:t>3.2 Toplu puanlama ve kalıcı iş durumu</w:t>
      </w:r>
    </w:p>
    <w:p>
      <w:r>
        <w:rPr>
          <w:rFonts w:ascii="Times New Roman" w:hAnsi="Times New Roman"/>
          <w:color w:val="000000"/>
        </w:rPr>
        <w:t xml:space="preserve">Toplu istek önce </w:t>
      </w:r>
      <w:r>
        <w:rPr>
          <w:rFonts w:ascii="Menlo" w:hAnsi="Menlo"/>
          <w:color w:val="173B52"/>
          <w:sz w:val="18"/>
        </w:rPr>
        <w:t>ScoringJob</w:t>
      </w:r>
      <w:r>
        <w:rPr>
          <w:rFonts w:ascii="Times New Roman" w:hAnsi="Times New Roman"/>
          <w:color w:val="000000"/>
        </w:rPr>
        <w:t xml:space="preserve"> satırını ve </w:t>
      </w:r>
      <w:r>
        <w:rPr>
          <w:rFonts w:ascii="Menlo" w:hAnsi="Menlo"/>
          <w:color w:val="173B52"/>
          <w:sz w:val="18"/>
        </w:rPr>
        <w:t>intelligence.batch_score_requested</w:t>
      </w:r>
      <w:r>
        <w:rPr>
          <w:rFonts w:ascii="Times New Roman" w:hAnsi="Times New Roman"/>
          <w:color w:val="000000"/>
        </w:rPr>
        <w:t xml:space="preserve"> outbox olayını aynı veritabanı işlemi içinde oluşturur; istemciye 202 döner. Güvenilen dağıtıcı, organizasyon kimliğini yapılandırmadan alır ve Redis'e yalnız organizasyon ile olay UUID'lerini koyar. Dramatiq arka plan çalışanı olayı aldığında saklanan aktörün üyeliğini ve </w:t>
      </w:r>
      <w:r>
        <w:rPr>
          <w:rFonts w:ascii="Menlo" w:hAnsi="Menlo"/>
          <w:color w:val="173B52"/>
          <w:sz w:val="18"/>
        </w:rPr>
        <w:t>Permission.SCORE</w:t>
      </w:r>
      <w:r>
        <w:rPr>
          <w:rFonts w:ascii="Times New Roman" w:hAnsi="Times New Roman"/>
          <w:color w:val="000000"/>
        </w:rPr>
        <w:t xml:space="preserve"> yetkisini yeniden denetler. Yetki geri alınmışsa iş </w:t>
      </w:r>
      <w:r>
        <w:rPr>
          <w:rFonts w:ascii="Menlo" w:hAnsi="Menlo"/>
          <w:color w:val="173B52"/>
          <w:sz w:val="18"/>
        </w:rPr>
        <w:t>failed</w:t>
      </w:r>
      <w:r>
        <w:rPr>
          <w:rFonts w:ascii="Times New Roman" w:hAnsi="Times New Roman"/>
          <w:color w:val="000000"/>
        </w:rPr>
        <w:t xml:space="preserve"> olur; geçerliyse aktif müşteriler tek tek puanlanır. Sonuçta toplam, başarılı, uygunluk nedeniyle atlanan ve hata alan müşteri sayıları ile </w:t>
      </w:r>
      <w:r>
        <w:rPr>
          <w:rFonts w:ascii="Menlo" w:hAnsi="Menlo"/>
          <w:color w:val="173B52"/>
          <w:sz w:val="18"/>
        </w:rPr>
        <w:t>succeeded</w:t>
      </w:r>
      <w:r>
        <w:rPr>
          <w:rFonts w:ascii="Times New Roman" w:hAnsi="Times New Roman"/>
          <w:color w:val="000000"/>
        </w:rPr>
        <w:t xml:space="preserve"> veya </w:t>
      </w:r>
      <w:r>
        <w:rPr>
          <w:rFonts w:ascii="Menlo" w:hAnsi="Menlo"/>
          <w:color w:val="173B52"/>
          <w:sz w:val="18"/>
        </w:rPr>
        <w:t>partial</w:t>
      </w:r>
      <w:r>
        <w:rPr>
          <w:rFonts w:ascii="Times New Roman" w:hAnsi="Times New Roman"/>
          <w:color w:val="000000"/>
        </w:rPr>
        <w:t xml:space="preserve"> durumu saklanır.</w:t>
      </w:r>
    </w:p>
    <w:p>
      <w:r>
        <w:rPr>
          <w:rFonts w:ascii="Times New Roman" w:hAnsi="Times New Roman"/>
          <w:color w:val="000000"/>
        </w:rPr>
        <w:t xml:space="preserve">PostgreSQL iş ve outbox durumunun kalıcı kaynağıdır. Redis kaybı iş satırını silmez; dağıtıcı, sınırlı yeniden deneme ve kiralama alanlarıyla olayı yeniden gönderebilir. Dramatiq'in kendi yeniden denemesi, iki rakip döngü oluşmaması için kapalıdır. Denetimde Terraform komutunun aktör içermeyen </w:t>
      </w:r>
      <w:r>
        <w:rPr>
          <w:rFonts w:ascii="Menlo" w:hAnsi="Menlo"/>
          <w:color w:val="173B52"/>
          <w:sz w:val="18"/>
        </w:rPr>
        <w:t>app.platform.jobs</w:t>
      </w:r>
      <w:r>
        <w:rPr>
          <w:rFonts w:ascii="Times New Roman" w:hAnsi="Times New Roman"/>
          <w:color w:val="000000"/>
        </w:rPr>
        <w:t xml:space="preserve"> modülünü hedeflediği görüldü. Komut, broker ve Dramatiq aktörünün bulunduğu </w:t>
      </w:r>
      <w:r>
        <w:rPr>
          <w:rFonts w:ascii="Menlo" w:hAnsi="Menlo"/>
          <w:color w:val="173B52"/>
          <w:sz w:val="18"/>
        </w:rPr>
        <w:t>app.platform.worker</w:t>
      </w:r>
      <w:r>
        <w:rPr>
          <w:rFonts w:ascii="Times New Roman" w:hAnsi="Times New Roman"/>
          <w:color w:val="000000"/>
        </w:rPr>
        <w:t xml:space="preserve"> olarak düzeltildi. Statik test hem bu eşleşmeyi hem eski komutun bulunmadığını denetler.</w:t>
      </w:r>
    </w:p>
    <w:p>
      <w:pPr>
        <w:pStyle w:val="Heading2"/>
      </w:pPr>
      <w:r>
        <w:t>3.3 Yerel çalışma, container ve AWS referansı</w:t>
      </w:r>
    </w:p>
    <w:p>
      <w:r>
        <w:rPr>
          <w:rFonts w:ascii="Times New Roman" w:hAnsi="Times New Roman"/>
          <w:color w:val="000000"/>
        </w:rPr>
        <w:t xml:space="preserve">Yerel geliştirme bileşenleri Python 3.12/FastAPI API, PostgreSQL, Redis/Dramatiq, Next.js arayüzü, yerel model dosyası ve SQLite tabanlı MLflow kaydıdır. Arka uç container'ı iki aşamalıdır: kilitli </w:t>
      </w:r>
      <w:r>
        <w:rPr>
          <w:rFonts w:ascii="Menlo" w:hAnsi="Menlo"/>
          <w:color w:val="173B52"/>
          <w:sz w:val="18"/>
        </w:rPr>
        <w:t>uv</w:t>
      </w:r>
      <w:r>
        <w:rPr>
          <w:rFonts w:ascii="Times New Roman" w:hAnsi="Times New Roman"/>
          <w:color w:val="000000"/>
        </w:rPr>
        <w:t xml:space="preserve"> bağımlılıklarını oluşturma aşamasında kurar, Python 3.12 slim çalışma ortamına taşır ve Uvicorn'u root yetkisi olmayan </w:t>
      </w:r>
      <w:r>
        <w:rPr>
          <w:rFonts w:ascii="Menlo" w:hAnsi="Menlo"/>
          <w:color w:val="173B52"/>
          <w:sz w:val="18"/>
        </w:rPr>
        <w:t>growthpilot</w:t>
      </w:r>
      <w:r>
        <w:rPr>
          <w:rFonts w:ascii="Times New Roman" w:hAnsi="Times New Roman"/>
          <w:color w:val="000000"/>
        </w:rPr>
        <w:t xml:space="preserve"> kullanıcısıyla 8000 portunda çalıştırır. Docker motoru bulunmadığı için container oluşturma, tarama veya imzalama sonucu yoktur.</w:t>
      </w:r>
    </w:p>
    <w:p>
      <w:r>
        <w:rPr>
          <w:rFonts w:ascii="Times New Roman" w:hAnsi="Times New Roman"/>
          <w:color w:val="000000"/>
        </w:rPr>
        <w:t xml:space="preserve">Terraform; iki kullanılabilirlik bölgesine yayılan ağı, açık ve özel alt ağları, NAT gateway'i, güvenlik gruplarını, HTTPS dinleyicili Application Load Balancer'ı, özel ECS/Fargate API, web ve arka plan çalışanı servislerini, şifreli RDS PostgreSQL'i, aktarımda ve depolamada şifreli ElastiCache Redis'i, SSE-KMS korumalı S3 alanını ve CloudWatch günlük grubunu tanımlar. Gizli değerler HCL kaynak koduna sabit yazılmaz. </w:t>
      </w:r>
      <w:r>
        <w:rPr>
          <w:rFonts w:ascii="Menlo" w:hAnsi="Menlo"/>
          <w:color w:val="173B52"/>
          <w:sz w:val="18"/>
        </w:rPr>
        <w:t>database_password</w:t>
      </w:r>
      <w:r>
        <w:rPr>
          <w:rFonts w:ascii="Times New Roman" w:hAnsi="Times New Roman"/>
          <w:color w:val="000000"/>
        </w:rPr>
        <w:t xml:space="preserve"> ve </w:t>
      </w:r>
      <w:r>
        <w:rPr>
          <w:rFonts w:ascii="Menlo" w:hAnsi="Menlo"/>
          <w:color w:val="173B52"/>
          <w:sz w:val="18"/>
        </w:rPr>
        <w:t>redis_auth_token</w:t>
      </w:r>
      <w:r>
        <w:rPr>
          <w:rFonts w:ascii="Times New Roman" w:hAnsi="Times New Roman"/>
          <w:color w:val="000000"/>
        </w:rPr>
        <w:t xml:space="preserve"> hassas Terraform girdileridir ve güvenli CI secret kaynaklarından sağlanmalıdır. Hassas değerler Terraform durum dosyasında bulunabilir. Bu nedenle canlı kullanımda uzaktan ve şifreli state, sıkı state erişim kontrolü ve secret rotation ayrıca yapılandırılmalıdır. Depoda uzaktan Terraform backend yapılandırması yoktur.</w:t>
      </w:r>
    </w:p>
    <w:p>
      <w:r>
        <w:rPr>
          <w:rFonts w:ascii="Times New Roman" w:hAnsi="Times New Roman"/>
          <w:color w:val="000000"/>
        </w:rPr>
        <w:t>Platform seçimi iki ayrı ihtiyeti karşılar. Yerel PostgreSQL, Redis ve model dosyası geliştirme ile tekrar üretilebilir testler için ücretli bulut bağımlılığı oluşturmadan çalışır. AWS referansı ise container iş yükü, yönetilen veri servisleri, özel ağ ve şifreleme ihtiyaçlarını kodla ifade eder. Repository’de on-premises production topolojisi veya sağlayıcılar arası maliyet ve gecikme karşılaştırması yoktur; bu nedenle AWS tasarımı ölçülmüş üstünlük sonucu değil, kabul edilmiş operasyon ADR’sinin denetlenebilir referansıdır.</w:t>
      </w:r>
    </w:p>
    <w:p>
      <w:r>
        <w:rPr>
          <w:rFonts w:ascii="Times New Roman" w:hAnsi="Times New Roman"/>
          <w:color w:val="000000"/>
        </w:rPr>
        <w:t xml:space="preserve">Bu liste çalışır durumdaki AWS ortamını anlatmaz. </w:t>
      </w:r>
      <w:r>
        <w:rPr>
          <w:rFonts w:ascii="Menlo" w:hAnsi="Menlo"/>
          <w:color w:val="173B52"/>
          <w:sz w:val="18"/>
        </w:rPr>
        <w:t>terraform fmt -check</w:t>
      </w:r>
      <w:r>
        <w:rPr>
          <w:rFonts w:ascii="Times New Roman" w:hAnsi="Times New Roman"/>
          <w:color w:val="000000"/>
        </w:rPr>
        <w:t xml:space="preserve"> ve </w:t>
      </w:r>
      <w:r>
        <w:rPr>
          <w:rFonts w:ascii="Menlo" w:hAnsi="Menlo"/>
          <w:color w:val="173B52"/>
          <w:sz w:val="18"/>
        </w:rPr>
        <w:t>terraform validate</w:t>
      </w:r>
      <w:r>
        <w:rPr>
          <w:rFonts w:ascii="Times New Roman" w:hAnsi="Times New Roman"/>
          <w:color w:val="000000"/>
        </w:rPr>
        <w:t xml:space="preserve">, HCL sözdizimi ile sağlayıcı şemasına karşı statik doğrulamadır; hesapta kaynak oluşturmaz, ağ yolunu çalıştırmaz ve gizli değerlerin doğruluğunu kanıtlamaz. Depoda </w:t>
      </w:r>
      <w:r>
        <w:rPr>
          <w:rFonts w:ascii="Menlo" w:hAnsi="Menlo"/>
          <w:color w:val="173B52"/>
          <w:sz w:val="18"/>
        </w:rPr>
        <w:t>terraform apply</w:t>
      </w:r>
      <w:r>
        <w:rPr>
          <w:rFonts w:ascii="Times New Roman" w:hAnsi="Times New Roman"/>
          <w:color w:val="000000"/>
        </w:rPr>
        <w:t xml:space="preserve">, container yayını, DNS/TLS alan adı kurulumu veya ücretli servis oluşturma kanıtı yoktur. ALB tarafında HTTPS tasarlanmış olsa da RDS istemci bağlantısında TLS'i zorlayan parameter group veya doğrulanmış </w:t>
      </w:r>
      <w:r>
        <w:rPr>
          <w:rFonts w:ascii="Menlo" w:hAnsi="Menlo"/>
          <w:color w:val="173B52"/>
          <w:sz w:val="18"/>
        </w:rPr>
        <w:t>sslmode</w:t>
      </w:r>
      <w:r>
        <w:rPr>
          <w:rFonts w:ascii="Times New Roman" w:hAnsi="Times New Roman"/>
          <w:color w:val="000000"/>
        </w:rPr>
        <w:t xml:space="preserve"> ayarı yoktur; bu, canlıya geçiş öncesi güvenlik kapısıdır.</w:t>
      </w:r>
    </w:p>
    <w:p>
      <w:pPr>
        <w:pStyle w:val="Heading2"/>
      </w:pPr>
      <w:r>
        <w:t>3.4 Mimari kazanımlar ve bedeller</w:t>
      </w:r>
    </w:p>
    <w:p>
      <w:r>
        <w:rPr>
          <w:rFonts w:ascii="Times New Roman" w:hAnsi="Times New Roman"/>
          <w:color w:val="000000"/>
        </w:rPr>
        <w:t xml:space="preserve">Modüler monolit yaklaşımı tenant bağlamının model servisine aktarılmasını gereksiz kılar; aynı SQLAlchemy session, RLS, domain kuralları ve audit yordamı çıkarımda kullanılabilir. Özellik üretimi ile operasyonel tablolar aynı sürümde tutulur ve küçük hacimli istek üzerine puanlama için ek ağ sıçraması oluşmaz. Buna karşılık API replikası başına model belleği tüketilir, yalnız model katmanını bağımsız ölçeklemek mümkün değildir ve model değişikliği backend image release’ine bağlanır. Gecikme, throughput, ekip sahipliği veya bağımsız release ihtiyacı büyürse, mevcut </w:t>
      </w:r>
      <w:r>
        <w:rPr>
          <w:rFonts w:ascii="Menlo" w:hAnsi="Menlo"/>
          <w:color w:val="173B52"/>
          <w:sz w:val="18"/>
        </w:rPr>
        <w:t>Predictor</w:t>
      </w:r>
      <w:r>
        <w:rPr>
          <w:rFonts w:ascii="Times New Roman" w:hAnsi="Times New Roman"/>
          <w:color w:val="000000"/>
        </w:rPr>
        <w:t xml:space="preserve"> protokolü arkasında ayrı bir servis değerlendirilebilir; tenant kimliği, yetkilendirme ve provenance sözleşmesi korunmadan yapılacak ayrıştırma kabul edilemez.</w:t>
      </w:r>
    </w:p>
    <w:p>
      <w:pPr>
        <w:pStyle w:val="Heading1"/>
      </w:pPr>
      <w:r>
        <w:t>4 API Entegrasyonu</w:t>
      </w:r>
    </w:p>
    <w:p>
      <w:pPr>
        <w:pStyle w:val="Heading2"/>
      </w:pPr>
      <w:r>
        <w:t>4.1 Uç nokta sözleşmesi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2"/>
        <w:gridCol w:w="2272"/>
        <w:gridCol w:w="2272"/>
        <w:gridCol w:w="2272"/>
      </w:tblGrid>
      <w:tr>
        <w:trPr>
          <w:tblHeader/>
        </w:trPr>
        <w:tc>
          <w:tcPr>
            <w:tcW w:type="dxa" w:w="20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Yöntem ve yol</w:t>
            </w:r>
          </w:p>
        </w:tc>
        <w:tc>
          <w:tcPr>
            <w:tcW w:type="dxa" w:w="28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Amaç</w:t>
            </w:r>
          </w:p>
        </w:tc>
        <w:tc>
          <w:tcPr>
            <w:tcW w:type="dxa" w:w="16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Yetki</w:t>
            </w:r>
          </w:p>
        </w:tc>
        <w:tc>
          <w:tcPr>
            <w:tcW w:type="dxa" w:w="24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Temel çıktı</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POST /api/v1/intelligence/customers/{customer_id}/score</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Bir müşteri için güncel özelliklerle skor üretir ve kaydeder</w:t>
            </w:r>
          </w:p>
        </w:tc>
        <w:tc>
          <w:tcPr>
            <w:tcW w:type="dxa" w:w="16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intelligence:score</w:t>
            </w:r>
          </w:p>
        </w:tc>
        <w:tc>
          <w:tcPr>
            <w:tcW w:type="dxa" w:w="24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201; </w:t>
            </w:r>
            <w:r>
              <w:rPr>
                <w:rFonts w:ascii="Menlo" w:hAnsi="Menlo"/>
                <w:b w:val="0"/>
                <w:color w:val="000000"/>
                <w:sz w:val="16"/>
              </w:rPr>
              <w:t>PredictionRead</w:t>
            </w:r>
          </w:p>
        </w:tc>
      </w:tr>
      <w:tr>
        <w:trPr>
          <w:cantSplit/>
        </w:trPr>
        <w:tc>
          <w:tcPr>
            <w:tcW w:type="dxa" w:w="20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GET /api/v1/intelligence/customers/{customer_id}/predictions</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Müşterinin son 100 tahminini yeni tarihten eskiye döndürür</w:t>
            </w:r>
          </w:p>
        </w:tc>
        <w:tc>
          <w:tcPr>
            <w:tcW w:type="dxa" w:w="16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workspace:read</w:t>
            </w:r>
          </w:p>
        </w:tc>
        <w:tc>
          <w:tcPr>
            <w:tcW w:type="dxa" w:w="24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200; </w:t>
            </w:r>
            <w:r>
              <w:rPr>
                <w:rFonts w:ascii="Menlo" w:hAnsi="Menlo"/>
                <w:b w:val="0"/>
                <w:color w:val="000000"/>
                <w:sz w:val="16"/>
              </w:rPr>
              <w:t>PredictionRead[]</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POST /api/v1/intelligence/batch-scores</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Organizasyon için kalıcı toplu puanlama işini kuyruğa alır</w:t>
            </w:r>
          </w:p>
        </w:tc>
        <w:tc>
          <w:tcPr>
            <w:tcW w:type="dxa" w:w="16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intelligence:score</w:t>
            </w:r>
          </w:p>
        </w:tc>
        <w:tc>
          <w:tcPr>
            <w:tcW w:type="dxa" w:w="24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202; </w:t>
            </w:r>
            <w:r>
              <w:rPr>
                <w:rFonts w:ascii="Menlo" w:hAnsi="Menlo"/>
                <w:b w:val="0"/>
                <w:color w:val="000000"/>
                <w:sz w:val="16"/>
              </w:rPr>
              <w:t>ScoringJobRead</w:t>
            </w:r>
          </w:p>
        </w:tc>
      </w:tr>
      <w:tr>
        <w:trPr>
          <w:cantSplit/>
        </w:trPr>
        <w:tc>
          <w:tcPr>
            <w:tcW w:type="dxa" w:w="20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GET /api/v1/intelligence/batch-scores/{job_id}</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İş durumu ve sayaçlarını döndürür</w:t>
            </w:r>
          </w:p>
        </w:tc>
        <w:tc>
          <w:tcPr>
            <w:tcW w:type="dxa" w:w="16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workspace:read</w:t>
            </w:r>
          </w:p>
        </w:tc>
        <w:tc>
          <w:tcPr>
            <w:tcW w:type="dxa" w:w="24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200; </w:t>
            </w:r>
            <w:r>
              <w:rPr>
                <w:rFonts w:ascii="Menlo" w:hAnsi="Menlo"/>
                <w:b w:val="0"/>
                <w:color w:val="000000"/>
                <w:sz w:val="16"/>
              </w:rPr>
              <w:t>ScoringJobRead</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GET /health/live</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Process’in HTTP yanıtı verebildiğini gösteren yüzeysel canlılık kontrolü</w:t>
            </w:r>
          </w:p>
        </w:tc>
        <w:tc>
          <w:tcPr>
            <w:tcW w:type="dxa" w:w="16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Genel</w:t>
            </w:r>
          </w:p>
        </w:tc>
        <w:tc>
          <w:tcPr>
            <w:tcW w:type="dxa" w:w="2450"/>
            <w:vAlign w:val="center"/>
            <w:shd w:fill="FFFFFF"/>
            <w:tcMar>
              <w:top w:w="90" w:type="dxa"/>
              <w:start w:w="110" w:type="dxa"/>
              <w:bottom w:w="90" w:type="dxa"/>
              <w:end w:w="110" w:type="dxa"/>
            </w:tcMar>
          </w:tcPr>
          <w:p>
            <w:pPr>
              <w:spacing w:after="0" w:line="240" w:lineRule="auto"/>
            </w:pPr>
            <w:r>
              <w:rPr>
                <w:rFonts w:ascii="Menlo" w:hAnsi="Menlo"/>
                <w:b w:val="0"/>
                <w:color w:val="000000"/>
                <w:sz w:val="16"/>
              </w:rPr>
              <w:t>{"status":"ok"}</w:t>
            </w:r>
          </w:p>
        </w:tc>
      </w:tr>
      <w:tr>
        <w:trPr>
          <w:cantSplit/>
        </w:trPr>
        <w:tc>
          <w:tcPr>
            <w:tcW w:type="dxa" w:w="2000"/>
            <w:vAlign w:val="center"/>
            <w:shd w:fill="F7F9FA"/>
            <w:tcMar>
              <w:top w:w="90" w:type="dxa"/>
              <w:start w:w="110" w:type="dxa"/>
              <w:bottom w:w="90" w:type="dxa"/>
              <w:end w:w="110" w:type="dxa"/>
            </w:tcMar>
          </w:tcPr>
          <w:p>
            <w:pPr>
              <w:spacing w:after="0" w:line="240" w:lineRule="auto"/>
            </w:pPr>
            <w:r>
              <w:rPr>
                <w:rFonts w:ascii="Menlo" w:hAnsi="Menlo"/>
                <w:b w:val="0"/>
                <w:color w:val="000000"/>
                <w:sz w:val="16"/>
              </w:rPr>
              <w:t>GET /health/ready</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Veritabanı bağlantısını ve runtime rolünün RLS’yi bypass etmediğini denetler</w:t>
            </w:r>
          </w:p>
        </w:tc>
        <w:tc>
          <w:tcPr>
            <w:tcW w:type="dxa" w:w="16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Genel</w:t>
            </w:r>
          </w:p>
        </w:tc>
        <w:tc>
          <w:tcPr>
            <w:tcW w:type="dxa" w:w="24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200 </w:t>
            </w:r>
            <w:r>
              <w:rPr>
                <w:rFonts w:ascii="Menlo" w:hAnsi="Menlo"/>
                <w:b w:val="0"/>
                <w:color w:val="000000"/>
                <w:sz w:val="16"/>
              </w:rPr>
              <w:t>ready</w:t>
            </w:r>
            <w:r>
              <w:rPr>
                <w:rFonts w:ascii="Times New Roman" w:hAnsi="Times New Roman"/>
                <w:b w:val="0"/>
                <w:color w:val="000000"/>
                <w:sz w:val="16"/>
              </w:rPr>
              <w:t xml:space="preserve"> veya 503 </w:t>
            </w:r>
            <w:r>
              <w:rPr>
                <w:rFonts w:ascii="Menlo" w:hAnsi="Menlo"/>
                <w:b w:val="0"/>
                <w:color w:val="000000"/>
                <w:sz w:val="16"/>
              </w:rPr>
              <w:t>unavailable</w:t>
            </w:r>
          </w:p>
        </w:tc>
      </w:tr>
      <w:tr>
        <w:trPr>
          <w:cantSplit/>
        </w:trPr>
        <w:tc>
          <w:tcPr>
            <w:tcW w:type="dxa" w:w="20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GET /api/v1/metrics</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Prometheus metin formatında uygulama ölçütlerini sunar</w:t>
            </w:r>
          </w:p>
        </w:tc>
        <w:tc>
          <w:tcPr>
            <w:tcW w:type="dxa" w:w="1600"/>
            <w:vAlign w:val="center"/>
            <w:shd w:fill="FFFFFF"/>
            <w:tcMar>
              <w:top w:w="90" w:type="dxa"/>
              <w:start w:w="110" w:type="dxa"/>
              <w:bottom w:w="90" w:type="dxa"/>
              <w:end w:w="110" w:type="dxa"/>
            </w:tcMar>
          </w:tcPr>
          <w:p>
            <w:pPr>
              <w:spacing w:after="0" w:line="240" w:lineRule="auto"/>
            </w:pPr>
            <w:r>
              <w:rPr>
                <w:rFonts w:ascii="Menlo" w:hAnsi="Menlo"/>
                <w:b w:val="0"/>
                <w:color w:val="000000"/>
                <w:sz w:val="16"/>
              </w:rPr>
              <w:t>audit:read</w:t>
            </w:r>
          </w:p>
        </w:tc>
        <w:tc>
          <w:tcPr>
            <w:tcW w:type="dxa" w:w="24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HTTP istek sayacı</w:t>
            </w:r>
          </w:p>
        </w:tc>
      </w:tr>
    </w:tbl>
    <w:p>
      <w:pPr>
        <w:spacing w:after="20"/>
      </w:pPr>
    </w:p>
    <w:p>
      <w:pPr>
        <w:pStyle w:val="Heading2"/>
      </w:pPr>
      <w:r>
        <w:t>4.2 İstek biçimleri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2"/>
        <w:gridCol w:w="2272"/>
        <w:gridCol w:w="2272"/>
        <w:gridCol w:w="2272"/>
      </w:tblGrid>
      <w:tr>
        <w:trPr>
          <w:tblHeader/>
        </w:trPr>
        <w:tc>
          <w:tcPr>
            <w:tcW w:type="dxa" w:w="18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Endpoint grubu</w:t>
            </w:r>
          </w:p>
        </w:tc>
        <w:tc>
          <w:tcPr>
            <w:tcW w:type="dxa" w:w="28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Yol girdisi</w:t>
            </w:r>
          </w:p>
        </w:tc>
        <w:tc>
          <w:tcPr>
            <w:tcW w:type="dxa" w:w="170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Header girdisi</w:t>
            </w:r>
          </w:p>
        </w:tc>
        <w:tc>
          <w:tcPr>
            <w:tcW w:type="dxa" w:w="2550"/>
            <w:vAlign w:val="center"/>
            <w:shd w:fill="173B52"/>
            <w:tcMar>
              <w:top w:w="90" w:type="dxa"/>
              <w:start w:w="110" w:type="dxa"/>
              <w:bottom w:w="90" w:type="dxa"/>
              <w:end w:w="110" w:type="dxa"/>
            </w:tcMar>
          </w:tcPr>
          <w:p>
            <w:pPr>
              <w:spacing w:after="0" w:line="240" w:lineRule="auto"/>
            </w:pPr>
            <w:r>
              <w:rPr>
                <w:rFonts w:ascii="Times New Roman" w:hAnsi="Times New Roman"/>
                <w:b/>
                <w:color w:val="FFFFFF"/>
                <w:sz w:val="16"/>
              </w:rPr>
              <w:t>İstek gövdesi</w:t>
            </w:r>
          </w:p>
        </w:tc>
      </w:tr>
      <w:tr>
        <w:trPr>
          <w:cantSplit/>
        </w:trPr>
        <w:tc>
          <w:tcPr>
            <w:tcW w:type="dxa" w:w="18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Tek müşteri skoru ve geçmişi</w:t>
            </w:r>
          </w:p>
        </w:tc>
        <w:tc>
          <w:tcPr>
            <w:tcW w:type="dxa" w:w="2850"/>
            <w:vAlign w:val="center"/>
            <w:shd w:fill="FFFFFF"/>
            <w:tcMar>
              <w:top w:w="90" w:type="dxa"/>
              <w:start w:w="110" w:type="dxa"/>
              <w:bottom w:w="90" w:type="dxa"/>
              <w:end w:w="110" w:type="dxa"/>
            </w:tcMar>
          </w:tcPr>
          <w:p>
            <w:pPr>
              <w:spacing w:after="0" w:line="240" w:lineRule="auto"/>
            </w:pPr>
            <w:r>
              <w:rPr>
                <w:rFonts w:ascii="Menlo" w:hAnsi="Menlo"/>
                <w:b w:val="0"/>
                <w:color w:val="000000"/>
                <w:sz w:val="16"/>
              </w:rPr>
              <w:t>customer_id</w:t>
            </w:r>
            <w:r>
              <w:rPr>
                <w:rFonts w:ascii="Times New Roman" w:hAnsi="Times New Roman"/>
                <w:b w:val="0"/>
                <w:color w:val="000000"/>
                <w:sz w:val="16"/>
              </w:rPr>
              <w:t>, UUID</w:t>
            </w:r>
          </w:p>
        </w:tc>
        <w:tc>
          <w:tcPr>
            <w:tcW w:type="dxa" w:w="17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Toplu iş oluşturma</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17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Toplu iş durumu</w:t>
            </w:r>
          </w:p>
        </w:tc>
        <w:tc>
          <w:tcPr>
            <w:tcW w:type="dxa" w:w="2850"/>
            <w:vAlign w:val="center"/>
            <w:shd w:fill="FFFFFF"/>
            <w:tcMar>
              <w:top w:w="90" w:type="dxa"/>
              <w:start w:w="110" w:type="dxa"/>
              <w:bottom w:w="90" w:type="dxa"/>
              <w:end w:w="110" w:type="dxa"/>
            </w:tcMar>
          </w:tcPr>
          <w:p>
            <w:pPr>
              <w:spacing w:after="0" w:line="240" w:lineRule="auto"/>
            </w:pPr>
            <w:r>
              <w:rPr>
                <w:rFonts w:ascii="Menlo" w:hAnsi="Menlo"/>
                <w:b w:val="0"/>
                <w:color w:val="000000"/>
                <w:sz w:val="16"/>
              </w:rPr>
              <w:t>job_id</w:t>
            </w:r>
            <w:r>
              <w:rPr>
                <w:rFonts w:ascii="Times New Roman" w:hAnsi="Times New Roman"/>
                <w:b w:val="0"/>
                <w:color w:val="000000"/>
                <w:sz w:val="16"/>
              </w:rPr>
              <w:t>, UUID</w:t>
            </w:r>
          </w:p>
        </w:tc>
        <w:tc>
          <w:tcPr>
            <w:tcW w:type="dxa" w:w="17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Canlılık ve hazır olma</w:t>
            </w:r>
          </w:p>
        </w:tc>
        <w:tc>
          <w:tcPr>
            <w:tcW w:type="dxa" w:w="28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170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2550"/>
            <w:vAlign w:val="center"/>
            <w:shd w:fill="F7F9FA"/>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r>
        <w:trPr>
          <w:cantSplit/>
        </w:trPr>
        <w:tc>
          <w:tcPr>
            <w:tcW w:type="dxa" w:w="18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Ölçütler</w:t>
            </w:r>
          </w:p>
        </w:tc>
        <w:tc>
          <w:tcPr>
            <w:tcW w:type="dxa" w:w="28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c>
          <w:tcPr>
            <w:tcW w:type="dxa" w:w="170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 xml:space="preserve">Bearer token ve </w:t>
            </w:r>
            <w:r>
              <w:rPr>
                <w:rFonts w:ascii="Menlo" w:hAnsi="Menlo"/>
                <w:b w:val="0"/>
                <w:color w:val="000000"/>
                <w:sz w:val="16"/>
              </w:rPr>
              <w:t>X-Organization-ID</w:t>
            </w:r>
          </w:p>
        </w:tc>
        <w:tc>
          <w:tcPr>
            <w:tcW w:type="dxa" w:w="2550"/>
            <w:vAlign w:val="center"/>
            <w:shd w:fill="FFFFFF"/>
            <w:tcMar>
              <w:top w:w="90" w:type="dxa"/>
              <w:start w:w="110" w:type="dxa"/>
              <w:bottom w:w="90" w:type="dxa"/>
              <w:end w:w="110" w:type="dxa"/>
            </w:tcMar>
          </w:tcPr>
          <w:p>
            <w:pPr>
              <w:spacing w:after="0" w:line="240" w:lineRule="auto"/>
            </w:pPr>
            <w:r>
              <w:rPr>
                <w:rFonts w:ascii="Times New Roman" w:hAnsi="Times New Roman"/>
                <w:b w:val="0"/>
                <w:color w:val="000000"/>
                <w:sz w:val="16"/>
              </w:rPr>
              <w:t>Yok</w:t>
            </w:r>
          </w:p>
        </w:tc>
      </w:tr>
    </w:tbl>
    <w:p>
      <w:pPr>
        <w:spacing w:after="20"/>
      </w:pPr>
    </w:p>
    <w:p>
      <w:r>
        <w:rPr>
          <w:rFonts w:ascii="Times New Roman" w:hAnsi="Times New Roman"/>
          <w:color w:val="000000"/>
        </w:rPr>
        <w:t xml:space="preserve">Uygulama bu uç noktalarda JSON istek gövdesi kabul etmez. Aktör, bearer token'daki issuer ve subject bilgilerinden </w:t>
      </w:r>
      <w:r>
        <w:rPr>
          <w:rFonts w:ascii="Menlo" w:hAnsi="Menlo"/>
          <w:color w:val="173B52"/>
          <w:sz w:val="18"/>
        </w:rPr>
        <w:t>resolve_actor</w:t>
      </w:r>
      <w:r>
        <w:rPr>
          <w:rFonts w:ascii="Times New Roman" w:hAnsi="Times New Roman"/>
          <w:color w:val="000000"/>
        </w:rPr>
        <w:t xml:space="preserve"> ile bulunur. </w:t>
      </w:r>
      <w:r>
        <w:rPr>
          <w:rFonts w:ascii="Menlo" w:hAnsi="Menlo"/>
          <w:color w:val="173B52"/>
          <w:sz w:val="18"/>
        </w:rPr>
        <w:t>X-Organization-ID</w:t>
      </w:r>
      <w:r>
        <w:rPr>
          <w:rFonts w:ascii="Times New Roman" w:hAnsi="Times New Roman"/>
          <w:color w:val="000000"/>
        </w:rPr>
        <w:t xml:space="preserve"> yalnız hedef organizasyonu seçer ve etkin üyelik doğrulanmadan kapsam kurulmaz. Müşteri veya iş kimliği yol parametresinden gelir. Tek müşteri skorunda uygun siparişi olmayan veya son uygun satın alımı 180 günlük pencerenin dışında kalan müşteri için 409 döner. Varsayılan demo kapısı açıkken demo olmayan organizasyonda da 409 üretilir. Başka organizasyona ait müşteri 404 olarak görünür; böylece kaynağın varlığı organizasyon sınırı dışına açıklanmaz.</w:t>
      </w:r>
    </w:p>
    <w:p>
      <w:pPr>
        <w:pStyle w:val="Heading2"/>
      </w:pPr>
      <w:r>
        <w:t>4.3 Tahmin ve toplu iş yanıtları</w:t>
      </w:r>
    </w:p>
    <w:p>
      <w:r>
        <w:rPr>
          <w:rFonts w:ascii="Times New Roman" w:hAnsi="Times New Roman"/>
          <w:color w:val="000000"/>
        </w:rPr>
        <w:t>PredictionRead şeması id, customer_id, created_at, scored_at, feature_cutoff, inactivity_probability, frozen_threshold, decision_state, eligible_channels, reason_codes, provenance, human_approval_required ve action_authorized alanlarını içerir. Aşağıdaki UUID'ler, zamanlar ve 0,84 olasılığı yalnızca şemayı göstermek için üretilmiştir. Model sürümü ve SHA-256 değeri ise proje model eserinin kayıtlı soy bilgisidir; örnek gerçek müşteri veya canlı ortam ölçümü değildir.</w:t>
      </w:r>
    </w:p>
    <w:p>
      <w:pPr>
        <w:pStyle w:val="DeploymentCode"/>
        <w:keepLines/>
      </w:pPr>
      <w:r>
        <w:rPr>
          <w:rFonts w:ascii="Menlo" w:hAnsi="Menlo"/>
          <w:color w:val="173B52"/>
          <w:sz w:val="14"/>
        </w:rPr>
        <w:t>{</w:t>
        <w:br/>
        <w:t xml:space="preserve">  "id": "00000000-0000-4000-8000-000000000101",</w:t>
        <w:br/>
        <w:t xml:space="preserve">  "customer_id": "00000000-0000-4000-8000-000000000202",</w:t>
        <w:br/>
        <w:t xml:space="preserve">  "created_at": "2026-09-20T09:15:01Z",</w:t>
        <w:br/>
        <w:t xml:space="preserve">  "scored_at": "2026-09-20T09:15:00Z",</w:t>
        <w:br/>
        <w:t xml:space="preserve">  "feature_cutoff": "2026-09-20T09:15:00Z",</w:t>
        <w:br/>
        <w:t xml:space="preserve">  "inactivity_probability": 0.84,</w:t>
        <w:br/>
        <w:t xml:space="preserve">  "frozen_threshold": 0.812509305136,</w:t>
        <w:br/>
        <w:t xml:space="preserve">  "decision_state": "review_retention",</w:t>
        <w:br/>
        <w:t xml:space="preserve">  "eligible_channels": ["email"],</w:t>
        <w:br/>
        <w:t xml:space="preserve">  "reason_codes": ["ABOVE_FROZEN_REVIEW_THRESHOLD", "CONSENTED_CHANNEL_AVAILABLE"],</w:t>
        <w:br/>
        <w:t xml:space="preserve">  "provenance": {</w:t>
        <w:br/>
        <w:t xml:space="preserve">    "target_version": "future-inactivity-v1",</w:t>
        <w:br/>
        <w:t xml:space="preserve">    "feature_version": "customer-behavior-v1",</w:t>
        <w:br/>
        <w:t xml:space="preserve">    "split_version": "temporal-split-v1",</w:t>
        <w:br/>
        <w:t xml:space="preserve">    "model_version": "f39712c90301499a992427cc3becb008",</w:t>
        <w:br/>
        <w:t xml:space="preserve">    "model_sha256": "942d705d66a9469d57494626a99da83c91a9a895a3a2b2d7e977ff3ba56952ad",</w:t>
        <w:br/>
        <w:t xml:space="preserve">    "explanation_method": "linear_shap_log_odds"</w:t>
        <w:br/>
        <w:t xml:space="preserve">  },</w:t>
        <w:br/>
        <w:t xml:space="preserve">  "human_approval_required": true,</w:t>
        <w:br/>
        <w:t xml:space="preserve">  "action_authorized": false</w:t>
        <w:br/>
        <w:t>}</w:t>
      </w:r>
    </w:p>
    <w:p>
      <w:r>
        <w:rPr>
          <w:rFonts w:ascii="Menlo" w:hAnsi="Menlo"/>
          <w:color w:val="173B52"/>
          <w:sz w:val="18"/>
        </w:rPr>
        <w:t>eligible_channels</w:t>
      </w:r>
      <w:r>
        <w:rPr>
          <w:rFonts w:ascii="Times New Roman" w:hAnsi="Times New Roman"/>
          <w:color w:val="000000"/>
        </w:rPr>
        <w:t xml:space="preserve">, güncel rıza durumunu yansıtır fakat kampanya oluşturmaz. Ayrı insan onayı, durdurma anahtarı ve bütçe denetimleri geçmeden eylem yürütülemez. Toplu iş yanıtı </w:t>
      </w:r>
      <w:r>
        <w:rPr>
          <w:rFonts w:ascii="Menlo" w:hAnsi="Menlo"/>
          <w:color w:val="173B52"/>
          <w:sz w:val="18"/>
        </w:rPr>
        <w:t>id</w:t>
      </w:r>
      <w:r>
        <w:rPr>
          <w:rFonts w:ascii="Times New Roman" w:hAnsi="Times New Roman"/>
          <w:color w:val="000000"/>
        </w:rPr>
        <w:t xml:space="preserve">, </w:t>
      </w:r>
      <w:r>
        <w:rPr>
          <w:rFonts w:ascii="Menlo" w:hAnsi="Menlo"/>
          <w:color w:val="173B52"/>
          <w:sz w:val="18"/>
        </w:rPr>
        <w:t>status</w:t>
      </w:r>
      <w:r>
        <w:rPr>
          <w:rFonts w:ascii="Times New Roman" w:hAnsi="Times New Roman"/>
          <w:color w:val="000000"/>
        </w:rPr>
        <w:t xml:space="preserve">, </w:t>
      </w:r>
      <w:r>
        <w:rPr>
          <w:rFonts w:ascii="Menlo" w:hAnsi="Menlo"/>
          <w:color w:val="173B52"/>
          <w:sz w:val="18"/>
        </w:rPr>
        <w:t>total_customers</w:t>
      </w:r>
      <w:r>
        <w:rPr>
          <w:rFonts w:ascii="Times New Roman" w:hAnsi="Times New Roman"/>
          <w:color w:val="000000"/>
        </w:rPr>
        <w:t xml:space="preserve">, </w:t>
      </w:r>
      <w:r>
        <w:rPr>
          <w:rFonts w:ascii="Menlo" w:hAnsi="Menlo"/>
          <w:color w:val="173B52"/>
          <w:sz w:val="18"/>
        </w:rPr>
        <w:t>scored_customers</w:t>
      </w:r>
      <w:r>
        <w:rPr>
          <w:rFonts w:ascii="Times New Roman" w:hAnsi="Times New Roman"/>
          <w:color w:val="000000"/>
        </w:rPr>
        <w:t xml:space="preserve">, </w:t>
      </w:r>
      <w:r>
        <w:rPr>
          <w:rFonts w:ascii="Menlo" w:hAnsi="Menlo"/>
          <w:color w:val="173B52"/>
          <w:sz w:val="18"/>
        </w:rPr>
        <w:t>skipped_customers</w:t>
      </w:r>
      <w:r>
        <w:rPr>
          <w:rFonts w:ascii="Times New Roman" w:hAnsi="Times New Roman"/>
          <w:color w:val="000000"/>
        </w:rPr>
        <w:t xml:space="preserve">, </w:t>
      </w:r>
      <w:r>
        <w:rPr>
          <w:rFonts w:ascii="Menlo" w:hAnsi="Menlo"/>
          <w:color w:val="173B52"/>
          <w:sz w:val="18"/>
        </w:rPr>
        <w:t>failed_customers</w:t>
      </w:r>
      <w:r>
        <w:rPr>
          <w:rFonts w:ascii="Times New Roman" w:hAnsi="Times New Roman"/>
          <w:color w:val="000000"/>
        </w:rPr>
        <w:t xml:space="preserve">, </w:t>
      </w:r>
      <w:r>
        <w:rPr>
          <w:rFonts w:ascii="Menlo" w:hAnsi="Menlo"/>
          <w:color w:val="173B52"/>
          <w:sz w:val="18"/>
        </w:rPr>
        <w:t>model_sha256</w:t>
      </w:r>
      <w:r>
        <w:rPr>
          <w:rFonts w:ascii="Times New Roman" w:hAnsi="Times New Roman"/>
          <w:color w:val="000000"/>
        </w:rPr>
        <w:t xml:space="preserve">, </w:t>
      </w:r>
      <w:r>
        <w:rPr>
          <w:rFonts w:ascii="Menlo" w:hAnsi="Menlo"/>
          <w:color w:val="173B52"/>
          <w:sz w:val="18"/>
        </w:rPr>
        <w:t>error_code</w:t>
      </w:r>
      <w:r>
        <w:rPr>
          <w:rFonts w:ascii="Times New Roman" w:hAnsi="Times New Roman"/>
          <w:color w:val="000000"/>
        </w:rPr>
        <w:t xml:space="preserve">, </w:t>
      </w:r>
      <w:r>
        <w:rPr>
          <w:rFonts w:ascii="Menlo" w:hAnsi="Menlo"/>
          <w:color w:val="173B52"/>
          <w:sz w:val="18"/>
        </w:rPr>
        <w:t>created_at</w:t>
      </w:r>
      <w:r>
        <w:rPr>
          <w:rFonts w:ascii="Times New Roman" w:hAnsi="Times New Roman"/>
          <w:color w:val="000000"/>
        </w:rPr>
        <w:t xml:space="preserve"> ve </w:t>
      </w:r>
      <w:r>
        <w:rPr>
          <w:rFonts w:ascii="Menlo" w:hAnsi="Menlo"/>
          <w:color w:val="173B52"/>
          <w:sz w:val="18"/>
        </w:rPr>
        <w:t>completed_at</w:t>
      </w:r>
      <w:r>
        <w:rPr>
          <w:rFonts w:ascii="Times New Roman" w:hAnsi="Times New Roman"/>
          <w:color w:val="000000"/>
        </w:rPr>
        <w:t xml:space="preserve"> alanlarını içerir.</w:t>
      </w:r>
    </w:p>
    <w:p>
      <w:pPr>
        <w:pStyle w:val="Heading2"/>
      </w:pPr>
      <w:r>
        <w:t>4.4 Hata ve tutarlılık davranışı</w:t>
      </w:r>
    </w:p>
    <w:p>
      <w:r>
        <w:rPr>
          <w:rFonts w:ascii="Times New Roman" w:hAnsi="Times New Roman"/>
          <w:color w:val="000000"/>
        </w:rPr>
        <w:t xml:space="preserve">FastAPI doğrulama hataları ham girdi değerini geri yansıtmadan 422 üretir. Alan hataları anlamlı 4xx yanıtlarına çevrilir; veritabanı bütünlük ayrıntıları başka organizasyon kimliklerini sızdırmamak için genel 409 mesajına indirgenir. Her yanıt </w:t>
      </w:r>
      <w:r>
        <w:rPr>
          <w:rFonts w:ascii="Menlo" w:hAnsi="Menlo"/>
          <w:color w:val="173B52"/>
          <w:sz w:val="18"/>
        </w:rPr>
        <w:t>X-Request-ID</w:t>
      </w:r>
      <w:r>
        <w:rPr>
          <w:rFonts w:ascii="Times New Roman" w:hAnsi="Times New Roman"/>
          <w:color w:val="000000"/>
        </w:rPr>
        <w:t xml:space="preserve"> taşır. Tahmin satırı, denetim olayı ve outbox olayı aynı işlem içinde yazılır.</w:t>
      </w:r>
    </w:p>
    <w:p>
      <w:pPr>
        <w:pStyle w:val="Heading1"/>
      </w:pPr>
      <w:r>
        <w:t>5 Güvenlik Hususları</w:t>
      </w:r>
    </w:p>
    <w:p>
      <w:pPr>
        <w:pStyle w:val="Heading2"/>
      </w:pPr>
      <w:r>
        <w:t>5.1 Kimlik doğrulama ve yetkilendirme</w:t>
      </w:r>
    </w:p>
    <w:p>
      <w:r>
        <w:rPr>
          <w:rFonts w:ascii="Times New Roman" w:hAnsi="Times New Roman"/>
          <w:color w:val="000000"/>
        </w:rPr>
        <w:t xml:space="preserve">Üretim sınırı sağlayıcıdan bağımsız OIDC/OAuth2/JWT'dir. OIDC yapılandırması HTTPS issuer ve JWKS URL'si ile boş olmayan audience gerektirir. Token imzası RS256 ile doğrulanır; </w:t>
      </w:r>
      <w:r>
        <w:rPr>
          <w:rFonts w:ascii="Menlo" w:hAnsi="Menlo"/>
          <w:color w:val="173B52"/>
          <w:sz w:val="18"/>
        </w:rPr>
        <w:t>exp</w:t>
      </w:r>
      <w:r>
        <w:rPr>
          <w:rFonts w:ascii="Times New Roman" w:hAnsi="Times New Roman"/>
          <w:color w:val="000000"/>
        </w:rPr>
        <w:t xml:space="preserve">, </w:t>
      </w:r>
      <w:r>
        <w:rPr>
          <w:rFonts w:ascii="Menlo" w:hAnsi="Menlo"/>
          <w:color w:val="173B52"/>
          <w:sz w:val="18"/>
        </w:rPr>
        <w:t>iat</w:t>
      </w:r>
      <w:r>
        <w:rPr>
          <w:rFonts w:ascii="Times New Roman" w:hAnsi="Times New Roman"/>
          <w:color w:val="000000"/>
        </w:rPr>
        <w:t xml:space="preserve">, </w:t>
      </w:r>
      <w:r>
        <w:rPr>
          <w:rFonts w:ascii="Menlo" w:hAnsi="Menlo"/>
          <w:color w:val="173B52"/>
          <w:sz w:val="18"/>
        </w:rPr>
        <w:t>sub</w:t>
      </w:r>
      <w:r>
        <w:rPr>
          <w:rFonts w:ascii="Times New Roman" w:hAnsi="Times New Roman"/>
          <w:color w:val="000000"/>
        </w:rPr>
        <w:t xml:space="preserve">, </w:t>
      </w:r>
      <w:r>
        <w:rPr>
          <w:rFonts w:ascii="Menlo" w:hAnsi="Menlo"/>
          <w:color w:val="173B52"/>
          <w:sz w:val="18"/>
        </w:rPr>
        <w:t>iss</w:t>
      </w:r>
      <w:r>
        <w:rPr>
          <w:rFonts w:ascii="Times New Roman" w:hAnsi="Times New Roman"/>
          <w:color w:val="000000"/>
        </w:rPr>
        <w:t xml:space="preserve"> ve </w:t>
      </w:r>
      <w:r>
        <w:rPr>
          <w:rFonts w:ascii="Menlo" w:hAnsi="Menlo"/>
          <w:color w:val="173B52"/>
          <w:sz w:val="18"/>
        </w:rPr>
        <w:t>aud</w:t>
      </w:r>
      <w:r>
        <w:rPr>
          <w:rFonts w:ascii="Times New Roman" w:hAnsi="Times New Roman"/>
          <w:color w:val="000000"/>
        </w:rPr>
        <w:t xml:space="preserve"> zorunludur. Geliştirme modu yerel HS256 uyarlayıcısını kullanabilir, ancak </w:t>
      </w:r>
      <w:r>
        <w:rPr>
          <w:rFonts w:ascii="Menlo" w:hAnsi="Menlo"/>
          <w:color w:val="173B52"/>
          <w:sz w:val="18"/>
        </w:rPr>
        <w:t>environment=production</w:t>
      </w:r>
      <w:r>
        <w:rPr>
          <w:rFonts w:ascii="Times New Roman" w:hAnsi="Times New Roman"/>
          <w:color w:val="000000"/>
        </w:rPr>
        <w:t xml:space="preserve"> ile birlikte çalışması ayar doğrulamasında reddedilir. Gerçek kimlik sağlayıcısı, anahtar yenileme, kullanıcı yaşam döngüsü ve organizasyon eşlemesi canlı ortamda sınanmamıştır.</w:t>
      </w:r>
    </w:p>
    <w:p>
      <w:r>
        <w:rPr>
          <w:rFonts w:ascii="Times New Roman" w:hAnsi="Times New Roman"/>
          <w:color w:val="000000"/>
        </w:rPr>
        <w:t xml:space="preserve">Rol tabanlı yetkilendirme, </w:t>
      </w:r>
      <w:r>
        <w:rPr>
          <w:rFonts w:ascii="Menlo" w:hAnsi="Menlo"/>
          <w:color w:val="173B52"/>
          <w:sz w:val="18"/>
        </w:rPr>
        <w:t>ROLE_PERMISSIONS</w:t>
      </w:r>
      <w:r>
        <w:rPr>
          <w:rFonts w:ascii="Times New Roman" w:hAnsi="Times New Roman"/>
          <w:color w:val="000000"/>
        </w:rPr>
        <w:t xml:space="preserve"> ile sunucu tarafında uygulanır. Owner ve admin tüm yetkilere sahiptir; marketing manager </w:t>
      </w:r>
      <w:r>
        <w:rPr>
          <w:rFonts w:ascii="Menlo" w:hAnsi="Menlo"/>
          <w:color w:val="173B52"/>
          <w:sz w:val="18"/>
        </w:rPr>
        <w:t>Permission.SCORE</w:t>
      </w:r>
      <w:r>
        <w:rPr>
          <w:rFonts w:ascii="Times New Roman" w:hAnsi="Times New Roman"/>
          <w:color w:val="000000"/>
        </w:rPr>
        <w:t xml:space="preserve"> ve </w:t>
      </w:r>
      <w:r>
        <w:rPr>
          <w:rFonts w:ascii="Menlo" w:hAnsi="Menlo"/>
          <w:color w:val="173B52"/>
          <w:sz w:val="18"/>
        </w:rPr>
        <w:t>Permission.AUDIT</w:t>
      </w:r>
      <w:r>
        <w:rPr>
          <w:rFonts w:ascii="Times New Roman" w:hAnsi="Times New Roman"/>
          <w:color w:val="000000"/>
        </w:rPr>
        <w:t xml:space="preserve"> kullanabilir; analyst yalnız </w:t>
      </w:r>
      <w:r>
        <w:rPr>
          <w:rFonts w:ascii="Menlo" w:hAnsi="Menlo"/>
          <w:color w:val="173B52"/>
          <w:sz w:val="18"/>
        </w:rPr>
        <w:t>Permission.READ</w:t>
      </w:r>
      <w:r>
        <w:rPr>
          <w:rFonts w:ascii="Times New Roman" w:hAnsi="Times New Roman"/>
          <w:color w:val="000000"/>
        </w:rPr>
        <w:t xml:space="preserve"> alır ve skor uç noktasına erişemez. Arayüzdeki görünürlük bir güvenlik denetimi sayılmaz. Toplu iş çalışanı da isteğin alındığı andaki yetkiye güvenmez; iş yürütülürken üyeliği ve </w:t>
      </w:r>
      <w:r>
        <w:rPr>
          <w:rFonts w:ascii="Menlo" w:hAnsi="Menlo"/>
          <w:color w:val="173B52"/>
          <w:sz w:val="18"/>
        </w:rPr>
        <w:t>Permission.SCORE</w:t>
      </w:r>
      <w:r>
        <w:rPr>
          <w:rFonts w:ascii="Times New Roman" w:hAnsi="Times New Roman"/>
          <w:color w:val="000000"/>
        </w:rPr>
        <w:t xml:space="preserve"> hakkını tekrar kontrol eder.</w:t>
      </w:r>
    </w:p>
    <w:p>
      <w:pPr>
        <w:pStyle w:val="Heading2"/>
      </w:pPr>
      <w:r>
        <w:t>5.2 Organizasyon yalıtımı</w:t>
      </w:r>
    </w:p>
    <w:p>
      <w:r>
        <w:rPr>
          <w:rFonts w:ascii="Times New Roman" w:hAnsi="Times New Roman"/>
          <w:color w:val="000000"/>
        </w:rPr>
        <w:t xml:space="preserve">Doğrulanmış token'daki issuer ve subject önce </w:t>
      </w:r>
      <w:r>
        <w:rPr>
          <w:rFonts w:ascii="Menlo" w:hAnsi="Menlo"/>
          <w:color w:val="173B52"/>
          <w:sz w:val="18"/>
        </w:rPr>
        <w:t>resolve_actor</w:t>
      </w:r>
      <w:r>
        <w:rPr>
          <w:rFonts w:ascii="Times New Roman" w:hAnsi="Times New Roman"/>
          <w:color w:val="000000"/>
        </w:rPr>
        <w:t xml:space="preserve"> ile iç kullanıcıya çevrilir. </w:t>
      </w:r>
      <w:r>
        <w:rPr>
          <w:rFonts w:ascii="Menlo" w:hAnsi="Menlo"/>
          <w:color w:val="173B52"/>
          <w:sz w:val="18"/>
        </w:rPr>
        <w:t>X-Organization-ID</w:t>
      </w:r>
      <w:r>
        <w:rPr>
          <w:rFonts w:ascii="Times New Roman" w:hAnsi="Times New Roman"/>
          <w:color w:val="000000"/>
        </w:rPr>
        <w:t xml:space="preserve"> ile seçilen organizasyonda etkin üyelik bulunmadan kapsam kurulmaz. </w:t>
      </w:r>
      <w:r>
        <w:rPr>
          <w:rFonts w:ascii="Menlo" w:hAnsi="Menlo"/>
          <w:color w:val="173B52"/>
          <w:sz w:val="18"/>
        </w:rPr>
        <w:t>set_config(..., true)</w:t>
      </w:r>
      <w:r>
        <w:rPr>
          <w:rFonts w:ascii="Times New Roman" w:hAnsi="Times New Roman"/>
          <w:color w:val="000000"/>
        </w:rPr>
        <w:t xml:space="preserve"> ile aktör ve organizasyon değerleri yalnız geçerli veritabanı işlemi için yazılır; bağlantı havuzundaki bir bağlantı sonraki isteğe eski kapsamı taşımaz. Uygulama sorguları ayrıca </w:t>
      </w:r>
      <w:r>
        <w:rPr>
          <w:rFonts w:ascii="Menlo" w:hAnsi="Menlo"/>
          <w:color w:val="173B52"/>
          <w:sz w:val="18"/>
        </w:rPr>
        <w:t>tenant_id</w:t>
      </w:r>
      <w:r>
        <w:rPr>
          <w:rFonts w:ascii="Times New Roman" w:hAnsi="Times New Roman"/>
          <w:color w:val="000000"/>
        </w:rPr>
        <w:t xml:space="preserve"> filtreleri kullanır.</w:t>
      </w:r>
    </w:p>
    <w:p>
      <w:r>
        <w:rPr>
          <w:rFonts w:ascii="Times New Roman" w:hAnsi="Times New Roman"/>
          <w:color w:val="000000"/>
        </w:rPr>
        <w:t xml:space="preserve">Veritabanı katmanında </w:t>
      </w:r>
      <w:r>
        <w:rPr>
          <w:rFonts w:ascii="Menlo" w:hAnsi="Menlo"/>
          <w:color w:val="173B52"/>
          <w:sz w:val="18"/>
        </w:rPr>
        <w:t>customer_predictions</w:t>
      </w:r>
      <w:r>
        <w:rPr>
          <w:rFonts w:ascii="Times New Roman" w:hAnsi="Times New Roman"/>
          <w:color w:val="000000"/>
        </w:rPr>
        <w:t xml:space="preserve"> ve </w:t>
      </w:r>
      <w:r>
        <w:rPr>
          <w:rFonts w:ascii="Menlo" w:hAnsi="Menlo"/>
          <w:color w:val="173B52"/>
          <w:sz w:val="18"/>
        </w:rPr>
        <w:t>scoring_jobs</w:t>
      </w:r>
      <w:r>
        <w:rPr>
          <w:rFonts w:ascii="Times New Roman" w:hAnsi="Times New Roman"/>
          <w:color w:val="000000"/>
        </w:rPr>
        <w:t xml:space="preserve"> dahil organizasyon kapsamındaki tablolarda </w:t>
      </w:r>
      <w:r>
        <w:rPr>
          <w:rFonts w:ascii="Menlo" w:hAnsi="Menlo"/>
          <w:color w:val="173B52"/>
          <w:sz w:val="18"/>
        </w:rPr>
        <w:t>ENABLE ROW LEVEL SECURITY</w:t>
      </w:r>
      <w:r>
        <w:rPr>
          <w:rFonts w:ascii="Times New Roman" w:hAnsi="Times New Roman"/>
          <w:color w:val="000000"/>
        </w:rPr>
        <w:t xml:space="preserve"> ve </w:t>
      </w:r>
      <w:r>
        <w:rPr>
          <w:rFonts w:ascii="Menlo" w:hAnsi="Menlo"/>
          <w:color w:val="173B52"/>
          <w:sz w:val="18"/>
        </w:rPr>
        <w:t>FORCE ROW LEVEL SECURITY</w:t>
      </w:r>
      <w:r>
        <w:rPr>
          <w:rFonts w:ascii="Times New Roman" w:hAnsi="Times New Roman"/>
          <w:color w:val="000000"/>
        </w:rPr>
        <w:t xml:space="preserve"> bulunur. </w:t>
      </w:r>
      <w:r>
        <w:rPr>
          <w:rFonts w:ascii="Menlo" w:hAnsi="Menlo"/>
          <w:color w:val="173B52"/>
          <w:sz w:val="18"/>
        </w:rPr>
        <w:t>USING</w:t>
      </w:r>
      <w:r>
        <w:rPr>
          <w:rFonts w:ascii="Times New Roman" w:hAnsi="Times New Roman"/>
          <w:color w:val="000000"/>
        </w:rPr>
        <w:t xml:space="preserve"> okumayı, </w:t>
      </w:r>
      <w:r>
        <w:rPr>
          <w:rFonts w:ascii="Menlo" w:hAnsi="Menlo"/>
          <w:color w:val="173B52"/>
          <w:sz w:val="18"/>
        </w:rPr>
        <w:t>WITH CHECK</w:t>
      </w:r>
      <w:r>
        <w:rPr>
          <w:rFonts w:ascii="Times New Roman" w:hAnsi="Times New Roman"/>
          <w:color w:val="000000"/>
        </w:rPr>
        <w:t xml:space="preserve"> yazmayı </w:t>
      </w:r>
      <w:r>
        <w:rPr>
          <w:rFonts w:ascii="Menlo" w:hAnsi="Menlo"/>
          <w:color w:val="173B52"/>
          <w:sz w:val="18"/>
        </w:rPr>
        <w:t>current_tenant_id()</w:t>
      </w:r>
      <w:r>
        <w:rPr>
          <w:rFonts w:ascii="Times New Roman" w:hAnsi="Times New Roman"/>
          <w:color w:val="000000"/>
        </w:rPr>
        <w:t xml:space="preserve"> değerine sınırlar. Çalışma rolü tablo sahibi, superuser veya </w:t>
      </w:r>
      <w:r>
        <w:rPr>
          <w:rFonts w:ascii="Menlo" w:hAnsi="Menlo"/>
          <w:color w:val="173B52"/>
          <w:sz w:val="18"/>
        </w:rPr>
        <w:t>BYPASSRLS</w:t>
      </w:r>
      <w:r>
        <w:rPr>
          <w:rFonts w:ascii="Times New Roman" w:hAnsi="Times New Roman"/>
          <w:color w:val="000000"/>
        </w:rPr>
        <w:t xml:space="preserve"> olamaz; hazır olma ve başlangıç denetimleri bu koşulu kontrol eder. </w:t>
      </w:r>
      <w:r>
        <w:rPr>
          <w:rFonts w:ascii="Menlo" w:hAnsi="Menlo"/>
          <w:color w:val="173B52"/>
          <w:sz w:val="18"/>
        </w:rPr>
        <w:t>(tenant_id, id)</w:t>
      </w:r>
      <w:r>
        <w:rPr>
          <w:rFonts w:ascii="Times New Roman" w:hAnsi="Times New Roman"/>
          <w:color w:val="000000"/>
        </w:rPr>
        <w:t xml:space="preserve"> bileşik anahtarları, başka organizasyonun müşteri kaydına tahmin bağlanmasını engeller. PostgreSQL tablo sahiplerinin RLS politikalarını varsayılan olarak aşabilmesi nedeniyle </w:t>
      </w:r>
      <w:r>
        <w:rPr>
          <w:rFonts w:ascii="Menlo" w:hAnsi="Menlo"/>
          <w:color w:val="173B52"/>
          <w:sz w:val="18"/>
        </w:rPr>
        <w:t>FORCE ROW LEVEL SECURITY</w:t>
      </w:r>
      <w:r>
        <w:rPr>
          <w:rFonts w:ascii="Times New Roman" w:hAnsi="Times New Roman"/>
          <w:color w:val="000000"/>
        </w:rPr>
        <w:t xml:space="preserve"> ve kısıtlı çalışma rolünün birlikte kullanılması önemlidir [4].</w:t>
      </w:r>
    </w:p>
    <w:p>
      <w:pPr>
        <w:pStyle w:val="Heading2"/>
      </w:pPr>
      <w:r>
        <w:t>5.3 Model ve karar güvenliği</w:t>
      </w:r>
    </w:p>
    <w:p>
      <w:r>
        <w:rPr>
          <w:rFonts w:ascii="Times New Roman" w:hAnsi="Times New Roman"/>
          <w:color w:val="000000"/>
        </w:rPr>
        <w:t xml:space="preserve">Model dosyası kullanıcı yüklemesinden veya genel bir URL'den alınmaz. Container oluşturma sözleşmesi, dosyanın BuildKit secret olarak sağlanmasını ve SHA-256 değerinin manifestle eşleşmesini zorunlu kılar. Uygulama ilk yüklemede aynı kontrolü yeniden yapar ve ancak sonra </w:t>
      </w:r>
      <w:r>
        <w:rPr>
          <w:rFonts w:ascii="Menlo" w:hAnsi="Menlo"/>
          <w:color w:val="173B52"/>
          <w:sz w:val="18"/>
        </w:rPr>
        <w:t>joblib.load</w:t>
      </w:r>
      <w:r>
        <w:rPr>
          <w:rFonts w:ascii="Times New Roman" w:hAnsi="Times New Roman"/>
          <w:color w:val="000000"/>
        </w:rPr>
        <w:t xml:space="preserve"> çağır. SHA-256 bütünlük kanıtıdır; kaynağın yetkili olduğunu tek başına kanıtlamaz. Özel model deposu, imzalı terfi, container kaynağı ve yayın süreci henüz uygulanmamıştır.</w:t>
      </w:r>
    </w:p>
    <w:p>
      <w:r>
        <w:rPr>
          <w:rFonts w:ascii="Times New Roman" w:hAnsi="Times New Roman"/>
          <w:color w:val="000000"/>
        </w:rPr>
        <w:t xml:space="preserve">Model, tek tarihsel dış veri kümesinden geliştirildiği için varsayılan olarak yalnız demo organizasyonlarında çalışır. Uygunluk penceresi dışında tahmin yapılmaz ve başka modele sessiz geçiş yoktur. Her sonuç hedef, özellik, veri bölümü, çalıştırma ve SHA-256 bilgisini taşır. Karar katmanı rıza dışı kanal üretmez; nedensellik veya temas yetkisi iddia etmez ve </w:t>
      </w:r>
      <w:r>
        <w:rPr>
          <w:rFonts w:ascii="Menlo" w:hAnsi="Menlo"/>
          <w:color w:val="173B52"/>
          <w:sz w:val="18"/>
        </w:rPr>
        <w:t>action_authorized=false</w:t>
      </w:r>
      <w:r>
        <w:rPr>
          <w:rFonts w:ascii="Times New Roman" w:hAnsi="Times New Roman"/>
          <w:color w:val="000000"/>
        </w:rPr>
        <w:t xml:space="preserve"> döndürür.</w:t>
      </w:r>
    </w:p>
    <w:p>
      <w:pPr>
        <w:pStyle w:val="Heading2"/>
      </w:pPr>
      <w:r>
        <w:t>5.4 Ağ API ve tarayıcı sınırı</w:t>
      </w:r>
    </w:p>
    <w:p>
      <w:r>
        <w:rPr>
          <w:rFonts w:ascii="Times New Roman" w:hAnsi="Times New Roman"/>
          <w:color w:val="000000"/>
        </w:rPr>
        <w:t xml:space="preserve">CORS yalnız açıkça listelenen kaynaklara izin verir; </w:t>
      </w:r>
      <w:r>
        <w:rPr>
          <w:rFonts w:ascii="Menlo" w:hAnsi="Menlo"/>
          <w:color w:val="173B52"/>
          <w:sz w:val="18"/>
        </w:rPr>
        <w:t>*</w:t>
      </w:r>
      <w:r>
        <w:rPr>
          <w:rFonts w:ascii="Times New Roman" w:hAnsi="Times New Roman"/>
          <w:color w:val="000000"/>
        </w:rPr>
        <w:t xml:space="preserve"> ayar doğrulamasında yasaktır. Yanıtlara X-Content-Type-Options: nosniff, Referrer-Policy: no-referrer, Cache-Control: no-store, X-Frame-Options: DENY, Permissions-Policy ve Content-Security-Policy eklenir. HSTS yalnız üretim ortamında eklenir. Terraform referansı HTTP'yi HTTPS'e yönlendirir ve ALB için TLS politikası tanımlar. API görevleri özel alt ağdadır ve 8000 portuna yalnız ALB güvenlik grubundan erişim kabul eder.</w:t>
      </w:r>
    </w:p>
    <w:p>
      <w:r>
        <w:rPr>
          <w:rFonts w:ascii="Times New Roman" w:hAnsi="Times New Roman"/>
          <w:color w:val="000000"/>
        </w:rPr>
        <w:t>OWASP API Security Top 10; nesne düzeyi yetkilendirme, kimlik doğrulama ve güvenlik yanlış yapılandırması risklerini öne çıkarır [7]. GrowthPilot'taki sunucu tarafı yetki kontrolü, organizasyon kapsamı, RLS ve açık CORS/header politikası bu risklere karşı katmanlı savunma sağlar. Dış sızma testi yapılmadığı için sistemin "tam güvenli" olduğu iddia edilmez.</w:t>
      </w:r>
    </w:p>
    <w:p>
      <w:pPr>
        <w:pStyle w:val="Heading2"/>
      </w:pPr>
      <w:r>
        <w:t>5.5 Gizli değerler ve şifreleme sınırı</w:t>
      </w:r>
    </w:p>
    <w:p>
      <w:r>
        <w:rPr>
          <w:rFonts w:ascii="Menlo" w:hAnsi="Menlo"/>
          <w:color w:val="173B52"/>
          <w:sz w:val="18"/>
        </w:rPr>
        <w:t>.env</w:t>
      </w:r>
      <w:r>
        <w:rPr>
          <w:rFonts w:ascii="Times New Roman" w:hAnsi="Times New Roman"/>
          <w:color w:val="000000"/>
        </w:rPr>
        <w:t xml:space="preserve"> dosyaları Git dışında tutulur; </w:t>
      </w:r>
      <w:r>
        <w:rPr>
          <w:rFonts w:ascii="Menlo" w:hAnsi="Menlo"/>
          <w:color w:val="173B52"/>
          <w:sz w:val="18"/>
        </w:rPr>
        <w:t>.env.example</w:t>
      </w:r>
      <w:r>
        <w:rPr>
          <w:rFonts w:ascii="Times New Roman" w:hAnsi="Times New Roman"/>
          <w:color w:val="000000"/>
        </w:rPr>
        <w:t xml:space="preserve"> yalnız yer tutucu ve yerel kurulum yönlendirmesi içerir. Uygulama ayarlarında parolalar ve token'lar </w:t>
      </w:r>
      <w:r>
        <w:rPr>
          <w:rFonts w:ascii="Menlo" w:hAnsi="Menlo"/>
          <w:color w:val="173B52"/>
          <w:sz w:val="18"/>
        </w:rPr>
        <w:t>SecretStr</w:t>
      </w:r>
      <w:r>
        <w:rPr>
          <w:rFonts w:ascii="Times New Roman" w:hAnsi="Times New Roman"/>
          <w:color w:val="000000"/>
        </w:rPr>
        <w:t xml:space="preserve"> ile taşınır. Broker hatalarının ham metni günlüğe yazılmaz; URL içinde kimlik bilgisi bulunabileceği varsayılır. Terraform bir Secrets Manager nesnesi ve KMS anahtarı tanımlar, ancak gerçek OIDC, veritabanı, Redis ve HMAC değerleri yetkili bir dış süreçle doldurulmalıdır.</w:t>
      </w:r>
    </w:p>
    <w:p>
      <w:r>
        <w:rPr>
          <w:rFonts w:ascii="Times New Roman" w:hAnsi="Times New Roman"/>
          <w:color w:val="000000"/>
        </w:rPr>
        <w:t>AWS referansında RDS depolaması ve yedekleri KMS ile şifrelidir. ElastiCache için aktarımda ve depolamada şifreleme açıktır. S3 genel erişime kapalı ve SSE-KMS korumalıdır; CloudWatch günlük grubu da KMS kullanır. Genel istemci trafiği ALB'de TLS ile sonlandırılır. Buna karşılık bu kontroller yalnız kod olarak mevcuttur; anahtar politikaları, TLS sertifikası, RDS istemci TLS zorlaması, gizli değer yenileme ve geri yükleme yetkileri canlı hesapta doğrulanmamıştır. Belge KVKK veya GDPR uyumluluk sertifikası iddia etmez.</w:t>
      </w:r>
    </w:p>
    <w:p>
      <w:pPr>
        <w:pStyle w:val="Heading1"/>
      </w:pPr>
      <w:r>
        <w:t>6 İzleme ve Günlükleme</w:t>
      </w:r>
    </w:p>
    <w:p>
      <w:pPr>
        <w:pStyle w:val="Heading2"/>
      </w:pPr>
      <w:r>
        <w:t>6.1 Uygulanan sistem gözlemlenebilirliği</w:t>
      </w:r>
    </w:p>
    <w:p>
      <w:r>
        <w:rPr>
          <w:rFonts w:ascii="Times New Roman" w:hAnsi="Times New Roman"/>
          <w:color w:val="000000"/>
        </w:rPr>
        <w:t xml:space="preserve">HTTP ara katmanı her istek için UUID tabanlı </w:t>
      </w:r>
      <w:r>
        <w:rPr>
          <w:rFonts w:ascii="Menlo" w:hAnsi="Menlo"/>
          <w:color w:val="173B52"/>
          <w:sz w:val="18"/>
        </w:rPr>
        <w:t>request_id</w:t>
      </w:r>
      <w:r>
        <w:rPr>
          <w:rFonts w:ascii="Times New Roman" w:hAnsi="Times New Roman"/>
          <w:color w:val="000000"/>
        </w:rPr>
        <w:t xml:space="preserve"> üretir, bunu </w:t>
      </w:r>
      <w:r>
        <w:rPr>
          <w:rFonts w:ascii="Menlo" w:hAnsi="Menlo"/>
          <w:color w:val="173B52"/>
          <w:sz w:val="18"/>
        </w:rPr>
        <w:t>X-Request-ID</w:t>
      </w:r>
      <w:r>
        <w:rPr>
          <w:rFonts w:ascii="Times New Roman" w:hAnsi="Times New Roman"/>
          <w:color w:val="000000"/>
        </w:rPr>
        <w:t xml:space="preserve"> yanıt başlığına ekler ve </w:t>
      </w:r>
      <w:r>
        <w:rPr>
          <w:rFonts w:ascii="Menlo" w:hAnsi="Menlo"/>
          <w:color w:val="173B52"/>
          <w:sz w:val="18"/>
        </w:rPr>
        <w:t>method</w:t>
      </w:r>
      <w:r>
        <w:rPr>
          <w:rFonts w:ascii="Times New Roman" w:hAnsi="Times New Roman"/>
          <w:color w:val="000000"/>
        </w:rPr>
        <w:t xml:space="preserve">, HTTP </w:t>
      </w:r>
      <w:r>
        <w:rPr>
          <w:rFonts w:ascii="Menlo" w:hAnsi="Menlo"/>
          <w:color w:val="173B52"/>
          <w:sz w:val="18"/>
        </w:rPr>
        <w:t>status</w:t>
      </w:r>
      <w:r>
        <w:rPr>
          <w:rFonts w:ascii="Times New Roman" w:hAnsi="Times New Roman"/>
          <w:color w:val="000000"/>
        </w:rPr>
        <w:t xml:space="preserve"> ile </w:t>
      </w:r>
      <w:r>
        <w:rPr>
          <w:rFonts w:ascii="Menlo" w:hAnsi="Menlo"/>
          <w:color w:val="173B52"/>
          <w:sz w:val="18"/>
        </w:rPr>
        <w:t>duration_ms</w:t>
      </w:r>
      <w:r>
        <w:rPr>
          <w:rFonts w:ascii="Times New Roman" w:hAnsi="Times New Roman"/>
          <w:color w:val="000000"/>
        </w:rPr>
        <w:t xml:space="preserve"> alanlarını </w:t>
      </w:r>
      <w:r>
        <w:rPr>
          <w:rFonts w:ascii="Menlo" w:hAnsi="Menlo"/>
          <w:color w:val="173B52"/>
          <w:sz w:val="18"/>
        </w:rPr>
        <w:t>growthpilot.http</w:t>
      </w:r>
      <w:r>
        <w:rPr>
          <w:rFonts w:ascii="Times New Roman" w:hAnsi="Times New Roman"/>
          <w:color w:val="000000"/>
        </w:rPr>
        <w:t xml:space="preserve"> günlüğüne yazar. Aynı sınırda </w:t>
      </w:r>
      <w:r>
        <w:rPr>
          <w:rFonts w:ascii="Menlo" w:hAnsi="Menlo"/>
          <w:color w:val="173B52"/>
          <w:sz w:val="18"/>
        </w:rPr>
        <w:t>http.request</w:t>
      </w:r>
      <w:r>
        <w:rPr>
          <w:rFonts w:ascii="Times New Roman" w:hAnsi="Times New Roman"/>
          <w:color w:val="000000"/>
        </w:rPr>
        <w:t xml:space="preserve"> adlı OpenTelemetry uyumlu span açılır. Depoda iz dışa aktarıcısı veya toplayıcısı yoktur; bu nedenle span oluşması, dağıtılmış izlerin canlı bir izleme sistemine aktarıldığı anlamına gelmez.</w:t>
      </w:r>
    </w:p>
    <w:p>
      <w:r>
        <w:rPr>
          <w:rFonts w:ascii="Times New Roman" w:hAnsi="Times New Roman"/>
          <w:color w:val="000000"/>
        </w:rPr>
        <w:t xml:space="preserve">Prometheus istemcisi </w:t>
      </w:r>
      <w:r>
        <w:rPr>
          <w:rFonts w:ascii="Menlo" w:hAnsi="Menlo"/>
          <w:color w:val="173B52"/>
          <w:sz w:val="18"/>
        </w:rPr>
        <w:t>growthpilot_http_requests_total{method,status}</w:t>
      </w:r>
      <w:r>
        <w:rPr>
          <w:rFonts w:ascii="Times New Roman" w:hAnsi="Times New Roman"/>
          <w:color w:val="000000"/>
        </w:rPr>
        <w:t xml:space="preserve"> sayacını üretir. </w:t>
      </w:r>
      <w:r>
        <w:rPr>
          <w:rFonts w:ascii="Menlo" w:hAnsi="Menlo"/>
          <w:color w:val="173B52"/>
          <w:sz w:val="18"/>
        </w:rPr>
        <w:t>/api/v1/metrics</w:t>
      </w:r>
      <w:r>
        <w:rPr>
          <w:rFonts w:ascii="Times New Roman" w:hAnsi="Times New Roman"/>
          <w:color w:val="000000"/>
        </w:rPr>
        <w:t xml:space="preserve"> yalnız </w:t>
      </w:r>
      <w:r>
        <w:rPr>
          <w:rFonts w:ascii="Menlo" w:hAnsi="Menlo"/>
          <w:color w:val="173B52"/>
          <w:sz w:val="18"/>
        </w:rPr>
        <w:t>Permission.AUDIT</w:t>
      </w:r>
      <w:r>
        <w:rPr>
          <w:rFonts w:ascii="Times New Roman" w:hAnsi="Times New Roman"/>
          <w:color w:val="000000"/>
        </w:rPr>
        <w:t xml:space="preserve"> hakkı olan kullanıcıya açıktır. Kodda istek gecikmesi histogramı, tam RED ölçüt seti veya özel puanlama sayacı yoktur. İstek süresi yapılandırılmış günlükte yer alır; toplu işin başarı, atlama ve hata adetleri </w:t>
      </w:r>
      <w:r>
        <w:rPr>
          <w:rFonts w:ascii="Menlo" w:hAnsi="Menlo"/>
          <w:color w:val="173B52"/>
          <w:sz w:val="18"/>
        </w:rPr>
        <w:t>ScoringJob</w:t>
      </w:r>
      <w:r>
        <w:rPr>
          <w:rFonts w:ascii="Times New Roman" w:hAnsi="Times New Roman"/>
          <w:color w:val="000000"/>
        </w:rPr>
        <w:t xml:space="preserve"> satırında kalıcı sayaçlardır.</w:t>
      </w:r>
    </w:p>
    <w:p>
      <w:r>
        <w:rPr>
          <w:rFonts w:ascii="Menlo" w:hAnsi="Menlo"/>
          <w:color w:val="173B52"/>
          <w:sz w:val="18"/>
        </w:rPr>
        <w:t>/health/live</w:t>
      </w:r>
      <w:r>
        <w:rPr>
          <w:rFonts w:ascii="Times New Roman" w:hAnsi="Times New Roman"/>
          <w:color w:val="000000"/>
        </w:rPr>
        <w:t xml:space="preserve"> yalnız işlemin HTTP yanıtı verebildiğini gösterir. </w:t>
      </w:r>
      <w:r>
        <w:rPr>
          <w:rFonts w:ascii="Menlo" w:hAnsi="Menlo"/>
          <w:color w:val="173B52"/>
          <w:sz w:val="18"/>
        </w:rPr>
        <w:t>/health/ready</w:t>
      </w:r>
      <w:r>
        <w:rPr>
          <w:rFonts w:ascii="Times New Roman" w:hAnsi="Times New Roman"/>
          <w:color w:val="000000"/>
        </w:rPr>
        <w:t xml:space="preserve">, veritabanında </w:t>
      </w:r>
      <w:r>
        <w:rPr>
          <w:rFonts w:ascii="Menlo" w:hAnsi="Menlo"/>
          <w:color w:val="173B52"/>
          <w:sz w:val="18"/>
        </w:rPr>
        <w:t>SELECT 1</w:t>
      </w:r>
      <w:r>
        <w:rPr>
          <w:rFonts w:ascii="Times New Roman" w:hAnsi="Times New Roman"/>
          <w:color w:val="000000"/>
        </w:rPr>
        <w:t xml:space="preserve"> çalıştırır ve çalışma rolünün superuser, </w:t>
      </w:r>
      <w:r>
        <w:rPr>
          <w:rFonts w:ascii="Menlo" w:hAnsi="Menlo"/>
          <w:color w:val="173B52"/>
          <w:sz w:val="18"/>
        </w:rPr>
        <w:t>BYPASSRLS</w:t>
      </w:r>
      <w:r>
        <w:rPr>
          <w:rFonts w:ascii="Times New Roman" w:hAnsi="Times New Roman"/>
          <w:color w:val="000000"/>
        </w:rPr>
        <w:t xml:space="preserve"> ya da tablo sahibi olmadığını doğrular. Redis'i, model SHA-256 değerini, nesne deposunu veya arka plan kuyruğunu kontrol etmez.</w:t>
      </w:r>
    </w:p>
    <w:p>
      <w:r>
        <w:rPr>
          <w:rFonts w:ascii="Times New Roman" w:hAnsi="Times New Roman"/>
          <w:color w:val="000000"/>
        </w:rPr>
        <w:t xml:space="preserve">Denetim izi; tahmin oluşturma, toplu iş talebi ve işin tamamlanması gibi olayları aktör, organizasyon, varlık ve sınırlı ayrıntılarla kaydeder. Denetim uç noktası </w:t>
      </w:r>
      <w:r>
        <w:rPr>
          <w:rFonts w:ascii="Menlo" w:hAnsi="Menlo"/>
          <w:color w:val="173B52"/>
          <w:sz w:val="18"/>
        </w:rPr>
        <w:t>Permission.AUDIT</w:t>
      </w:r>
      <w:r>
        <w:rPr>
          <w:rFonts w:ascii="Times New Roman" w:hAnsi="Times New Roman"/>
          <w:color w:val="000000"/>
        </w:rPr>
        <w:t xml:space="preserve"> ve RLS ile korunur. Outbox olayları operasyonel güvenilirlik içindir; merkezi günlük sisteminin yerini tutmaz.</w:t>
      </w:r>
    </w:p>
    <w:p>
      <w:pPr>
        <w:spacing w:before="100" w:after="60"/>
        <w:jc w:val="center"/>
      </w:pPr>
      <w:r>
        <w:drawing>
          <wp:inline xmlns:a="http://schemas.openxmlformats.org/drawingml/2006/main" xmlns:pic="http://schemas.openxmlformats.org/drawingml/2006/picture">
            <wp:extent cx="5623560" cy="2882665"/>
            <wp:docPr id="2" name="Picture 2" title="Şekil 2 İzleme ve üretim doğrulama sınırı" descr="Şekil 2 İzleme ve üretim doğrulama sınırı"/>
            <wp:cNvGraphicFramePr>
              <a:graphicFrameLocks noChangeAspect="1"/>
            </wp:cNvGraphicFramePr>
            <a:graphic>
              <a:graphicData uri="http://schemas.openxmlformats.org/drawingml/2006/picture">
                <pic:pic>
                  <pic:nvPicPr>
                    <pic:cNvPr id="0" name="deployment_monitoring_flow.png"/>
                    <pic:cNvPicPr/>
                  </pic:nvPicPr>
                  <pic:blipFill>
                    <a:blip r:embed="rId9"/>
                    <a:stretch>
                      <a:fillRect/>
                    </a:stretch>
                  </pic:blipFill>
                  <pic:spPr>
                    <a:xfrm>
                      <a:off x="0" y="0"/>
                      <a:ext cx="5623560" cy="2882665"/>
                    </a:xfrm>
                    <a:prstGeom prst="rect"/>
                  </pic:spPr>
                </pic:pic>
              </a:graphicData>
            </a:graphic>
          </wp:inline>
        </w:drawing>
      </w:r>
    </w:p>
    <w:p>
      <w:pPr>
        <w:spacing w:after="140"/>
        <w:jc w:val="center"/>
      </w:pPr>
      <w:r>
        <w:rPr>
          <w:rFonts w:ascii="Times New Roman" w:hAnsi="Times New Roman"/>
          <w:i/>
          <w:color w:val="5B6870"/>
          <w:sz w:val="17"/>
        </w:rPr>
        <w:t>Şekil 2. Uygulanan sinyaller ile henüz kurulmamış üretim izleme ve alarm katmanı.</w:t>
      </w:r>
    </w:p>
    <w:p>
      <w:pPr>
        <w:pStyle w:val="Heading2"/>
      </w:pPr>
      <w:r>
        <w:t>6.2 Sistem izleme hedefleri</w:t>
      </w:r>
    </w:p>
    <w:p>
      <w:r>
        <w:rPr>
          <w:rFonts w:ascii="Times New Roman" w:hAnsi="Times New Roman"/>
          <w:color w:val="000000"/>
        </w:rPr>
        <w:t>Üretim ortamında istek hacmi, 4xx ve 5xx oranları, p50/p95/p99 gecikme, hazır olma denetimi başarısızlığı, API ve arka plan çalışanı yeniden başlatmaları, Redis teslim gecikmesi, outbox birikimi, başarısız/kısmi toplu işler ve veritabanı bağlantı sağlığı izlenmelidir. Prometheus, çevrim içi servislerde istek sayısı, hata ve süre sinyallerinin izlenmesini önerir [5]. Mevcut uygulama yalnız HTTP sayacı ile durum ve süre günlüklerini sağlar. Gecikme histogramları, Grafana panoları, hizmet seviyesi hedefleri ve nöbetçi uyarı politikası kurulmamıştır.</w:t>
      </w:r>
    </w:p>
    <w:p>
      <w:r>
        <w:rPr>
          <w:rFonts w:ascii="Times New Roman" w:hAnsi="Times New Roman"/>
          <w:color w:val="000000"/>
        </w:rPr>
        <w:t>Terraform, CloudWatch günlük grubunu ve ECS Container Insights ayarını tanımlar. CloudWatch alarmı, pano, abonelik filtresi, ölçüt arka ucu, OpenTelemetry toplayıcısı veya nöbetçi entegrasyonu tanımlamaz. Bu nedenle CloudWatch'un canlı sistemi izlediği söylenemez. Günlük saklama değeri kodda 30 gündür; gerçek hukuki ve operasyonel saklama kararı verilmemiştir.</w:t>
      </w:r>
    </w:p>
    <w:p>
      <w:pPr>
        <w:pStyle w:val="Heading2"/>
      </w:pPr>
      <w:r>
        <w:t>6.3 Makine öğrenmesi izleme hedefleri</w:t>
      </w:r>
    </w:p>
    <w:p>
      <w:r>
        <w:rPr>
          <w:rFonts w:ascii="Times New Roman" w:hAnsi="Times New Roman"/>
          <w:color w:val="000000"/>
        </w:rPr>
        <w:t>Sistem sağlığı model sağlığıyla aynı değildir. Güncel organizasyon verisinde aşağıdaki göstergeler model ve karar politikasının ayrı katmanlarında izlenmelidir:</w:t>
      </w:r>
    </w:p>
    <w:p>
      <w:pPr>
        <w:ind w:left="403" w:hanging="230"/>
      </w:pPr>
      <w:r>
        <w:rPr>
          <w:rFonts w:ascii="Times New Roman" w:hAnsi="Times New Roman"/>
          <w:color w:val="000000"/>
        </w:rPr>
        <w:t xml:space="preserve">• Girdi dağılımı ve veri kalitesi: zorunlu sütunlar, eksik değer oranları, aralık ihlalleri, yeni kategoriler ve özellik üretim hataları. Özellikle </w:t>
      </w:r>
      <w:r>
        <w:rPr>
          <w:rFonts w:ascii="Menlo" w:hAnsi="Menlo"/>
          <w:color w:val="173B52"/>
          <w:sz w:val="18"/>
        </w:rPr>
        <w:t>country="__missing__"</w:t>
      </w:r>
      <w:r>
        <w:rPr>
          <w:rFonts w:ascii="Times New Roman" w:hAnsi="Times New Roman"/>
          <w:color w:val="000000"/>
        </w:rPr>
        <w:t xml:space="preserve"> oranı canlıya geçiş öncesi ayrı bir kapıdır.</w:t>
      </w:r>
    </w:p>
    <w:p>
      <w:pPr>
        <w:ind w:left="403" w:hanging="230"/>
      </w:pPr>
      <w:r>
        <w:rPr>
          <w:rFonts w:ascii="Times New Roman" w:hAnsi="Times New Roman"/>
          <w:color w:val="000000"/>
        </w:rPr>
        <w:t>• Veri ve tahmin kayması: eğitim referansına göre özellik ve skor dağılımları, dondurulmuş eşik üstü pay ve hareketsizlik tahmini yaygınlığı.</w:t>
      </w:r>
    </w:p>
    <w:p>
      <w:pPr>
        <w:ind w:left="403" w:hanging="230"/>
      </w:pPr>
      <w:r>
        <w:rPr>
          <w:rFonts w:ascii="Times New Roman" w:hAnsi="Times New Roman"/>
          <w:color w:val="000000"/>
        </w:rPr>
        <w:t>• Gecikmeli etiket performansı: PR-AUC, ROC-AUC, Brier, ECE ve kalibrasyon; yüzde 5, 10 ve 20 kapasitede kesinlik, duyarlılık ve artış.</w:t>
      </w:r>
    </w:p>
    <w:p>
      <w:pPr>
        <w:ind w:left="403" w:hanging="230"/>
      </w:pPr>
      <w:r>
        <w:rPr>
          <w:rFonts w:ascii="Times New Roman" w:hAnsi="Times New Roman"/>
          <w:color w:val="000000"/>
        </w:rPr>
        <w:t>• Uygun ve hukuka uygun olduğunda alt grup sonuçları: örneklem büyüklüğüyle birlikte hata ve kalibrasyon farkları; bu alanlar yeni hassas veri toplamayı otomatik olarak meşrulaştırmaz.</w:t>
      </w:r>
    </w:p>
    <w:p>
      <w:pPr>
        <w:ind w:left="403" w:hanging="230"/>
      </w:pPr>
      <w:r>
        <w:rPr>
          <w:rFonts w:ascii="Times New Roman" w:hAnsi="Times New Roman"/>
          <w:color w:val="000000"/>
        </w:rPr>
        <w:t>• Model soyu: hedef, özellik, veri bölümü, çalıştırma, eşik ve SHA-256 değişimleri; onaysız veya beklenmeyen sürüm değişimi alarm sebebidir.</w:t>
      </w:r>
    </w:p>
    <w:p>
      <w:r>
        <w:rPr>
          <w:rFonts w:ascii="Times New Roman" w:hAnsi="Times New Roman"/>
          <w:color w:val="000000"/>
        </w:rPr>
        <w:t>Bu ölçütlerin canlı hesapları henüz yoktur. Gerçek etiketler, organizasyon bazlı başlangıç değerleri, en az örneklem, pencere uzunluğu, uyarı eşikleri ve sorumlu ekip belirlenmemiştir. Gerçek zamanlı PR-AUC veya kalibrasyon izleme uygulanmış değildir. NIST AI Risk Management Framework'ün ölçme ve yönetme işlevleriyle uyumlu olarak, alan uygunluğu ve zarar riski düzenli insan incelemesine bağlanmalıdır [8]. Model kayması tek başına yeniden eğitim kararı verdirmez; veri hattı, mevsimsellik, hedef yaygınlığı ve gecikmeli performans birlikte incelenmelidir.</w:t>
      </w:r>
    </w:p>
    <w:p>
      <w:pPr>
        <w:pStyle w:val="Heading2"/>
      </w:pPr>
      <w:r>
        <w:t>6.4 Canlıya geçiş öncesi kapılar</w:t>
      </w:r>
    </w:p>
    <w:p>
      <w:pPr>
        <w:ind w:left="432" w:hanging="346"/>
      </w:pPr>
      <w:r>
        <w:rPr>
          <w:rFonts w:ascii="Times New Roman" w:hAnsi="Times New Roman"/>
          <w:color w:val="000000"/>
        </w:rPr>
        <w:t>1. Özel model deposu, imzalı model terfisi, değişmez container özet değeri ve SBOM/tarama/imzalama süreci seçilmelidir. Arka uç container'ı gerçek Docker motoruyla oluşturulmalıdır.</w:t>
      </w:r>
    </w:p>
    <w:p>
      <w:pPr>
        <w:ind w:left="432" w:hanging="346"/>
      </w:pPr>
      <w:r>
        <w:rPr>
          <w:rFonts w:ascii="Times New Roman" w:hAnsi="Times New Roman"/>
          <w:color w:val="000000"/>
        </w:rPr>
        <w:t>2. Üretim OIDC issuer, JWKS anahtar yenileme, audience, organizasyon üyeliği eşlemesi ve servis kimlikleri test edilmelidir.</w:t>
      </w:r>
    </w:p>
    <w:p>
      <w:pPr>
        <w:ind w:left="432" w:hanging="346"/>
      </w:pPr>
      <w:r>
        <w:rPr>
          <w:rFonts w:ascii="Times New Roman" w:hAnsi="Times New Roman"/>
          <w:color w:val="000000"/>
        </w:rPr>
        <w:t xml:space="preserve">3. Terraform planı bütçe, bölge/veri yerleşimi, WAF, RDS TLS zorlaması, gizli değer yenileme, uzaktan şifreli state ve IAM incelemesinden sonra onaylanmalıdır. Ancak bundan sonra kontrollü </w:t>
      </w:r>
      <w:r>
        <w:rPr>
          <w:rFonts w:ascii="Menlo" w:hAnsi="Menlo"/>
          <w:color w:val="173B52"/>
          <w:sz w:val="18"/>
        </w:rPr>
        <w:t>terraform apply</w:t>
      </w:r>
      <w:r>
        <w:rPr>
          <w:rFonts w:ascii="Times New Roman" w:hAnsi="Times New Roman"/>
          <w:color w:val="000000"/>
        </w:rPr>
        <w:t xml:space="preserve"> yapılabilir.</w:t>
      </w:r>
    </w:p>
    <w:p>
      <w:pPr>
        <w:ind w:left="432" w:hanging="346"/>
      </w:pPr>
      <w:r>
        <w:rPr>
          <w:rFonts w:ascii="Times New Roman" w:hAnsi="Times New Roman"/>
          <w:color w:val="000000"/>
        </w:rPr>
        <w:t>4. Günlük, ölçüt ve iz arka uçları; hizmet seviyesi hedefleri, uyarı eşikleri, sorumlular ve müdahale kılavuzları kurulmalıdır. Hata enjeksiyonu ve kuyruk geri kazanım testi yapılmalıdır.</w:t>
      </w:r>
    </w:p>
    <w:p>
      <w:pPr>
        <w:ind w:left="432" w:hanging="346"/>
      </w:pPr>
      <w:r>
        <w:rPr>
          <w:rFonts w:ascii="Times New Roman" w:hAnsi="Times New Roman"/>
          <w:color w:val="000000"/>
        </w:rPr>
        <w:t>5. Şifreli yedekten yalıtılmış ortama geri yükleme tatbikatı yapılmalı; RPO ve RTO ölçülmelidir.</w:t>
      </w:r>
    </w:p>
    <w:p>
      <w:pPr>
        <w:ind w:left="432" w:hanging="346"/>
      </w:pPr>
      <w:r>
        <w:rPr>
          <w:rFonts w:ascii="Times New Roman" w:hAnsi="Times New Roman"/>
          <w:color w:val="000000"/>
        </w:rPr>
        <w:t xml:space="preserve">6. Güncel ve temsil gücü olan organizasyon verisinde özellik uyumu, model kayması, kalibrasyon, gecikmeli performans ve izin verilen alt grup riskleri doğrulanmalıdır. </w:t>
      </w:r>
      <w:r>
        <w:rPr>
          <w:rFonts w:ascii="Menlo" w:hAnsi="Menlo"/>
          <w:color w:val="173B52"/>
          <w:sz w:val="18"/>
        </w:rPr>
        <w:t>country</w:t>
      </w:r>
      <w:r>
        <w:rPr>
          <w:rFonts w:ascii="Times New Roman" w:hAnsi="Times New Roman"/>
          <w:color w:val="000000"/>
        </w:rPr>
        <w:t xml:space="preserve"> için güvenilir operasyonel alan, ülkesiz aday model veya tüm değerleri eksik duyarlılık testi kapısından biri tamamlanmalıdır.</w:t>
      </w:r>
    </w:p>
    <w:p>
      <w:pPr>
        <w:ind w:left="432" w:hanging="346"/>
      </w:pPr>
      <w:r>
        <w:rPr>
          <w:rFonts w:ascii="Times New Roman" w:hAnsi="Times New Roman"/>
          <w:color w:val="000000"/>
        </w:rPr>
        <w:t>7. Dış sızma testi, Meta/Google/LLM deneme ortamı testleri ve hukuki/gizlilik incelemesi tamamlanmalıdır.</w:t>
      </w:r>
    </w:p>
    <w:p>
      <w:pPr>
        <w:ind w:left="432" w:hanging="346"/>
      </w:pPr>
      <w:r>
        <w:rPr>
          <w:rFonts w:ascii="Times New Roman" w:hAnsi="Times New Roman"/>
          <w:color w:val="000000"/>
        </w:rPr>
        <w:t>8. Kampanya etkisi iddia edilecekse önceden onaylanmış randomize holdout tasarımı kullanılmalıdır; model skoru tek başına nedensel etki kanıtı değildir.</w:t>
      </w:r>
    </w:p>
    <w:p>
      <w:pPr>
        <w:pStyle w:val="Heading1"/>
      </w:pPr>
      <w:r>
        <w:t>Sonuç</w:t>
      </w:r>
    </w:p>
    <w:p>
      <w:r>
        <w:rPr>
          <w:rFonts w:ascii="Times New Roman" w:hAnsi="Times New Roman"/>
          <w:color w:val="000000"/>
        </w:rPr>
        <w:t>GrowthPilot'ın dağıtım sınırı, dondurulmuş ve SHA-256 ile doğrulanan model eserini organizasyon güvenliği içindeki FastAPI akışına bağlar. Tek müşteri ve kalıcı toplu puanlama aynı özellik, karar, model soyu ve denetim sözleşmesini kullanır. İncelemede container'ın model dosyasını sağlamaması ve Terraform arka plan çalışanının yanlış modülü başlatması iki gerçek kusur olarak bulundu. Her ikisi de kod ve test düzeyinde düzeltildi.</w:t>
      </w:r>
    </w:p>
    <w:p>
      <w:r>
        <w:rPr>
          <w:rFonts w:ascii="Times New Roman" w:hAnsi="Times New Roman"/>
          <w:color w:val="000000"/>
        </w:rPr>
        <w:t xml:space="preserve">Mevcut durum canlı bir üretim sistemi değildir. AWS kodu uygulanmamış referans mimaridir. Üretim OIDC, yönetilen izleme ve alarm, geri yükleme tatbikatı, dış sızma testi ve gerçek müşteri model performansı doğrulanmamıştır. Ayrıca </w:t>
      </w:r>
      <w:r>
        <w:rPr>
          <w:rFonts w:ascii="Menlo" w:hAnsi="Menlo"/>
          <w:color w:val="173B52"/>
          <w:sz w:val="18"/>
        </w:rPr>
        <w:t>country</w:t>
      </w:r>
      <w:r>
        <w:rPr>
          <w:rFonts w:ascii="Times New Roman" w:hAnsi="Times New Roman"/>
          <w:color w:val="000000"/>
        </w:rPr>
        <w:t xml:space="preserve"> alanındaki eğitim-sunum uyumsuzluğu giderilmeden model canlıya alınmamalıdır. Model yalnızca demo alanında karar desteği sağlar ve hiçbir skoru otomatik pazarlama yetkisine dönüştürmez.</w:t>
      </w:r>
    </w:p>
    <w:p>
      <w:pPr>
        <w:pStyle w:val="Heading1"/>
      </w:pPr>
      <w:r>
        <w:t>Kaynakça</w:t>
      </w:r>
    </w:p>
    <w:p>
      <w:pPr>
        <w:ind w:left="432" w:hanging="346"/>
      </w:pPr>
      <w:r>
        <w:rPr>
          <w:rFonts w:ascii="Times New Roman" w:hAnsi="Times New Roman"/>
          <w:color w:val="000000"/>
        </w:rPr>
        <w:t xml:space="preserve">1. GrowthPilot AI proje deposu. </w:t>
      </w:r>
      <w:r>
        <w:rPr>
          <w:rFonts w:ascii="Menlo" w:hAnsi="Menlo"/>
          <w:color w:val="173B52"/>
          <w:sz w:val="18"/>
        </w:rPr>
        <w:t>backend/app/intelligence/service.py</w:t>
      </w:r>
      <w:r>
        <w:rPr>
          <w:rFonts w:ascii="Times New Roman" w:hAnsi="Times New Roman"/>
          <w:color w:val="000000"/>
        </w:rPr>
        <w:t xml:space="preserve">, </w:t>
      </w:r>
      <w:r>
        <w:rPr>
          <w:rFonts w:ascii="Menlo" w:hAnsi="Menlo"/>
          <w:color w:val="173B52"/>
          <w:sz w:val="18"/>
        </w:rPr>
        <w:t>router.py</w:t>
      </w:r>
      <w:r>
        <w:rPr>
          <w:rFonts w:ascii="Times New Roman" w:hAnsi="Times New Roman"/>
          <w:color w:val="000000"/>
        </w:rPr>
        <w:t xml:space="preserve">, </w:t>
      </w:r>
      <w:r>
        <w:rPr>
          <w:rFonts w:ascii="Menlo" w:hAnsi="Menlo"/>
          <w:color w:val="173B52"/>
          <w:sz w:val="18"/>
        </w:rPr>
        <w:t>schemas.py</w:t>
      </w:r>
      <w:r>
        <w:rPr>
          <w:rFonts w:ascii="Times New Roman" w:hAnsi="Times New Roman"/>
          <w:color w:val="000000"/>
        </w:rPr>
        <w:t xml:space="preserve">, </w:t>
      </w:r>
      <w:r>
        <w:rPr>
          <w:rFonts w:ascii="Menlo" w:hAnsi="Menlo"/>
          <w:color w:val="173B52"/>
          <w:sz w:val="18"/>
        </w:rPr>
        <w:t>decision.py</w:t>
      </w:r>
      <w:r>
        <w:rPr>
          <w:rFonts w:ascii="Times New Roman" w:hAnsi="Times New Roman"/>
          <w:color w:val="000000"/>
        </w:rPr>
        <w:t xml:space="preserve">; </w:t>
      </w:r>
      <w:r>
        <w:rPr>
          <w:rFonts w:ascii="Menlo" w:hAnsi="Menlo"/>
          <w:color w:val="173B52"/>
          <w:sz w:val="18"/>
        </w:rPr>
        <w:t>backend/app/main.py</w:t>
      </w:r>
      <w:r>
        <w:rPr>
          <w:rFonts w:ascii="Times New Roman" w:hAnsi="Times New Roman"/>
          <w:color w:val="000000"/>
        </w:rPr>
        <w:t xml:space="preserve">; </w:t>
      </w:r>
      <w:r>
        <w:rPr>
          <w:rFonts w:ascii="Menlo" w:hAnsi="Menlo"/>
          <w:color w:val="173B52"/>
          <w:sz w:val="18"/>
        </w:rPr>
        <w:t>backend/app/identity/</w:t>
      </w:r>
      <w:r>
        <w:rPr>
          <w:rFonts w:ascii="Times New Roman" w:hAnsi="Times New Roman"/>
          <w:color w:val="000000"/>
        </w:rPr>
        <w:t xml:space="preserve">; </w:t>
      </w:r>
      <w:r>
        <w:rPr>
          <w:rFonts w:ascii="Menlo" w:hAnsi="Menlo"/>
          <w:color w:val="173B52"/>
          <w:sz w:val="18"/>
        </w:rPr>
        <w:t>backend/app/platform/</w:t>
      </w:r>
      <w:r>
        <w:rPr>
          <w:rFonts w:ascii="Times New Roman" w:hAnsi="Times New Roman"/>
          <w:color w:val="000000"/>
        </w:rPr>
        <w:t xml:space="preserve">; </w:t>
      </w:r>
      <w:r>
        <w:rPr>
          <w:rFonts w:ascii="Menlo" w:hAnsi="Menlo"/>
          <w:color w:val="173B52"/>
          <w:sz w:val="18"/>
        </w:rPr>
        <w:t>backend/migrations/sql/0007_intelligence.sql</w:t>
      </w:r>
      <w:r>
        <w:rPr>
          <w:rFonts w:ascii="Times New Roman" w:hAnsi="Times New Roman"/>
          <w:color w:val="000000"/>
        </w:rPr>
        <w:t xml:space="preserve">, </w:t>
      </w:r>
      <w:r>
        <w:rPr>
          <w:rFonts w:ascii="Menlo" w:hAnsi="Menlo"/>
          <w:color w:val="173B52"/>
          <w:sz w:val="18"/>
        </w:rPr>
        <w:t>0009_scoring_jobs.sql</w:t>
      </w:r>
      <w:r>
        <w:rPr>
          <w:rFonts w:ascii="Times New Roman" w:hAnsi="Times New Roman"/>
          <w:color w:val="000000"/>
        </w:rPr>
        <w:t xml:space="preserve">; </w:t>
      </w:r>
      <w:r>
        <w:rPr>
          <w:rFonts w:ascii="Menlo" w:hAnsi="Menlo"/>
          <w:color w:val="173B52"/>
          <w:sz w:val="18"/>
        </w:rPr>
        <w:t>infra/containers/backend.Dockerfile</w:t>
      </w:r>
      <w:r>
        <w:rPr>
          <w:rFonts w:ascii="Times New Roman" w:hAnsi="Times New Roman"/>
          <w:color w:val="000000"/>
        </w:rPr>
        <w:t xml:space="preserve">; </w:t>
      </w:r>
      <w:r>
        <w:rPr>
          <w:rFonts w:ascii="Menlo" w:hAnsi="Menlo"/>
          <w:color w:val="173B52"/>
          <w:sz w:val="18"/>
        </w:rPr>
        <w:t>infra/terraform/aws/</w:t>
      </w:r>
      <w:r>
        <w:rPr>
          <w:rFonts w:ascii="Times New Roman" w:hAnsi="Times New Roman"/>
          <w:color w:val="000000"/>
        </w:rPr>
        <w:t xml:space="preserve">; </w:t>
      </w:r>
      <w:r>
        <w:rPr>
          <w:rFonts w:ascii="Menlo" w:hAnsi="Menlo"/>
          <w:color w:val="173B52"/>
          <w:sz w:val="18"/>
        </w:rPr>
        <w:t>artifacts/ml/</w:t>
      </w:r>
      <w:r>
        <w:rPr>
          <w:rFonts w:ascii="Times New Roman" w:hAnsi="Times New Roman"/>
          <w:color w:val="000000"/>
        </w:rPr>
        <w:t xml:space="preserve">; </w:t>
      </w:r>
      <w:r>
        <w:rPr>
          <w:rFonts w:ascii="Menlo" w:hAnsi="Menlo"/>
          <w:color w:val="173B52"/>
          <w:sz w:val="18"/>
        </w:rPr>
        <w:t>scripts/refine_model.py</w:t>
      </w:r>
      <w:r>
        <w:rPr>
          <w:rFonts w:ascii="Times New Roman" w:hAnsi="Times New Roman"/>
          <w:color w:val="000000"/>
        </w:rPr>
        <w:t xml:space="preserve">, </w:t>
      </w:r>
      <w:r>
        <w:rPr>
          <w:rFonts w:ascii="Menlo" w:hAnsi="Menlo"/>
          <w:color w:val="173B52"/>
          <w:sz w:val="18"/>
        </w:rPr>
        <w:t>evaluate_final.py</w:t>
      </w:r>
      <w:r>
        <w:rPr>
          <w:rFonts w:ascii="Times New Roman" w:hAnsi="Times New Roman"/>
          <w:color w:val="000000"/>
        </w:rPr>
        <w:t xml:space="preserve">, </w:t>
      </w:r>
      <w:r>
        <w:rPr>
          <w:rFonts w:ascii="Menlo" w:hAnsi="Menlo"/>
          <w:color w:val="173B52"/>
          <w:sz w:val="18"/>
        </w:rPr>
        <w:t>register_model.py</w:t>
      </w:r>
      <w:r>
        <w:rPr>
          <w:rFonts w:ascii="Times New Roman" w:hAnsi="Times New Roman"/>
          <w:color w:val="000000"/>
        </w:rPr>
        <w:t xml:space="preserve">. </w:t>
      </w:r>
      <w:r>
        <w:rPr>
          <w:rFonts w:ascii="Menlo" w:hAnsi="Menlo"/>
          <w:color w:val="173B52"/>
          <w:sz w:val="18"/>
        </w:rPr>
        <w:t>main</w:t>
      </w:r>
      <w:r>
        <w:rPr>
          <w:rFonts w:ascii="Times New Roman" w:hAnsi="Times New Roman"/>
          <w:color w:val="000000"/>
        </w:rPr>
        <w:t xml:space="preserve"> dalı, erişim 21 Eylül 2026.</w:t>
      </w:r>
    </w:p>
    <w:p>
      <w:pPr>
        <w:ind w:left="432" w:hanging="346"/>
      </w:pPr>
      <w:r>
        <w:rPr>
          <w:rFonts w:ascii="Times New Roman" w:hAnsi="Times New Roman"/>
          <w:color w:val="000000"/>
        </w:rPr>
        <w:t>2. scikit-learn geliştiricileri. “Model persistence.” scikit-learn User Guide. https://scikit-learn.org/stable/model_persistence.html Erişim 20 Eylül 2026.</w:t>
      </w:r>
    </w:p>
    <w:p>
      <w:pPr>
        <w:ind w:left="432" w:hanging="346"/>
      </w:pPr>
      <w:r>
        <w:rPr>
          <w:rFonts w:ascii="Times New Roman" w:hAnsi="Times New Roman"/>
          <w:color w:val="000000"/>
        </w:rPr>
        <w:t>3. FastAPI. “Deployments Concepts” ve “FastAPI in Containers Docker.” https://fastapi.tiangolo.com/deployment/concepts/ ve https://fastapi.tiangolo.com/deployment/docker/ Erişim 20 Eylül 2026.</w:t>
      </w:r>
    </w:p>
    <w:p>
      <w:pPr>
        <w:ind w:left="432" w:hanging="346"/>
      </w:pPr>
      <w:r>
        <w:rPr>
          <w:rFonts w:ascii="Times New Roman" w:hAnsi="Times New Roman"/>
          <w:color w:val="000000"/>
        </w:rPr>
        <w:t>4. PostgreSQL Global Development Group. “Row Security Policies.” https://www.postgresql.org/docs/current/ddl-rowsecurity.html Erişim 20 Eylül 2026.</w:t>
      </w:r>
    </w:p>
    <w:p>
      <w:pPr>
        <w:ind w:left="432" w:hanging="346"/>
      </w:pPr>
      <w:r>
        <w:rPr>
          <w:rFonts w:ascii="Times New Roman" w:hAnsi="Times New Roman"/>
          <w:color w:val="000000"/>
        </w:rPr>
        <w:t>5. Prometheus Authors. “Instrumentation.” https://prometheus.io/docs/practices/instrumentation/ Erişim 20 Eylül 2026.</w:t>
      </w:r>
    </w:p>
    <w:p>
      <w:pPr>
        <w:ind w:left="432" w:hanging="346"/>
      </w:pPr>
      <w:r>
        <w:rPr>
          <w:rFonts w:ascii="Times New Roman" w:hAnsi="Times New Roman"/>
          <w:color w:val="000000"/>
        </w:rPr>
        <w:t>6. OpenTelemetry Authors. “Traces.” https://opentelemetry.io/docs/concepts/signals/traces/ Erişim 20 Eylül 2026.</w:t>
      </w:r>
    </w:p>
    <w:p>
      <w:pPr>
        <w:ind w:left="432" w:hanging="346"/>
      </w:pPr>
      <w:r>
        <w:rPr>
          <w:rFonts w:ascii="Times New Roman" w:hAnsi="Times New Roman"/>
          <w:color w:val="000000"/>
        </w:rPr>
        <w:t>7. OWASP Foundation. “OWASP Top 10 API Security Risks 2023.” https://owasp.org/API-Security/editions/2023/en/0x11-t10/ Erişim 20 Eylül 2026.</w:t>
      </w:r>
    </w:p>
    <w:p>
      <w:pPr>
        <w:ind w:left="432" w:hanging="346"/>
      </w:pPr>
      <w:r>
        <w:rPr>
          <w:rFonts w:ascii="Times New Roman" w:hAnsi="Times New Roman"/>
          <w:color w:val="000000"/>
        </w:rPr>
        <w:t>8. National Institute of Standards and Technology. “AI Risk Management Framework.” https://www.nist.gov/itl/ai-risk-management-framework Erişim 20 Eylül 2026.</w:t>
      </w:r>
    </w:p>
    <w:p>
      <w:pPr>
        <w:ind w:left="432" w:hanging="346"/>
      </w:pPr>
      <w:r>
        <w:rPr>
          <w:rFonts w:ascii="Times New Roman" w:hAnsi="Times New Roman"/>
          <w:color w:val="000000"/>
        </w:rPr>
        <w:t>9. Amazon Web Services. “Architect for AWS Fargate for Amazon ECS” ve “Encrypting Amazon RDS resources.” https://docs.aws.amazon.com/AmazonECS/latest/developerguide/AWS_Fargate.html ve https://docs.aws.amazon.com/AmazonRDS/latest/UserGuide/Overview.Encryption.html Erişim 20 Eylül 2026.</w:t>
      </w:r>
    </w:p>
    <w:p>
      <w:pPr>
        <w:ind w:left="432" w:hanging="346"/>
      </w:pPr>
      <w:r>
        <w:rPr>
          <w:rFonts w:ascii="Times New Roman" w:hAnsi="Times New Roman"/>
          <w:color w:val="000000"/>
        </w:rPr>
        <w:t>10. Amazon Web Services. “At-Rest Encryption in ElastiCache” ve “Using server-side encryption with AWS KMS keys.” https://docs.aws.amazon.com/AmazonElastiCache/latest/dg/at-rest-encryption.html ve https://docs.aws.amazon.com/AmazonS3/latest/userguide/UsingKMSEncryption.html Erişim 20 Eylül 2026.</w:t>
      </w:r>
    </w:p>
    <w:p>
      <w:pPr>
        <w:pStyle w:val="Heading1"/>
      </w:pPr>
      <w:r>
        <w:t>Ek A Teknik doğrulama özeti</w:t>
      </w:r>
    </w:p>
    <w:p>
      <w:r>
        <w:rPr>
          <w:rFonts w:ascii="Times New Roman" w:hAnsi="Times New Roman"/>
          <w:color w:val="000000"/>
        </w:rPr>
        <w:t>Model dosyasının SHA-256 değeri doğrudan yeniden hesaplanmış ve manifestle eşleştirilmiştir. Kod, veritabanı geçişleri, API şemaları, Terraform kaynakları, Dockerfile ve testler incelenmiştir. Son kalite kapısında Ruff, biçim kontrolü, strict mypy ve backend testleri; ayrıca Terraform biçim ve yapılandırma doğrulaması yeniden çalıştırılmıştır. Bu sonuçlar yerel ve statik doğrulama kanıtıdır; canlı ortam dağıtımı kanıtı değildir.</w:t>
      </w:r>
    </w:p>
    <w:sectPr w:rsidR="000868C1" w:rsidSect="004C099D">
      <w:headerReference w:type="default" r:id="rId6"/>
      <w:footerReference w:type="default" r:id="rId7"/>
      <w:pgSz w:w="11909" w:h="16834"/>
      <w:pgMar w:top="1411" w:right="1411" w:bottom="1411" w:left="1411" w:header="504" w:footer="50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B6870"/>
        <w:sz w:val="16"/>
      </w:rPr>
      <w:t xml:space="preserve">Şahin Başcı  •  Sayfa </w:t>
    </w:r>
    <w:r>
      <w:fldChar w:fldCharType="begin"/>
      <w:instrText xml:space="preserve">PAGE</w:instrText>
      <w:fldChar w:fldCharType="separate"/>
      <w:fldChar w:fldCharType="end"/>
    </w:r>
    <w:r>
      <w:rPr>
        <w:rFonts w:ascii="Times New Roman" w:hAnsi="Times New Roman"/>
        <w:color w:val="5B6870"/>
        <w:sz w:val="16"/>
      </w:rPr>
      <w:t xml:space="preserve"> /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color w:val="5B6870"/>
        <w:sz w:val="16"/>
      </w:rPr>
      <w:t>GROWTHPILOT AI  |  MODEL DAĞITIMI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BA"/>
    <w:rsid w:val="000868C1"/>
    <w:rsid w:val="004C099D"/>
    <w:rsid w:val="005D4CFD"/>
    <w:rsid w:val="0064199C"/>
    <w:rsid w:val="006433C8"/>
    <w:rsid w:val="00D364E2"/>
    <w:rsid w:val="00E93AB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604B"/>
  <w15:chartTrackingRefBased/>
  <w15:docId w15:val="{FB75CDC4-7C3B-4D12-AF52-BCF306B4237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Times New Roman" w:hAnsi="Times New Roman"/>
      <w:color w:val="000000"/>
      <w:sz w:val="23"/>
    </w:rPr>
  </w:style>
  <w:style w:type="paragraph" w:styleId="Heading1">
    <w:name w:val="heading 1"/>
    <w:basedOn w:val="Normal"/>
    <w:link w:val="Heading1Char"/>
    <w:uiPriority w:val="9"/>
    <w:qFormat/>
    <w:rsid w:val="005D4CFD"/>
    <w:pPr>
      <w:keepNext/>
      <w:spacing w:before="300" w:beforeAutospacing="1" w:after="140" w:afterAutospacing="1" w:line="240" w:lineRule="auto"/>
      <w:outlineLvl w:val="0"/>
    </w:pPr>
    <w:rPr>
      <w:rFonts w:ascii="Times New Roman" w:eastAsia="Times New Roman" w:hAnsi="Times New Roman" w:cs="Times New Roman"/>
      <w:b/>
      <w:bCs/>
      <w:color w:val="000000"/>
      <w:kern w:val="36"/>
      <w:sz w:val="28"/>
      <w:szCs w:val="48"/>
      <w14:ligatures w14:val="none"/>
    </w:rPr>
  </w:style>
  <w:style w:type="paragraph" w:styleId="Heading2">
    <w:name w:val="heading 2"/>
    <w:basedOn w:val="Normal"/>
    <w:link w:val="Heading2Char"/>
    <w:uiPriority w:val="9"/>
    <w:qFormat/>
    <w:rsid w:val="005D4CFD"/>
    <w:pPr>
      <w:keepNext/>
      <w:spacing w:before="220" w:beforeAutospacing="1" w:after="100" w:afterAutospacing="1" w:line="240" w:lineRule="auto"/>
      <w:outlineLvl w:val="1"/>
    </w:pPr>
    <w:rPr>
      <w:rFonts w:ascii="Times New Roman" w:eastAsia="Times New Roman" w:hAnsi="Times New Roman" w:cs="Times New Roman"/>
      <w:b/>
      <w:bCs/>
      <w:color w:val="000000"/>
      <w:kern w:val="0"/>
      <w:sz w:val="25"/>
      <w:szCs w:val="36"/>
      <w14:ligatures w14:val="none"/>
    </w:rPr>
  </w:style>
  <w:style w:type="paragraph" w:styleId="Heading3">
    <w:name w:val="heading 3"/>
    <w:basedOn w:val="Normal"/>
    <w:link w:val="Heading3Char"/>
    <w:uiPriority w:val="9"/>
    <w:qFormat/>
    <w:rsid w:val="005D4CFD"/>
    <w:pPr>
      <w:keepNext/>
      <w:spacing w:before="160" w:beforeAutospacing="1" w:after="80" w:afterAutospacing="1" w:line="240" w:lineRule="auto"/>
      <w:outlineLvl w:val="2"/>
    </w:pPr>
    <w:rPr>
      <w:rFonts w:ascii="Times New Roman" w:eastAsia="Times New Roman" w:hAnsi="Times New Roman" w:cs="Times New Roman"/>
      <w:b/>
      <w:bCs/>
      <w:color w:val="000000"/>
      <w:kern w:val="0"/>
      <w:sz w:val="23"/>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CF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D4CF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D4CF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D4C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
    <w:name w:val="Title"/>
    <w:pPr>
      <w:spacing w:after="200"/>
    </w:pPr>
    <w:rPr>
      <w:rFonts w:ascii="Times New Roman" w:hAnsi="Times New Roman"/>
      <w:b/>
      <w:color w:val="000000"/>
      <w:sz w:val="48"/>
    </w:rPr>
  </w:style>
  <w:style w:type="paragraph" w:customStyle="1" w:styleId="DeploymentCode">
    <w:name w:val="Deployment Code"/>
    <w:basedOn w:val="Normal"/>
    <w:pPr>
      <w:spacing w:before="80" w:after="140" w:line="240" w:lineRule="auto"/>
      <w:ind w:left="259" w:right="173"/>
    </w:pPr>
    <w:rPr>
      <w:rFonts w:ascii="Menlo" w:hAnsi="Menlo"/>
      <w:color w:val="173B52"/>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2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962</Characters>
  <Application>Microsoft Office Word</Application>
  <DocSecurity>0</DocSecurity>
  <Lines>8</Lines>
  <Paragraphs>2</Paragraphs>
  <ScaleCrop>false</ScaleCrop>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Makine Öğrenmesi Proje Dokümantasyonu Model Dağıtımı</dc:title>
  <dc:subject>Samsung Innovation Campus Model Deployment Submission</dc:subject>
  <dc:creator>Şahin Başcı</dc:creator>
  <cp:keywords>GrowthPilot AI, model deployment, FastAPI, MLOps</cp:keywords>
  <dc:description/>
  <cp:lastModifiedBy>EDA NUR SARUHAN</cp:lastModifiedBy>
  <cp:revision>2</cp:revision>
  <dcterms:created xsi:type="dcterms:W3CDTF">2023-11-28T06:48:00Z</dcterms:created>
  <dcterms:modified xsi:type="dcterms:W3CDTF">2023-11-28T06:49:00Z</dcterms:modified>
</cp:coreProperties>
</file>