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80"/>
      </w:pPr>
      <w:r>
        <w:rPr>
          <w:rFonts w:ascii="Calibri" w:hAnsi="Calibri"/>
          <w:b/>
          <w:color w:val="173B32"/>
          <w:sz w:val="46"/>
        </w:rPr>
        <w:t>Data Preparation, Feature Engineering and Model Exploration</w:t>
      </w:r>
    </w:p>
    <w:p>
      <w:pPr>
        <w:spacing w:after="280"/>
      </w:pPr>
      <w:r>
        <w:rPr>
          <w:rFonts w:ascii="Calibri" w:hAnsi="Calibri"/>
          <w:color w:val="547068"/>
          <w:sz w:val="27"/>
        </w:rPr>
        <w:t>Reproducible temporal customer modeling for future-purchase inactivity</w:t>
      </w:r>
    </w:p>
    <w:p>
      <w:pPr>
        <w:spacing w:after="40"/>
      </w:pPr>
      <w:r>
        <w:rPr>
          <w:rFonts w:ascii="Calibri" w:hAnsi="Calibri"/>
          <w:b/>
          <w:color w:val="173B32"/>
          <w:sz w:val="21"/>
        </w:rPr>
        <w:t xml:space="preserve">Course: </w:t>
      </w:r>
      <w:r>
        <w:rPr>
          <w:rFonts w:ascii="Calibri" w:hAnsi="Calibri"/>
          <w:color w:val="000000"/>
          <w:sz w:val="21"/>
        </w:rPr>
        <w:t>Samsung Innovation Campus — AI in Marketing Capstone</w:t>
      </w:r>
    </w:p>
    <w:p>
      <w:pPr>
        <w:spacing w:after="40"/>
      </w:pPr>
      <w:r>
        <w:rPr>
          <w:rFonts w:ascii="Calibri" w:hAnsi="Calibri"/>
          <w:b/>
          <w:color w:val="173B32"/>
          <w:sz w:val="21"/>
        </w:rPr>
        <w:t xml:space="preserve">Team: </w:t>
      </w:r>
      <w:r>
        <w:rPr>
          <w:rFonts w:ascii="Calibri" w:hAnsi="Calibri"/>
          <w:color w:val="000000"/>
          <w:sz w:val="21"/>
        </w:rPr>
        <w:t>Group 7</w:t>
      </w:r>
    </w:p>
    <w:p>
      <w:pPr>
        <w:spacing w:after="40"/>
      </w:pPr>
      <w:r>
        <w:rPr>
          <w:rFonts w:ascii="Calibri" w:hAnsi="Calibri"/>
          <w:b/>
          <w:color w:val="173B32"/>
          <w:sz w:val="21"/>
        </w:rPr>
        <w:t xml:space="preserve">Project: </w:t>
      </w:r>
      <w:r>
        <w:rPr>
          <w:rFonts w:ascii="Calibri" w:hAnsi="Calibri"/>
          <w:color w:val="000000"/>
          <w:sz w:val="21"/>
        </w:rPr>
        <w:t>GrowthPilot AI</w:t>
      </w:r>
    </w:p>
    <w:p>
      <w:pPr>
        <w:spacing w:after="40"/>
      </w:pPr>
      <w:r>
        <w:rPr>
          <w:rFonts w:ascii="Calibri" w:hAnsi="Calibri"/>
          <w:b/>
          <w:color w:val="173B32"/>
          <w:sz w:val="21"/>
        </w:rPr>
        <w:t xml:space="preserve">Prepared by: </w:t>
      </w:r>
      <w:r>
        <w:rPr>
          <w:rFonts w:ascii="Calibri" w:hAnsi="Calibri"/>
          <w:color w:val="000000"/>
          <w:sz w:val="21"/>
        </w:rPr>
        <w:t>Şahin Başcı</w:t>
      </w:r>
    </w:p>
    <w:p>
      <w:pPr>
        <w:spacing w:after="40"/>
      </w:pPr>
      <w:r>
        <w:rPr>
          <w:rFonts w:ascii="Calibri" w:hAnsi="Calibri"/>
          <w:b/>
          <w:color w:val="173B32"/>
          <w:sz w:val="21"/>
        </w:rPr>
        <w:t xml:space="preserve">Date: </w:t>
      </w:r>
      <w:r>
        <w:rPr>
          <w:rFonts w:ascii="Calibri" w:hAnsi="Calibri"/>
          <w:color w:val="000000"/>
          <w:sz w:val="21"/>
        </w:rPr>
        <w:t>9 September 2026</w:t>
      </w:r>
    </w:p>
    <w:p>
      <w:pPr>
        <w:spacing w:after="40"/>
      </w:pPr>
      <w:r>
        <w:rPr>
          <w:rFonts w:ascii="Calibri" w:hAnsi="Calibri"/>
          <w:b/>
          <w:color w:val="173B32"/>
          <w:sz w:val="21"/>
        </w:rPr>
        <w:t xml:space="preserve">Status: </w:t>
      </w:r>
      <w:r>
        <w:rPr>
          <w:rFonts w:ascii="Calibri" w:hAnsi="Calibri"/>
          <w:color w:val="000000"/>
          <w:sz w:val="21"/>
        </w:rPr>
        <w:t>Final local academic package</w:t>
      </w:r>
    </w:p>
    <w:p>
      <w:pPr>
        <w:spacing w:after="240"/>
        <w:pBdr>
          <w:bottom w:val="single" w:sz="12" w:space="6" w:color="1E5A49"/>
        </w:pBdr>
      </w:pPr>
    </w:p>
    <w:p>
      <w:pPr>
        <w:shd w:fill="E8F1ED"/>
        <w:spacing w:before="80" w:after="0"/>
        <w:ind w:left="115" w:right="115"/>
      </w:pPr>
      <w:r>
        <w:rPr>
          <w:rFonts w:ascii="Calibri" w:hAnsi="Calibri"/>
          <w:b/>
          <w:color w:val="173B32"/>
          <w:sz w:val="19"/>
        </w:rPr>
        <w:t>AI AUTHORSHIP DISCLOSURE — This document was drafted with OpenAI Codex/ChatGPT assistance and checked against repository evidence. Reported project metrics come from executed, versioned artifacts; external claims are cited. Human review remains required.</w:t>
      </w:r>
    </w:p>
    <w:p/>
    <w:p>
      <w:pPr>
        <w:pStyle w:val="Heading1"/>
      </w:pPr>
      <w:r>
        <w:t>Part I — Data preparation and feature engineering</w:t>
      </w:r>
    </w:p>
    <w:p>
      <w:pPr>
        <w:pStyle w:val="Heading2"/>
      </w:pPr>
      <w:r>
        <w:t>1. Overview and collection</w:t>
      </w:r>
    </w:p>
    <w:p>
      <w:r>
        <w:t>The pipeline downloads UCI Online Retail II from its stable repository URL, verifies SHA-256 572e36277c2390fbfde10664750731e0a86f55e33470d91919085f0408e67bfb, profiles both worksheets and writes deterministic reports. Raw and customer-level prepared files are local/ignored; aggregate evidence and scripts are versioned.</w:t>
      </w:r>
    </w:p>
    <w:p>
      <w:pPr>
        <w:pStyle w:val="Heading2"/>
      </w:pPr>
      <w:r>
        <w:t>2. Cleaning and validation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400"/>
        <w:gridCol w:w="44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B32"/>
                <w:sz w:val="19"/>
              </w:rPr>
              <w:t>Step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B32"/>
                <w:sz w:val="19"/>
              </w:rPr>
              <w:t>Rows / rule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B32"/>
                <w:sz w:val="19"/>
              </w:rPr>
              <w:t>Rationale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Raw input</w:t>
            </w:r>
          </w:p>
        </w:tc>
        <w:tc>
          <w:tcPr>
            <w:tcW w:type="dxa" w:w="24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1,067,371</w:t>
            </w:r>
          </w:p>
        </w:tc>
        <w:tc>
          <w:tcPr>
            <w:tcW w:type="dxa" w:w="44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Preserved external-source evidence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Exact duplicate removal</w:t>
            </w:r>
          </w:p>
        </w:tc>
        <w:tc>
          <w:tcPr>
            <w:tcW w:type="dxa" w:w="24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34,335 removed</w:t>
            </w:r>
          </w:p>
        </w:tc>
        <w:tc>
          <w:tcPr>
            <w:tcW w:type="dxa" w:w="44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Avoid repeated identical transaction lines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Identity/date usability</w:t>
            </w:r>
          </w:p>
        </w:tc>
        <w:tc>
          <w:tcPr>
            <w:tcW w:type="dxa" w:w="24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235,151 excluded</w:t>
            </w:r>
          </w:p>
        </w:tc>
        <w:tc>
          <w:tcPr>
            <w:tcW w:type="dxa" w:w="44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Customer snapshots require stable ID and time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Normalized retained rows</w:t>
            </w:r>
          </w:p>
        </w:tc>
        <w:tc>
          <w:tcPr>
            <w:tcW w:type="dxa" w:w="24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797,885</w:t>
            </w:r>
          </w:p>
        </w:tc>
        <w:tc>
          <w:tcPr>
            <w:tcW w:type="dxa" w:w="44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Canonical names/types after deterministic rules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Eligible purchase event</w:t>
            </w:r>
          </w:p>
        </w:tc>
        <w:tc>
          <w:tcPr>
            <w:tcW w:type="dxa" w:w="24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Positive quantity and price; non-cancellation; pre-cutoff</w:t>
            </w:r>
          </w:p>
        </w:tc>
        <w:tc>
          <w:tcPr>
            <w:tcW w:type="dxa" w:w="44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Separate purchases from returns/cancellations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Calibri" w:hAnsi="Calibri"/>
          <w:i/>
          <w:color w:val="547068"/>
          <w:sz w:val="17"/>
        </w:rPr>
        <w:t>Evidence class: project-generated from artifacts/reports/data_preparation.json.</w:t>
      </w:r>
    </w:p>
    <w:p>
      <w:r>
        <w:t>Missing customer identifiers are not imputed because arbitrary identity assignment would create false histories. Missing descriptions do not block customer-level behavior features. Nonpositive quantity/price and cancellation invoices are excluded from eligible purchase events but remain part of source-quality evidence. Monetary outliers are not winsorized before aggregation; log1p and standardized transformations reduce scale dominance inside fitted pipelines.</w:t>
      </w:r>
    </w:p>
    <w:p>
      <w:pPr>
        <w:pStyle w:val="Heading2"/>
      </w:pPr>
      <w:r>
        <w:t>3. Temporal snapshots and leakage prevention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1800"/>
        <w:gridCol w:w="26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B32"/>
                <w:sz w:val="19"/>
              </w:rPr>
              <w:t>Split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B32"/>
                <w:sz w:val="19"/>
              </w:rPr>
              <w:t>Cutoff(s)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B32"/>
                <w:sz w:val="19"/>
              </w:rPr>
              <w:t>Rows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B32"/>
                <w:sz w:val="19"/>
              </w:rPr>
              <w:t>Inactivity rate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Training</w:t>
            </w:r>
          </w:p>
        </w:tc>
        <w:tc>
          <w:tcPr>
            <w:tcW w:type="dxa" w:w="30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2010-06-01 monthly through 2010-12-01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20,677</w:t>
            </w:r>
          </w:p>
        </w:tc>
        <w:tc>
          <w:tcPr>
            <w:tcW w:type="dxa" w:w="26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0.483823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Validation</w:t>
            </w:r>
          </w:p>
        </w:tc>
        <w:tc>
          <w:tcPr>
            <w:tcW w:type="dxa" w:w="30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2011-03-01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3,349</w:t>
            </w:r>
          </w:p>
        </w:tc>
        <w:tc>
          <w:tcPr>
            <w:tcW w:type="dxa" w:w="26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0.577187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Calibration</w:t>
            </w:r>
          </w:p>
        </w:tc>
        <w:tc>
          <w:tcPr>
            <w:tcW w:type="dxa" w:w="30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2011-06-01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2,659</w:t>
            </w:r>
          </w:p>
        </w:tc>
        <w:tc>
          <w:tcPr>
            <w:tcW w:type="dxa" w:w="26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0.499436</w:t>
            </w:r>
          </w:p>
        </w:tc>
      </w:tr>
      <w:tr>
        <w:tc>
          <w:tcPr>
            <w:tcW w:type="dxa" w:w="19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Final test</w:t>
            </w:r>
          </w:p>
        </w:tc>
        <w:tc>
          <w:tcPr>
            <w:tcW w:type="dxa" w:w="30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2011-09-01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2,772</w:t>
            </w:r>
          </w:p>
        </w:tc>
        <w:tc>
          <w:tcPr>
            <w:tcW w:type="dxa" w:w="26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Sealed until final evaluation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Calibri" w:hAnsi="Calibri"/>
          <w:i/>
          <w:color w:val="547068"/>
          <w:sz w:val="17"/>
        </w:rPr>
        <w:t>All features use events strictly before the cutoff; each 90-day label window is fully observed.</w:t>
      </w:r>
    </w:p>
    <w:p>
      <w:pPr>
        <w:pStyle w:val="Heading2"/>
      </w:pPr>
      <w:r>
        <w:t>4. EDA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2286000"/>
            <wp:docPr id="1" name="Picture 1" descr="Figure 1. Label prevalence and recency across training snapshots." title="Fig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label_rec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i/>
          <w:color w:val="547068"/>
          <w:sz w:val="18"/>
        </w:rPr>
        <w:t>Figure 1. Label prevalence and recency across training snapshots.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2286000"/>
            <wp:docPr id="2" name="Picture 2" descr="Figure 2. Frequency and spend distributions support transformed modeling." title="Fig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frequency_sp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i/>
          <w:color w:val="547068"/>
          <w:sz w:val="18"/>
        </w:rPr>
        <w:t>Figure 2. Frequency and spend distributions support transformed modeling.</w:t>
      </w:r>
    </w:p>
    <w:p>
      <w:r>
        <w:t>Training contains 20,677 customer snapshots with 48.3823% inactivity labels. Validation has 3,349 rows with 57.7187% inactivity. The prevalence shift is one reason accuracy is unsuitable as the primary measure. Skew and repeat observations also motivate time-based evaluation and customer-behavior aggregates rather than random line-level splitting.</w:t>
      </w:r>
    </w:p>
    <w:p>
      <w:pPr>
        <w:pStyle w:val="Heading2"/>
      </w:pPr>
      <w:r>
        <w:t>5. Feature design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39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B32"/>
                <w:sz w:val="19"/>
              </w:rPr>
              <w:t>Feature family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B32"/>
                <w:sz w:val="19"/>
              </w:rPr>
              <w:t>Examples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B32"/>
                <w:sz w:val="19"/>
              </w:rPr>
              <w:t>Rationale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Recency/tenure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recency_days, tenure_days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How recently and how long the relationship has existed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Frequency/cadence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invoice_count, active_days, mean/median/max gap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Repeat behavior and purchase periodicity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Monetary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gross/net spend, average order value, return value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Commercial magnitude and reversal behavior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Product breadth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distinct products, quantity, basket breadth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Depth and diversity of engagement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Windowed behavior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30/60/90-day counts/spend; trend deltas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Recent acceleration or decline before cutoff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Context</w:t>
            </w:r>
          </w:p>
        </w:tc>
        <w:tc>
          <w:tcPr>
            <w:tcW w:type="dxa" w:w="3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country and snapshot month</w:t>
            </w:r>
          </w:p>
        </w:tc>
        <w:tc>
          <w:tcPr>
            <w:tcW w:type="dxa" w:w="39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Market/time context, encoded inside the pipeline</w:t>
            </w:r>
          </w:p>
        </w:tc>
      </w:tr>
    </w:tbl>
    <w:p>
      <w:pPr>
        <w:spacing w:after="40"/>
      </w:pPr>
    </w:p>
    <w:p>
      <w:pPr>
        <w:pStyle w:val="Heading2"/>
      </w:pPr>
      <w:r>
        <w:t>6. Scaling, normalization and encoding</w:t>
      </w:r>
    </w:p>
    <w:p>
      <w:r>
        <w:t>The scikit-learn ColumnTransformer fits preprocessing only on training data. Numeric columns use median imputation, log1p where defined and StandardScaler for logistic regression. Categorical values use most-frequent imputation and one-hot encoding with unknown-category tolerance. Tree candidates use compatible encoded input without assuming that scaling improves trees.</w:t>
      </w:r>
    </w:p>
    <w:p>
      <w:pPr>
        <w:pStyle w:val="AcademicCode"/>
        <w:shd w:fill="F7F9F8"/>
      </w:pPr>
      <w:r>
        <w:rPr>
          <w:rFonts w:ascii="Menlo" w:hAnsi="Menlo"/>
          <w:color w:val="173B32"/>
          <w:sz w:val="17"/>
        </w:rPr>
        <w:t>numeric = Pipeline([</w:t>
        <w:br/>
        <w:t xml:space="preserve">    ('impute', SimpleImputer(strategy='median')),</w:t>
        <w:br/>
        <w:t xml:space="preserve">    ('scale', StandardScaler()),</w:t>
        <w:br/>
        <w:t>])</w:t>
        <w:br/>
        <w:t>categorical = Pipeline([</w:t>
        <w:br/>
        <w:t xml:space="preserve">    ('impute', SimpleImputer(strategy='most_frequent')),</w:t>
        <w:br/>
        <w:t xml:space="preserve">    ('onehot', OneHotEncoder(handle_unknown='ignore')),</w:t>
        <w:br/>
        <w:t>])</w:t>
        <w:br/>
        <w:t>model = Pipeline([('preprocess', ColumnTransformer(...)),</w:t>
        <w:br/>
        <w:t xml:space="preserve">                  ('classifier', LogisticRegression(C=0.01, max_iter=2000))])</w:t>
      </w:r>
    </w:p>
    <w:p>
      <w:pPr>
        <w:pStyle w:val="Heading1"/>
      </w:pPr>
      <w:r>
        <w:t>Part II — Model exploration</w:t>
      </w:r>
    </w:p>
    <w:p>
      <w:pPr>
        <w:pStyle w:val="Heading2"/>
      </w:pPr>
      <w:r>
        <w:t>1. Candidate selection rationale</w:t>
      </w:r>
    </w:p>
    <w:p>
      <w:r>
        <w:t>The recency heuristic is a business baseline; the dummy prior detects whether a model adds ranking information. Logistic regression is transparent, fast and regularizable. Random forest captures nonlinear interactions with modest preprocessing. LightGBM is an efficient boosted-tree challenger. The concept deck anticipated LightGBM, but the experiment did not privilege it: validation PR-AUC selected logistic regression.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500"/>
        <w:gridCol w:w="37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B32"/>
                <w:sz w:val="19"/>
              </w:rPr>
              <w:t>Candidate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B32"/>
                <w:sz w:val="19"/>
              </w:rPr>
              <w:t>Strength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B32"/>
                <w:sz w:val="19"/>
              </w:rPr>
              <w:t>Weakness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Recency heuristic</w:t>
            </w:r>
          </w:p>
        </w:tc>
        <w:tc>
          <w:tcPr>
            <w:tcW w:type="dxa" w:w="35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Simple, explainable business reference</w:t>
            </w:r>
          </w:p>
        </w:tc>
        <w:tc>
          <w:tcPr>
            <w:tcW w:type="dxa" w:w="37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Ignores frequency, value and cadence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Dummy prior</w:t>
            </w:r>
          </w:p>
        </w:tc>
        <w:tc>
          <w:tcPr>
            <w:tcW w:type="dxa" w:w="35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Calibration/prevalence sanity check</w:t>
            </w:r>
          </w:p>
        </w:tc>
        <w:tc>
          <w:tcPr>
            <w:tcW w:type="dxa" w:w="37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No individualized ranking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Logistic regression</w:t>
            </w:r>
          </w:p>
        </w:tc>
        <w:tc>
          <w:tcPr>
            <w:tcW w:type="dxa" w:w="35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Transparent, efficient, stable regularization</w:t>
            </w:r>
          </w:p>
        </w:tc>
        <w:tc>
          <w:tcPr>
            <w:tcW w:type="dxa" w:w="37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Linear log-odds boundary; encoded interactions limited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Random forest</w:t>
            </w:r>
          </w:p>
        </w:tc>
        <w:tc>
          <w:tcPr>
            <w:tcW w:type="dxa" w:w="35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Nonlinear interactions and robustness</w:t>
            </w:r>
          </w:p>
        </w:tc>
        <w:tc>
          <w:tcPr>
            <w:tcW w:type="dxa" w:w="37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Larger model; probability calibration may degrade</w:t>
            </w:r>
          </w:p>
        </w:tc>
      </w:tr>
      <w:tr>
        <w:tc>
          <w:tcPr>
            <w:tcW w:type="dxa" w:w="21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LightGBM</w:t>
            </w:r>
          </w:p>
        </w:tc>
        <w:tc>
          <w:tcPr>
            <w:tcW w:type="dxa" w:w="35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Strong nonlinear tabular learner</w:t>
            </w:r>
          </w:p>
        </w:tc>
        <w:tc>
          <w:tcPr>
            <w:tcW w:type="dxa" w:w="37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More tuning/interpretation complexity and overfit risk</w:t>
            </w:r>
          </w:p>
        </w:tc>
      </w:tr>
    </w:tbl>
    <w:p>
      <w:pPr>
        <w:spacing w:after="40"/>
      </w:pPr>
    </w:p>
    <w:p>
      <w:pPr>
        <w:pStyle w:val="Heading2"/>
      </w:pPr>
      <w:r>
        <w:t>2. Training, hyperparameters and validation</w:t>
      </w:r>
    </w:p>
    <w:p>
      <w:r>
        <w:t>Candidate preprocessing and models are fit on seven pre-test training cutoffs. Model family is selected by the single 2011-03-01 validation snapshot. A later 2011-06-01 calibration snapshot is reserved for sigmoid probability calibration and the operational threshold; the final 2011-09-01 cutoff is never used during exploration.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160"/>
        <w:gridCol w:w="1500"/>
        <w:gridCol w:w="1400"/>
        <w:gridCol w:w="1400"/>
        <w:gridCol w:w="16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B32"/>
                <w:sz w:val="19"/>
              </w:rPr>
              <w:t>Model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B32"/>
                <w:sz w:val="19"/>
              </w:rPr>
              <w:t>Key parameters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B32"/>
                <w:sz w:val="19"/>
              </w:rPr>
              <w:t>Validation PR-AUC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B32"/>
                <w:sz w:val="19"/>
              </w:rPr>
              <w:t>ROC-AUC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B32"/>
                <w:sz w:val="19"/>
              </w:rPr>
              <w:t>Brier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B32"/>
                <w:sz w:val="19"/>
              </w:rPr>
              <w:t>Top-10% lift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Recency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clip(recency/180)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0.715529</w:t>
            </w:r>
          </w:p>
        </w:tc>
        <w:tc>
          <w:tcPr>
            <w:tcW w:type="dxa" w:w="14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0.689417</w:t>
            </w:r>
          </w:p>
        </w:tc>
        <w:tc>
          <w:tcPr>
            <w:tcW w:type="dxa" w:w="14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0.248166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1.292940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Dummy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prior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0.577187</w:t>
            </w:r>
          </w:p>
        </w:tc>
        <w:tc>
          <w:tcPr>
            <w:tcW w:type="dxa" w:w="14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0.500000</w:t>
            </w:r>
          </w:p>
        </w:tc>
        <w:tc>
          <w:tcPr>
            <w:tcW w:type="dxa" w:w="14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0.244072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0.961948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Logistic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C=1.0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0.805322</w:t>
            </w:r>
          </w:p>
        </w:tc>
        <w:tc>
          <w:tcPr>
            <w:tcW w:type="dxa" w:w="14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0.782819</w:t>
            </w:r>
          </w:p>
        </w:tc>
        <w:tc>
          <w:tcPr>
            <w:tcW w:type="dxa" w:w="14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0.213300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1.510154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Random forest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300 trees; leaf=10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0.803517</w:t>
            </w:r>
          </w:p>
        </w:tc>
        <w:tc>
          <w:tcPr>
            <w:tcW w:type="dxa" w:w="14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0.782053</w:t>
            </w:r>
          </w:p>
        </w:tc>
        <w:tc>
          <w:tcPr>
            <w:tcW w:type="dxa" w:w="14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0.195463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1.520498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LightGBM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300 trees; lr=.05; leaves=31</w:t>
            </w:r>
          </w:p>
        </w:tc>
        <w:tc>
          <w:tcPr>
            <w:tcW w:type="dxa" w:w="15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0.805223</w:t>
            </w:r>
          </w:p>
        </w:tc>
        <w:tc>
          <w:tcPr>
            <w:tcW w:type="dxa" w:w="14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0.776941</w:t>
            </w:r>
          </w:p>
        </w:tc>
        <w:tc>
          <w:tcPr>
            <w:tcW w:type="dxa" w:w="14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0.200875</w:t>
            </w:r>
          </w:p>
        </w:tc>
        <w:tc>
          <w:tcPr>
            <w:tcW w:type="dxa" w:w="16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color w:val="000000"/>
                <w:sz w:val="18"/>
              </w:rPr>
              <w:t>1.546357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Calibri" w:hAnsi="Calibri"/>
          <w:i/>
          <w:color w:val="547068"/>
          <w:sz w:val="17"/>
        </w:rPr>
        <w:t>Selection metric: validation PR-AUC. Initial winner: logistic regression.</w:t>
      </w:r>
    </w:p>
    <w:p>
      <w:pPr>
        <w:pStyle w:val="Heading2"/>
      </w:pPr>
      <w:r>
        <w:t>3. Evaluation interpretation</w:t>
      </w:r>
    </w:p>
    <w:p>
      <w:r>
        <w:t>Logistic PR-AUC 0.805322 narrowly exceeds LightGBM 0.805223 and random forest 0.803517 in initial exploration. Tree candidates have better uncalibrated Brier values, which motivates a separate calibration step rather than changing the selection metric after seeing results. The recency baseline is meaningfully weaker but nontrivial, confirming that simple recency carries signal.</w:t>
      </w:r>
    </w:p>
    <w:p>
      <w:pPr>
        <w:pStyle w:val="Heading2"/>
      </w:pPr>
      <w:r>
        <w:t>4. Reproducibility</w:t>
      </w:r>
    </w:p>
    <w:p>
      <w:pPr>
        <w:pStyle w:val="AcademicCode"/>
        <w:shd w:fill="F7F9F8"/>
      </w:pPr>
      <w:r>
        <w:rPr>
          <w:rFonts w:ascii="Menlo" w:hAnsi="Menlo"/>
          <w:color w:val="173B32"/>
          <w:sz w:val="17"/>
        </w:rPr>
        <w:t>make data-download</w:t>
        <w:br/>
        <w:t>make data-profile</w:t>
        <w:br/>
        <w:t>make data-prepare</w:t>
        <w:br/>
        <w:t>make features-build</w:t>
        <w:br/>
        <w:t>make train</w:t>
        <w:br/>
        <w:t># Outputs include split hashes, MLflow run IDs, parameters and validation metrics.</w:t>
      </w:r>
    </w:p>
    <w:p>
      <w:r>
        <w:t>Every split has a SHA-256 checksum and versioned target/feature/split identifiers. MLflow records model runs. The final test flag in model_exploration.json is false, demonstrating that exploration completed before final-test access.</w:t>
      </w:r>
    </w:p>
    <w:p>
      <w:pPr>
        <w:pStyle w:val="Heading2"/>
      </w:pPr>
      <w:r>
        <w:t>5. Conclusion</w:t>
      </w:r>
    </w:p>
    <w:p>
      <w:r>
        <w:t>The preparation pipeline is leakage-aware, deterministic and suitable for the chosen historical study. Initial exploration selected logistic regression for refinement. This conclusion is limited to the stated validation cutoff and metric; it does not claim universal superiority or production readiness.</w:t>
      </w:r>
    </w:p>
    <w:p>
      <w:pPr>
        <w:pStyle w:val="Heading1"/>
      </w:pPr>
      <w:r>
        <w:t>References</w:t>
      </w:r>
    </w:p>
    <w:p>
      <w:r>
        <w:t>Chen, D. (2012). Online Retail II [Dataset]. UCI Machine Learning Repository. https://doi.org/10.24432/C5CG6D</w:t>
      </w:r>
    </w:p>
    <w:p>
      <w:r>
        <w:t>scikit-learn developers. Model evaluation, preprocessing and probability calibration documentation. https://scikit-learn.org/stable/</w:t>
      </w:r>
    </w:p>
    <w:p>
      <w:r>
        <w:t>Ke, G., et al. (2017). LightGBM: A highly efficient gradient boosting decision tree. Advances in Neural Information Processing Systems, 30.</w:t>
      </w:r>
    </w:p>
    <w:p>
      <w:r>
        <w:t>Project evidence: artifacts/reports/dataset_profile.json, artifacts/reports/data_preparation.json, artifacts/eda, artifacts/ml/model_exploration.json and the corresponding scripts/tests.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/>
        <w:color w:val="547068"/>
        <w:sz w:val="17"/>
      </w:rPr>
      <w:t xml:space="preserve">Page </w:t>
    </w:r>
    <w:r>
      <w:rPr>
        <w:rFonts w:ascii="Calibri" w:hAnsi="Calibri"/>
        <w:color w:val="547068"/>
        <w:sz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547068"/>
        <w:sz w:val="17"/>
      </w:rPr>
      <w:t xml:space="preserve"> of </w:t>
    </w:r>
    <w:r>
      <w:rPr>
        <w:rFonts w:ascii="Calibri" w:hAnsi="Calibri"/>
        <w:color w:val="547068"/>
        <w:sz w:val="17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6" w:color="B8D2C8"/>
      </w:pBdr>
    </w:pPr>
    <w:r>
      <w:rPr>
        <w:rFonts w:ascii="Calibri" w:hAnsi="Calibri"/>
        <w:b/>
        <w:color w:val="547068"/>
        <w:sz w:val="17"/>
      </w:rPr>
      <w:t>GROWTHPILOT AI  |  DATA PREPARATION, FEATURE ENGINEERING AND MODEL EXPLORATION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ademicCode">
    <w:name w:val="Academic Code"/>
    <w:basedOn w:val="Normal"/>
    <w:pPr>
      <w:spacing w:before="80" w:after="160"/>
      <w:ind w:left="288" w:right="288"/>
    </w:pPr>
    <w:rPr>
      <w:rFonts w:ascii="Menlo" w:hAnsi="Menlo"/>
      <w:sz w:val="17"/>
    </w:rPr>
  </w:style>
  <w:style w:type="paragraph" w:customStyle="1" w:styleId="AcademicBullet">
    <w:name w:val="Academic Bullet"/>
    <w:basedOn w:val="Normal"/>
    <w:pPr>
      <w:numPr>
        <w:ilvl w:val="0"/>
        <w:numId w:val="10"/>
      </w:numPr>
    </w:pPr>
  </w:style>
  <w:style w:type="paragraph" w:customStyle="1" w:styleId="AcademicNumber">
    <w:name w:val="Academic Number"/>
    <w:basedOn w:val="Normal"/>
    <w:pPr>
      <w:numPr>
        <w:ilvl w:val="0"/>
        <w:numId w:val="11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Preparation, Feature Engineering and Model Exploration</dc:title>
  <dc:subject>Samsung Innovation Campus — AI in Marketing Capstone</dc:subject>
  <dc:creator>Şahin Başcı; AI-assisted drafting disclosed</dc:creator>
  <cp:keywords>GrowthPilot, capstone, AI in marketing, Group 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