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Model Refinement and Test Submission</w:t>
      </w:r>
    </w:p>
    <w:p>
      <w:pPr>
        <w:spacing w:after="280"/>
      </w:pPr>
      <w:r>
        <w:rPr>
          <w:rFonts w:ascii="Calibri" w:hAnsi="Calibri"/>
          <w:color w:val="547068"/>
          <w:sz w:val="27"/>
        </w:rPr>
        <w:t>Frozen, calibrated logistic churn-proxy candidate and untouched temporal evaluation</w:t>
      </w:r>
    </w:p>
    <w:p>
      <w:pPr>
        <w:spacing w:after="40"/>
      </w:pPr>
      <w:r>
        <w:rPr>
          <w:rFonts w:ascii="Calibri" w:hAnsi="Calibri"/>
          <w:b/>
          <w:color w:val="173B32"/>
          <w:sz w:val="21"/>
        </w:rPr>
        <w:t xml:space="preserve">Course: </w:t>
      </w:r>
      <w:r>
        <w:rPr>
          <w:rFonts w:ascii="Calibri" w:hAnsi="Calibri"/>
          <w:color w:val="000000"/>
          <w:sz w:val="21"/>
        </w:rPr>
        <w:t>Samsung Innovation Campus — AI in Marketing Capstone</w:t>
      </w:r>
    </w:p>
    <w:p>
      <w:pPr>
        <w:spacing w:after="40"/>
      </w:pPr>
      <w:r>
        <w:rPr>
          <w:rFonts w:ascii="Calibri" w:hAnsi="Calibri"/>
          <w:b/>
          <w:color w:val="173B32"/>
          <w:sz w:val="21"/>
        </w:rPr>
        <w:t xml:space="preserve">Team: </w:t>
      </w:r>
      <w:r>
        <w:rPr>
          <w:rFonts w:ascii="Calibri" w:hAnsi="Calibri"/>
          <w:color w:val="000000"/>
          <w:sz w:val="21"/>
        </w:rPr>
        <w:t>Group 7</w:t>
      </w:r>
    </w:p>
    <w:p>
      <w:pPr>
        <w:spacing w:after="40"/>
      </w:pPr>
      <w:r>
        <w:rPr>
          <w:rFonts w:ascii="Calibri" w:hAnsi="Calibri"/>
          <w:b/>
          <w:color w:val="173B32"/>
          <w:sz w:val="21"/>
        </w:rPr>
        <w:t xml:space="preserve">Project: </w:t>
      </w:r>
      <w:r>
        <w:rPr>
          <w:rFonts w:ascii="Calibri" w:hAnsi="Calibri"/>
          <w:color w:val="000000"/>
          <w:sz w:val="21"/>
        </w:rPr>
        <w:t>GrowthPilot AI</w:t>
      </w:r>
    </w:p>
    <w:p>
      <w:pPr>
        <w:spacing w:after="40"/>
      </w:pPr>
      <w:r>
        <w:rPr>
          <w:rFonts w:ascii="Calibri" w:hAnsi="Calibri"/>
          <w:b/>
          <w:color w:val="173B32"/>
          <w:sz w:val="21"/>
        </w:rPr>
        <w:t xml:space="preserve">Prepared by: </w:t>
      </w:r>
      <w:r>
        <w:rPr>
          <w:rFonts w:ascii="Calibri" w:hAnsi="Calibri"/>
          <w:color w:val="000000"/>
          <w:sz w:val="21"/>
        </w:rPr>
        <w:t>Şahin Başcı</w:t>
      </w:r>
    </w:p>
    <w:p>
      <w:pPr>
        <w:spacing w:after="40"/>
      </w:pPr>
      <w:r>
        <w:rPr>
          <w:rFonts w:ascii="Calibri" w:hAnsi="Calibri"/>
          <w:b/>
          <w:color w:val="173B32"/>
          <w:sz w:val="21"/>
        </w:rPr>
        <w:t xml:space="preserve">Date: </w:t>
      </w:r>
      <w:r>
        <w:rPr>
          <w:rFonts w:ascii="Calibri" w:hAnsi="Calibri"/>
          <w:color w:val="000000"/>
          <w:sz w:val="21"/>
        </w:rPr>
        <w:t>9 September 2026</w:t>
      </w:r>
    </w:p>
    <w:p>
      <w:pPr>
        <w:spacing w:after="40"/>
      </w:pPr>
      <w:r>
        <w:rPr>
          <w:rFonts w:ascii="Calibri" w:hAnsi="Calibri"/>
          <w:b/>
          <w:color w:val="173B32"/>
          <w:sz w:val="21"/>
        </w:rPr>
        <w:t xml:space="preserve">Status: </w:t>
      </w:r>
      <w:r>
        <w:rPr>
          <w:rFonts w:ascii="Calibri" w:hAnsi="Calibri"/>
          <w:color w:val="000000"/>
          <w:sz w:val="21"/>
        </w:rPr>
        <w:t>Final local academic package</w:t>
      </w:r>
    </w:p>
    <w:p>
      <w:pPr>
        <w:spacing w:after="240"/>
        <w:pBdr>
          <w:bottom w:val="single" w:sz="12" w:space="6" w:color="1E5A49"/>
        </w:pBdr>
      </w:pPr>
    </w:p>
    <w:p>
      <w:pPr>
        <w:shd w:fill="E8F1ED"/>
        <w:spacing w:before="80" w:after="0"/>
        <w:ind w:left="115" w:right="115"/>
      </w:pPr>
      <w:r>
        <w:rPr>
          <w:rFonts w:ascii="Calibri" w:hAnsi="Calibri"/>
          <w:b/>
          <w:color w:val="173B32"/>
          <w:sz w:val="19"/>
        </w:rPr>
        <w:t>AI AUTHORSHIP DISCLOSURE — This document was drafted with OpenAI Codex/ChatGPT assistance and checked against repository evidence. Reported project metrics come from executed, versioned artifacts; external claims are cited. Human review remains required.</w:t>
      </w:r>
    </w:p>
    <w:p/>
    <w:p>
      <w:pPr>
        <w:pStyle w:val="Heading1"/>
      </w:pPr>
      <w:r>
        <w:t>Part I — Model refinement</w:t>
      </w:r>
    </w:p>
    <w:p>
      <w:pPr>
        <w:pStyle w:val="Heading2"/>
      </w:pPr>
      <w:r>
        <w:t>1. Initial evaluation and weaknesses</w:t>
      </w:r>
    </w:p>
    <w:p>
      <w:r>
        <w:t>Initial exploration selected logistic regression by validation PR-AUC 0.805322. Its weaknesses were probability miscalibration (Brier 0.213300; ECE 0.169377) and sensitivity to regularization. LightGBM was nearly tied on PR-AUC and had better raw calibration, so refinement compared all three learned families without changing the primary selection rule.</w:t>
      </w:r>
    </w:p>
    <w:p>
      <w:pPr>
        <w:pStyle w:val="Heading2"/>
      </w:pPr>
      <w:r>
        <w:t>2. Refinement techniques</w:t>
      </w:r>
    </w:p>
    <w:p>
      <w:pPr>
        <w:pStyle w:val="AcademicBullet"/>
      </w:pPr>
      <w:r>
        <w:t>Logistic grid: C ∈ {0.01, 0.05, 0.2, 1.0, 5.0}; class weighting kept off because ranking/calibration and capacity metrics were evaluated directly.</w:t>
      </w:r>
    </w:p>
    <w:p>
      <w:pPr>
        <w:pStyle w:val="AcademicBullet"/>
      </w:pPr>
      <w:r>
        <w:t>Random forest grid: 400 trees, minimum leaf {5,10,20}, maximum depth {8,16}.</w:t>
      </w:r>
    </w:p>
    <w:p>
      <w:pPr>
        <w:pStyle w:val="AcademicBullet"/>
      </w:pPr>
      <w:r>
        <w:t>LightGBM: 12 seeded search trials across learning rate, leaves, depth, minimum child samples, L2 regularization, row and column subsampling.</w:t>
      </w:r>
    </w:p>
    <w:p>
      <w:pPr>
        <w:pStyle w:val="AcademicBullet"/>
      </w:pPr>
      <w:r>
        <w:t>Sigmoid calibration fitted only on the 2011-06-01 calibration snapshot.</w:t>
      </w:r>
    </w:p>
    <w:p>
      <w:pPr>
        <w:pStyle w:val="AcademicBullet"/>
      </w:pPr>
      <w:r>
        <w:t>Operating threshold fixed at 0.812509305136 from approximately 10% calibration capacity.</w:t>
      </w:r>
    </w:p>
    <w:p>
      <w:pPr>
        <w:pStyle w:val="Heading2"/>
      </w:pPr>
      <w:r>
        <w:t>3. Tuning impact</w:t>
      </w:r>
    </w:p>
    <w:tbl>
      <w:tblPr>
        <w:tblStyle w:val="TableGrid"/>
        <w:tblW w:type="dxa" w:w="9360"/>
        <w:jc w:val="left"/>
        <w:tblLayout w:type="fixed"/>
        <w:tblLook w:firstColumn="1" w:firstRow="1" w:lastColumn="0" w:lastRow="0" w:noHBand="0" w:noVBand="1" w:val="04A0"/>
        <w:tblInd w:w="120" w:type="dxa"/>
      </w:tblPr>
      <w:tblGrid>
        <w:gridCol w:w="2250"/>
        <w:gridCol w:w="1300"/>
        <w:gridCol w:w="1300"/>
        <w:gridCol w:w="1200"/>
        <w:gridCol w:w="1100"/>
        <w:gridCol w:w="2210"/>
      </w:tblGrid>
      <w:tr>
        <w:trPr>
          <w:tblHeader w:val="true"/>
        </w:trPr>
        <w:tc>
          <w:tcPr>
            <w:tcW w:type="dxa" w:w="2250"/>
            <w:tcMar>
              <w:top w:w="80" w:type="dxa"/>
              <w:start w:w="120" w:type="dxa"/>
              <w:bottom w:w="80" w:type="dxa"/>
              <w:end w:w="120" w:type="dxa"/>
            </w:tcMar>
            <w:shd w:fill="F2F4F7"/>
            <w:vAlign w:val="center"/>
          </w:tcPr>
          <w:p>
            <w:pPr>
              <w:spacing w:after="0"/>
            </w:pPr>
            <w:r>
              <w:rPr>
                <w:rFonts w:ascii="Calibri" w:hAnsi="Calibri"/>
                <w:b/>
                <w:color w:val="173B32"/>
                <w:sz w:val="19"/>
              </w:rPr>
              <w:t>Stage</w:t>
            </w:r>
          </w:p>
        </w:tc>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PR-AUC</w:t>
            </w:r>
          </w:p>
        </w:tc>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ROC-AUC</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Brier</w:t>
            </w:r>
          </w:p>
        </w:tc>
        <w:tc>
          <w:tcPr>
            <w:tcW w:type="dxa" w:w="1100"/>
            <w:tcMar>
              <w:top w:w="80" w:type="dxa"/>
              <w:start w:w="120" w:type="dxa"/>
              <w:bottom w:w="80" w:type="dxa"/>
              <w:end w:w="120" w:type="dxa"/>
            </w:tcMar>
            <w:shd w:fill="F2F4F7"/>
            <w:vAlign w:val="center"/>
          </w:tcPr>
          <w:p>
            <w:pPr>
              <w:spacing w:after="0"/>
            </w:pPr>
            <w:r>
              <w:rPr>
                <w:rFonts w:ascii="Calibri" w:hAnsi="Calibri"/>
                <w:b/>
                <w:color w:val="173B32"/>
                <w:sz w:val="19"/>
              </w:rPr>
              <w:t>ECE</w:t>
            </w:r>
          </w:p>
        </w:tc>
        <w:tc>
          <w:tcPr>
            <w:tcW w:type="dxa" w:w="2210"/>
            <w:tcMar>
              <w:top w:w="80" w:type="dxa"/>
              <w:start w:w="120" w:type="dxa"/>
              <w:bottom w:w="80" w:type="dxa"/>
              <w:end w:w="120" w:type="dxa"/>
            </w:tcMar>
            <w:shd w:fill="F2F4F7"/>
            <w:vAlign w:val="center"/>
          </w:tcPr>
          <w:p>
            <w:pPr>
              <w:spacing w:after="0"/>
            </w:pPr>
            <w:r>
              <w:rPr>
                <w:rFonts w:ascii="Calibri" w:hAnsi="Calibri"/>
                <w:b/>
                <w:color w:val="173B32"/>
                <w:sz w:val="19"/>
              </w:rPr>
              <w:t>Top-10% precision / lift</w:t>
            </w:r>
          </w:p>
        </w:tc>
      </w:tr>
      <w:tr>
        <w:tc>
          <w:tcPr>
            <w:tcW w:type="dxa" w:w="2250"/>
            <w:vAlign w:val="top"/>
          </w:tcPr>
          <w:p>
            <w:pPr>
              <w:spacing w:after="0"/>
            </w:pPr>
            <w:r>
              <w:rPr>
                <w:rFonts w:ascii="Calibri" w:hAnsi="Calibri"/>
                <w:color w:val="000000"/>
                <w:sz w:val="18"/>
              </w:rPr>
              <w:t>Initial logistic validation</w:t>
            </w:r>
          </w:p>
        </w:tc>
        <w:tc>
          <w:tcPr>
            <w:tcW w:type="dxa" w:w="1300"/>
            <w:vAlign w:val="top"/>
          </w:tcPr>
          <w:p>
            <w:pPr>
              <w:spacing w:after="0"/>
            </w:pPr>
            <w:r>
              <w:rPr>
                <w:rFonts w:ascii="Calibri" w:hAnsi="Calibri"/>
                <w:color w:val="000000"/>
                <w:sz w:val="18"/>
              </w:rPr>
              <w:t>0.805322</w:t>
            </w:r>
          </w:p>
        </w:tc>
        <w:tc>
          <w:tcPr>
            <w:tcW w:type="dxa" w:w="1300"/>
            <w:vAlign w:val="top"/>
          </w:tcPr>
          <w:p>
            <w:pPr>
              <w:spacing w:after="0"/>
            </w:pPr>
            <w:r>
              <w:rPr>
                <w:rFonts w:ascii="Calibri" w:hAnsi="Calibri"/>
                <w:color w:val="000000"/>
                <w:sz w:val="18"/>
              </w:rPr>
              <w:t>0.782819</w:t>
            </w:r>
          </w:p>
        </w:tc>
        <w:tc>
          <w:tcPr>
            <w:tcW w:type="dxa" w:w="1200"/>
            <w:vAlign w:val="top"/>
          </w:tcPr>
          <w:p>
            <w:pPr>
              <w:spacing w:after="0"/>
            </w:pPr>
            <w:r>
              <w:rPr>
                <w:rFonts w:ascii="Calibri" w:hAnsi="Calibri"/>
                <w:color w:val="000000"/>
                <w:sz w:val="18"/>
              </w:rPr>
              <w:t>0.213300</w:t>
            </w:r>
          </w:p>
        </w:tc>
        <w:tc>
          <w:tcPr>
            <w:tcW w:type="dxa" w:w="1100"/>
            <w:vAlign w:val="top"/>
          </w:tcPr>
          <w:p>
            <w:pPr>
              <w:spacing w:after="0"/>
            </w:pPr>
            <w:r>
              <w:rPr>
                <w:rFonts w:ascii="Calibri" w:hAnsi="Calibri"/>
                <w:color w:val="000000"/>
                <w:sz w:val="18"/>
              </w:rPr>
              <w:t>0.169377</w:t>
            </w:r>
          </w:p>
        </w:tc>
        <w:tc>
          <w:tcPr>
            <w:tcW w:type="dxa" w:w="2210"/>
            <w:vAlign w:val="top"/>
          </w:tcPr>
          <w:p>
            <w:pPr>
              <w:spacing w:after="0"/>
            </w:pPr>
            <w:r>
              <w:rPr>
                <w:rFonts w:ascii="Calibri" w:hAnsi="Calibri"/>
                <w:color w:val="000000"/>
                <w:sz w:val="18"/>
              </w:rPr>
              <w:t>0.871642 / 1.510154</w:t>
            </w:r>
          </w:p>
        </w:tc>
      </w:tr>
      <w:tr>
        <w:tc>
          <w:tcPr>
            <w:tcW w:type="dxa" w:w="2250"/>
            <w:vAlign w:val="top"/>
          </w:tcPr>
          <w:p>
            <w:pPr>
              <w:spacing w:after="0"/>
            </w:pPr>
            <w:r>
              <w:rPr>
                <w:rFonts w:ascii="Calibri" w:hAnsi="Calibri"/>
                <w:color w:val="000000"/>
                <w:sz w:val="18"/>
              </w:rPr>
              <w:t>Refined logistic C=.01 validation</w:t>
            </w:r>
          </w:p>
        </w:tc>
        <w:tc>
          <w:tcPr>
            <w:tcW w:type="dxa" w:w="1300"/>
            <w:vAlign w:val="top"/>
          </w:tcPr>
          <w:p>
            <w:pPr>
              <w:spacing w:after="0"/>
            </w:pPr>
            <w:r>
              <w:rPr>
                <w:rFonts w:ascii="Calibri" w:hAnsi="Calibri"/>
                <w:color w:val="000000"/>
                <w:sz w:val="18"/>
              </w:rPr>
              <w:t>0.812223</w:t>
            </w:r>
          </w:p>
        </w:tc>
        <w:tc>
          <w:tcPr>
            <w:tcW w:type="dxa" w:w="1300"/>
            <w:vAlign w:val="top"/>
          </w:tcPr>
          <w:p>
            <w:pPr>
              <w:spacing w:after="0"/>
            </w:pPr>
            <w:r>
              <w:rPr>
                <w:rFonts w:ascii="Calibri" w:hAnsi="Calibri"/>
                <w:color w:val="000000"/>
                <w:sz w:val="18"/>
              </w:rPr>
              <w:t>0.787127</w:t>
            </w:r>
          </w:p>
        </w:tc>
        <w:tc>
          <w:tcPr>
            <w:tcW w:type="dxa" w:w="1200"/>
            <w:vAlign w:val="top"/>
          </w:tcPr>
          <w:p>
            <w:pPr>
              <w:spacing w:after="0"/>
            </w:pPr>
            <w:r>
              <w:rPr>
                <w:rFonts w:ascii="Calibri" w:hAnsi="Calibri"/>
                <w:color w:val="000000"/>
                <w:sz w:val="18"/>
              </w:rPr>
              <w:t>0.196710</w:t>
            </w:r>
          </w:p>
        </w:tc>
        <w:tc>
          <w:tcPr>
            <w:tcW w:type="dxa" w:w="1100"/>
            <w:vAlign w:val="top"/>
          </w:tcPr>
          <w:p>
            <w:pPr>
              <w:spacing w:after="0"/>
            </w:pPr>
            <w:r>
              <w:rPr>
                <w:rFonts w:ascii="Calibri" w:hAnsi="Calibri"/>
                <w:color w:val="000000"/>
                <w:sz w:val="18"/>
              </w:rPr>
              <w:t>0.106133</w:t>
            </w:r>
          </w:p>
        </w:tc>
        <w:tc>
          <w:tcPr>
            <w:tcW w:type="dxa" w:w="2210"/>
            <w:vAlign w:val="top"/>
          </w:tcPr>
          <w:p>
            <w:pPr>
              <w:spacing w:after="0"/>
            </w:pPr>
            <w:r>
              <w:rPr>
                <w:rFonts w:ascii="Calibri" w:hAnsi="Calibri"/>
                <w:color w:val="000000"/>
                <w:sz w:val="18"/>
              </w:rPr>
              <w:t>0.883582 / 1.530841</w:t>
            </w:r>
          </w:p>
        </w:tc>
      </w:tr>
      <w:tr>
        <w:tc>
          <w:tcPr>
            <w:tcW w:type="dxa" w:w="2250"/>
            <w:vAlign w:val="top"/>
          </w:tcPr>
          <w:p>
            <w:pPr>
              <w:spacing w:after="0"/>
            </w:pPr>
            <w:r>
              <w:rPr>
                <w:rFonts w:ascii="Calibri" w:hAnsi="Calibri"/>
                <w:color w:val="000000"/>
                <w:sz w:val="18"/>
              </w:rPr>
              <w:t>Calibration-fit descriptive</w:t>
            </w:r>
          </w:p>
        </w:tc>
        <w:tc>
          <w:tcPr>
            <w:tcW w:type="dxa" w:w="1300"/>
            <w:vAlign w:val="top"/>
          </w:tcPr>
          <w:p>
            <w:pPr>
              <w:spacing w:after="0"/>
            </w:pPr>
            <w:r>
              <w:rPr>
                <w:rFonts w:ascii="Calibri" w:hAnsi="Calibri"/>
                <w:color w:val="000000"/>
                <w:sz w:val="18"/>
              </w:rPr>
              <w:t>0.739014</w:t>
            </w:r>
          </w:p>
        </w:tc>
        <w:tc>
          <w:tcPr>
            <w:tcW w:type="dxa" w:w="1300"/>
            <w:vAlign w:val="top"/>
          </w:tcPr>
          <w:p>
            <w:pPr>
              <w:spacing w:after="0"/>
            </w:pPr>
            <w:r>
              <w:rPr>
                <w:rFonts w:ascii="Calibri" w:hAnsi="Calibri"/>
                <w:color w:val="000000"/>
                <w:sz w:val="18"/>
              </w:rPr>
              <w:t>0.773722</w:t>
            </w:r>
          </w:p>
        </w:tc>
        <w:tc>
          <w:tcPr>
            <w:tcW w:type="dxa" w:w="1200"/>
            <w:vAlign w:val="top"/>
          </w:tcPr>
          <w:p>
            <w:pPr>
              <w:spacing w:after="0"/>
            </w:pPr>
            <w:r>
              <w:rPr>
                <w:rFonts w:ascii="Calibri" w:hAnsi="Calibri"/>
                <w:color w:val="000000"/>
                <w:sz w:val="18"/>
              </w:rPr>
              <w:t>0.193632</w:t>
            </w:r>
          </w:p>
        </w:tc>
        <w:tc>
          <w:tcPr>
            <w:tcW w:type="dxa" w:w="1100"/>
            <w:vAlign w:val="top"/>
          </w:tcPr>
          <w:p>
            <w:pPr>
              <w:spacing w:after="0"/>
            </w:pPr>
            <w:r>
              <w:rPr>
                <w:rFonts w:ascii="Calibri" w:hAnsi="Calibri"/>
                <w:color w:val="000000"/>
                <w:sz w:val="18"/>
              </w:rPr>
              <w:t>0.040863</w:t>
            </w:r>
          </w:p>
        </w:tc>
        <w:tc>
          <w:tcPr>
            <w:tcW w:type="dxa" w:w="2210"/>
            <w:vAlign w:val="top"/>
          </w:tcPr>
          <w:p>
            <w:pPr>
              <w:spacing w:after="0"/>
            </w:pPr>
            <w:r>
              <w:rPr>
                <w:rFonts w:ascii="Calibri" w:hAnsi="Calibri"/>
                <w:color w:val="000000"/>
                <w:sz w:val="18"/>
              </w:rPr>
              <w:t>0.834586 / 1.671058</w:t>
            </w:r>
          </w:p>
        </w:tc>
      </w:tr>
    </w:tbl>
    <w:p>
      <w:pPr>
        <w:spacing w:after="40"/>
      </w:pPr>
    </w:p>
    <w:p>
      <w:pPr>
        <w:spacing w:before="80" w:after="80"/>
      </w:pPr>
      <w:r>
        <w:rPr>
          <w:rFonts w:ascii="Calibri" w:hAnsi="Calibri"/>
          <w:i/>
          <w:color w:val="547068"/>
          <w:sz w:val="17"/>
        </w:rPr>
        <w:t>Calibration-fit metrics reuse calibration labels and are descriptive, not unbiased test estimates.</w:t>
      </w:r>
    </w:p>
    <w:p>
      <w:r>
        <w:t>Lowering C from 1.0 to 0.01 increased validation PR-AUC to 0.812223 and reduced Brier to 0.196710. Sigmoid calibration on the later calibration split reduced ECE to 0.040863 descriptively. The final serialized candidate checksum is 942d705d66a9469d57494626a99da83c91a9a895a3a2b2d7e977ff3ba56952ad.</w:t>
      </w:r>
    </w:p>
    <w:p>
      <w:pPr>
        <w:pStyle w:val="Heading2"/>
      </w:pPr>
      <w:r>
        <w:t>4. Cross-validation and feature selection decisions</w:t>
      </w:r>
    </w:p>
    <w:p>
      <w:r>
        <w:t>Random k-fold cross-validation was not used because it would mix future and past snapshots and repeated customers. The design instead uses expanding chronological training cutoffs plus distinct validation, calibration and final-test dates. No post-hoc feature selection was performed: the regularized logistic pipeline controls coefficient magnitude, and removing features after observing the test would violate the freeze.</w:t>
      </w:r>
    </w:p>
    <w:p>
      <w:pPr>
        <w:pStyle w:val="Heading2"/>
      </w:pPr>
      <w:r>
        <w:t>5. Explainability validation</w:t>
      </w:r>
    </w:p>
    <w:p>
      <w:pPr>
        <w:spacing w:before="120" w:after="80"/>
        <w:jc w:val="center"/>
      </w:pPr>
      <w:r>
        <w:drawing>
          <wp:inline xmlns:a="http://schemas.openxmlformats.org/drawingml/2006/main" xmlns:pic="http://schemas.openxmlformats.org/drawingml/2006/picture">
            <wp:extent cx="5715000" cy="4000500"/>
            <wp:docPr id="1" name="Picture 1" descr="Figure 1. Global mean absolute SHAP contribution in calibrated log-odds. Project-generated diagnostic." title="Figure 1"/>
            <wp:cNvGraphicFramePr>
              <a:graphicFrameLocks noChangeAspect="1"/>
            </wp:cNvGraphicFramePr>
            <a:graphic>
              <a:graphicData uri="http://schemas.openxmlformats.org/drawingml/2006/picture">
                <pic:pic>
                  <pic:nvPicPr>
                    <pic:cNvPr id="0" name="explanations_global.png"/>
                    <pic:cNvPicPr/>
                  </pic:nvPicPr>
                  <pic:blipFill>
                    <a:blip r:embed="rId11"/>
                    <a:stretch>
                      <a:fillRect/>
                    </a:stretch>
                  </pic:blipFill>
                  <pic:spPr>
                    <a:xfrm>
                      <a:off x="0" y="0"/>
                      <a:ext cx="5715000" cy="4000500"/>
                    </a:xfrm>
                    <a:prstGeom prst="rect"/>
                  </pic:spPr>
                </pic:pic>
              </a:graphicData>
            </a:graphic>
          </wp:inline>
        </w:drawing>
      </w:r>
    </w:p>
    <w:p>
      <w:pPr>
        <w:spacing w:before="80" w:after="160"/>
        <w:jc w:val="center"/>
      </w:pPr>
      <w:r>
        <w:rPr>
          <w:rFonts w:ascii="Calibri" w:hAnsi="Calibri"/>
          <w:i/>
          <w:color w:val="547068"/>
          <w:sz w:val="18"/>
        </w:rPr>
        <w:t>Figure 1. Global mean absolute SHAP contribution in calibrated log-odds. Project-generated diagnostic.</w:t>
      </w:r>
    </w:p>
    <w:p>
      <w:r>
        <w:t>The SHAP decomposition was computed in calibrated log-odds for the frozen logistic pipeline. Maximum additivity error is 8.881784197001252×10⁻¹⁶, confirming numerical consistency. Contributions explain this model’s score formation; they are not causal effects and must not be turned into unsupported personal claims.</w:t>
      </w:r>
    </w:p>
    <w:p>
      <w:pPr>
        <w:pStyle w:val="Heading1"/>
      </w:pPr>
      <w:r>
        <w:t>Part II — Final test submission</w:t>
      </w:r>
    </w:p>
    <w:p>
      <w:pPr>
        <w:pStyle w:val="Heading2"/>
      </w:pPr>
      <w:r>
        <w:t>1. Test preparation and integrity</w:t>
      </w:r>
    </w:p>
    <w:p>
      <w:r>
        <w:t>The final test is the 2,772-customer snapshot at cutoff 2011-09-01 with a fully observed 90-day label window. Its prepared-file SHA-256 is 2830e4738acfee8c5561f5eb513874d0cacae32f3b3095c412db62dc2cf78ff6. Before access, the candidate manifest, preprocessing, sigmoid calibrator, artifact checksum and threshold were frozen. Post-test retuning is prohibited.</w:t>
      </w:r>
    </w:p>
    <w:p>
      <w:pPr>
        <w:pStyle w:val="Heading2"/>
      </w:pPr>
      <w:r>
        <w:t>2. Model application</w:t>
      </w:r>
    </w:p>
    <w:p>
      <w:pPr>
        <w:pStyle w:val="AcademicCode"/>
        <w:shd w:fill="F7F9F8"/>
      </w:pPr>
      <w:r>
        <w:rPr>
          <w:rFonts w:ascii="Menlo" w:hAnsi="Menlo"/>
          <w:color w:val="173B32"/>
          <w:sz w:val="17"/>
        </w:rPr>
        <w:t>bundle = joblib.load('artifacts/models/final_candidate.joblib')</w:t>
        <w:br/>
        <w:t>assert sha256_file(model_path) == EXPECTED_MODEL_SHA256</w:t>
        <w:br/>
        <w:t>scores = bundle['calibrated_model'].predict_proba(X_test)[:, 1]</w:t>
        <w:br/>
        <w:t>predicted = scores &gt;= 0.812509305136</w:t>
        <w:br/>
        <w:t># target, feature and split versions are checked before reporting</w:t>
      </w:r>
    </w:p>
    <w:p>
      <w:pPr>
        <w:pStyle w:val="Heading2"/>
      </w:pPr>
      <w:r>
        <w:t>3. Final test metrics</w:t>
      </w:r>
    </w:p>
    <w:tbl>
      <w:tblPr>
        <w:tblStyle w:val="TableGrid"/>
        <w:tblW w:type="dxa" w:w="9360"/>
        <w:jc w:val="left"/>
        <w:tblLayout w:type="fixed"/>
        <w:tblLook w:firstColumn="1" w:firstRow="1" w:lastColumn="0" w:lastRow="0" w:noHBand="0" w:noVBand="1" w:val="04A0"/>
        <w:tblInd w:w="120" w:type="dxa"/>
      </w:tblPr>
      <w:tblGrid>
        <w:gridCol w:w="2600"/>
        <w:gridCol w:w="3800"/>
        <w:gridCol w:w="2960"/>
      </w:tblGrid>
      <w:tr>
        <w:trPr>
          <w:tblHeader w:val="true"/>
        </w:trPr>
        <w:tc>
          <w:tcPr>
            <w:tcW w:type="dxa" w:w="2600"/>
            <w:tcMar>
              <w:top w:w="80" w:type="dxa"/>
              <w:start w:w="120" w:type="dxa"/>
              <w:bottom w:w="80" w:type="dxa"/>
              <w:end w:w="120" w:type="dxa"/>
            </w:tcMar>
            <w:shd w:fill="F2F4F7"/>
            <w:vAlign w:val="center"/>
          </w:tcPr>
          <w:p>
            <w:pPr>
              <w:spacing w:after="0"/>
            </w:pPr>
            <w:r>
              <w:rPr>
                <w:rFonts w:ascii="Calibri" w:hAnsi="Calibri"/>
                <w:b/>
                <w:color w:val="173B32"/>
                <w:sz w:val="19"/>
              </w:rPr>
              <w:t>Measure</w:t>
            </w:r>
          </w:p>
        </w:tc>
        <w:tc>
          <w:tcPr>
            <w:tcW w:type="dxa" w:w="3800"/>
            <w:tcMar>
              <w:top w:w="80" w:type="dxa"/>
              <w:start w:w="120" w:type="dxa"/>
              <w:bottom w:w="80" w:type="dxa"/>
              <w:end w:w="120" w:type="dxa"/>
            </w:tcMar>
            <w:shd w:fill="F2F4F7"/>
            <w:vAlign w:val="center"/>
          </w:tcPr>
          <w:p>
            <w:pPr>
              <w:spacing w:after="0"/>
            </w:pPr>
            <w:r>
              <w:rPr>
                <w:rFonts w:ascii="Calibri" w:hAnsi="Calibri"/>
                <w:b/>
                <w:color w:val="173B32"/>
                <w:sz w:val="19"/>
              </w:rPr>
              <w:t>Final test result</w:t>
            </w:r>
          </w:p>
        </w:tc>
        <w:tc>
          <w:tcPr>
            <w:tcW w:type="dxa" w:w="2960"/>
            <w:tcMar>
              <w:top w:w="80" w:type="dxa"/>
              <w:start w:w="120" w:type="dxa"/>
              <w:bottom w:w="80" w:type="dxa"/>
              <w:end w:w="120" w:type="dxa"/>
            </w:tcMar>
            <w:shd w:fill="F2F4F7"/>
            <w:vAlign w:val="center"/>
          </w:tcPr>
          <w:p>
            <w:pPr>
              <w:spacing w:after="0"/>
            </w:pPr>
            <w:r>
              <w:rPr>
                <w:rFonts w:ascii="Calibri" w:hAnsi="Calibri"/>
                <w:b/>
                <w:color w:val="173B32"/>
                <w:sz w:val="19"/>
              </w:rPr>
              <w:t>95% bootstrap interval</w:t>
            </w:r>
          </w:p>
        </w:tc>
      </w:tr>
      <w:tr>
        <w:tc>
          <w:tcPr>
            <w:tcW w:type="dxa" w:w="2600"/>
            <w:vAlign w:val="top"/>
          </w:tcPr>
          <w:p>
            <w:pPr>
              <w:spacing w:after="0"/>
            </w:pPr>
            <w:r>
              <w:rPr>
                <w:rFonts w:ascii="Calibri" w:hAnsi="Calibri"/>
                <w:color w:val="000000"/>
                <w:sz w:val="18"/>
              </w:rPr>
              <w:t>Rows / prevalence</w:t>
            </w:r>
          </w:p>
        </w:tc>
        <w:tc>
          <w:tcPr>
            <w:tcW w:type="dxa" w:w="3800"/>
            <w:vAlign w:val="top"/>
          </w:tcPr>
          <w:p>
            <w:pPr>
              <w:spacing w:after="0"/>
            </w:pPr>
            <w:r>
              <w:rPr>
                <w:rFonts w:ascii="Calibri" w:hAnsi="Calibri"/>
                <w:color w:val="000000"/>
                <w:sz w:val="18"/>
              </w:rPr>
              <w:t>2,772 / 0.392857</w:t>
            </w:r>
          </w:p>
        </w:tc>
        <w:tc>
          <w:tcPr>
            <w:tcW w:type="dxa" w:w="2960"/>
            <w:vAlign w:val="top"/>
          </w:tcPr>
          <w:p>
            <w:pPr>
              <w:spacing w:after="0"/>
            </w:pPr>
            <w:r>
              <w:rPr>
                <w:rFonts w:ascii="Calibri" w:hAnsi="Calibri"/>
                <w:color w:val="000000"/>
                <w:sz w:val="18"/>
              </w:rPr>
              <w:t>Not applicable</w:t>
            </w:r>
          </w:p>
        </w:tc>
      </w:tr>
      <w:tr>
        <w:tc>
          <w:tcPr>
            <w:tcW w:type="dxa" w:w="2600"/>
            <w:vAlign w:val="top"/>
          </w:tcPr>
          <w:p>
            <w:pPr>
              <w:spacing w:after="0"/>
            </w:pPr>
            <w:r>
              <w:rPr>
                <w:rFonts w:ascii="Calibri" w:hAnsi="Calibri"/>
                <w:color w:val="000000"/>
                <w:sz w:val="18"/>
              </w:rPr>
              <w:t>PR-AUC</w:t>
            </w:r>
          </w:p>
        </w:tc>
        <w:tc>
          <w:tcPr>
            <w:tcW w:type="dxa" w:w="3800"/>
            <w:vAlign w:val="top"/>
          </w:tcPr>
          <w:p>
            <w:pPr>
              <w:spacing w:after="0"/>
            </w:pPr>
            <w:r>
              <w:rPr>
                <w:rFonts w:ascii="Calibri" w:hAnsi="Calibri"/>
                <w:color w:val="000000"/>
                <w:sz w:val="18"/>
              </w:rPr>
              <w:t>0.647525</w:t>
            </w:r>
          </w:p>
        </w:tc>
        <w:tc>
          <w:tcPr>
            <w:tcW w:type="dxa" w:w="2960"/>
            <w:vAlign w:val="top"/>
          </w:tcPr>
          <w:p>
            <w:pPr>
              <w:spacing w:after="0"/>
            </w:pPr>
            <w:r>
              <w:rPr>
                <w:rFonts w:ascii="Calibri" w:hAnsi="Calibri"/>
                <w:color w:val="000000"/>
                <w:sz w:val="18"/>
              </w:rPr>
              <w:t>[0.618131, 0.678937]</w:t>
            </w:r>
          </w:p>
        </w:tc>
      </w:tr>
      <w:tr>
        <w:tc>
          <w:tcPr>
            <w:tcW w:type="dxa" w:w="2600"/>
            <w:vAlign w:val="top"/>
          </w:tcPr>
          <w:p>
            <w:pPr>
              <w:spacing w:after="0"/>
            </w:pPr>
            <w:r>
              <w:rPr>
                <w:rFonts w:ascii="Calibri" w:hAnsi="Calibri"/>
                <w:color w:val="000000"/>
                <w:sz w:val="18"/>
              </w:rPr>
              <w:t>ROC-AUC</w:t>
            </w:r>
          </w:p>
        </w:tc>
        <w:tc>
          <w:tcPr>
            <w:tcW w:type="dxa" w:w="3800"/>
            <w:vAlign w:val="top"/>
          </w:tcPr>
          <w:p>
            <w:pPr>
              <w:spacing w:after="0"/>
            </w:pPr>
            <w:r>
              <w:rPr>
                <w:rFonts w:ascii="Calibri" w:hAnsi="Calibri"/>
                <w:color w:val="000000"/>
                <w:sz w:val="18"/>
              </w:rPr>
              <w:t>0.765878</w:t>
            </w:r>
          </w:p>
        </w:tc>
        <w:tc>
          <w:tcPr>
            <w:tcW w:type="dxa" w:w="2960"/>
            <w:vAlign w:val="top"/>
          </w:tcPr>
          <w:p>
            <w:pPr>
              <w:spacing w:after="0"/>
            </w:pPr>
            <w:r>
              <w:rPr>
                <w:rFonts w:ascii="Calibri" w:hAnsi="Calibri"/>
                <w:color w:val="000000"/>
                <w:sz w:val="18"/>
              </w:rPr>
              <w:t>[0.748534, 0.782761]</w:t>
            </w:r>
          </w:p>
        </w:tc>
      </w:tr>
      <w:tr>
        <w:tc>
          <w:tcPr>
            <w:tcW w:type="dxa" w:w="2600"/>
            <w:vAlign w:val="top"/>
          </w:tcPr>
          <w:p>
            <w:pPr>
              <w:spacing w:after="0"/>
            </w:pPr>
            <w:r>
              <w:rPr>
                <w:rFonts w:ascii="Calibri" w:hAnsi="Calibri"/>
                <w:color w:val="000000"/>
                <w:sz w:val="18"/>
              </w:rPr>
              <w:t>Brier score</w:t>
            </w:r>
          </w:p>
        </w:tc>
        <w:tc>
          <w:tcPr>
            <w:tcW w:type="dxa" w:w="3800"/>
            <w:vAlign w:val="top"/>
          </w:tcPr>
          <w:p>
            <w:pPr>
              <w:spacing w:after="0"/>
            </w:pPr>
            <w:r>
              <w:rPr>
                <w:rFonts w:ascii="Calibri" w:hAnsi="Calibri"/>
                <w:color w:val="000000"/>
                <w:sz w:val="18"/>
              </w:rPr>
              <w:t>0.199854</w:t>
            </w:r>
          </w:p>
        </w:tc>
        <w:tc>
          <w:tcPr>
            <w:tcW w:type="dxa" w:w="2960"/>
            <w:vAlign w:val="top"/>
          </w:tcPr>
          <w:p>
            <w:pPr>
              <w:spacing w:after="0"/>
            </w:pPr>
            <w:r>
              <w:rPr>
                <w:rFonts w:ascii="Calibri" w:hAnsi="Calibri"/>
                <w:color w:val="000000"/>
                <w:sz w:val="18"/>
              </w:rPr>
              <w:t>[0.192598, 0.207125]</w:t>
            </w:r>
          </w:p>
        </w:tc>
      </w:tr>
      <w:tr>
        <w:tc>
          <w:tcPr>
            <w:tcW w:type="dxa" w:w="2600"/>
            <w:vAlign w:val="top"/>
          </w:tcPr>
          <w:p>
            <w:pPr>
              <w:spacing w:after="0"/>
            </w:pPr>
            <w:r>
              <w:rPr>
                <w:rFonts w:ascii="Calibri" w:hAnsi="Calibri"/>
                <w:color w:val="000000"/>
                <w:sz w:val="18"/>
              </w:rPr>
              <w:t>Log loss</w:t>
            </w:r>
          </w:p>
        </w:tc>
        <w:tc>
          <w:tcPr>
            <w:tcW w:type="dxa" w:w="3800"/>
            <w:vAlign w:val="top"/>
          </w:tcPr>
          <w:p>
            <w:pPr>
              <w:spacing w:after="0"/>
            </w:pPr>
            <w:r>
              <w:rPr>
                <w:rFonts w:ascii="Calibri" w:hAnsi="Calibri"/>
                <w:color w:val="000000"/>
                <w:sz w:val="18"/>
              </w:rPr>
              <w:t>0.582761</w:t>
            </w:r>
          </w:p>
        </w:tc>
        <w:tc>
          <w:tcPr>
            <w:tcW w:type="dxa" w:w="2960"/>
            <w:vAlign w:val="top"/>
          </w:tcPr>
          <w:p>
            <w:pPr>
              <w:spacing w:after="0"/>
            </w:pPr>
            <w:r>
              <w:rPr>
                <w:rFonts w:ascii="Calibri" w:hAnsi="Calibri"/>
                <w:color w:val="000000"/>
                <w:sz w:val="18"/>
              </w:rPr>
              <w:t>Not bootstrapped</w:t>
            </w:r>
          </w:p>
        </w:tc>
      </w:tr>
      <w:tr>
        <w:tc>
          <w:tcPr>
            <w:tcW w:type="dxa" w:w="2600"/>
            <w:vAlign w:val="top"/>
          </w:tcPr>
          <w:p>
            <w:pPr>
              <w:spacing w:after="0"/>
            </w:pPr>
            <w:r>
              <w:rPr>
                <w:rFonts w:ascii="Calibri" w:hAnsi="Calibri"/>
                <w:color w:val="000000"/>
                <w:sz w:val="18"/>
              </w:rPr>
              <w:t>ECE (10 bins)</w:t>
            </w:r>
          </w:p>
        </w:tc>
        <w:tc>
          <w:tcPr>
            <w:tcW w:type="dxa" w:w="3800"/>
            <w:vAlign w:val="top"/>
          </w:tcPr>
          <w:p>
            <w:pPr>
              <w:spacing w:after="0"/>
            </w:pPr>
            <w:r>
              <w:rPr>
                <w:rFonts w:ascii="Calibri" w:hAnsi="Calibri"/>
                <w:color w:val="000000"/>
                <w:sz w:val="18"/>
              </w:rPr>
              <w:t>0.095054</w:t>
            </w:r>
          </w:p>
        </w:tc>
        <w:tc>
          <w:tcPr>
            <w:tcW w:type="dxa" w:w="2960"/>
            <w:vAlign w:val="top"/>
          </w:tcPr>
          <w:p>
            <w:pPr>
              <w:spacing w:after="0"/>
            </w:pPr>
            <w:r>
              <w:rPr>
                <w:rFonts w:ascii="Calibri" w:hAnsi="Calibri"/>
                <w:color w:val="000000"/>
                <w:sz w:val="18"/>
              </w:rPr>
              <w:t>Not bootstrapped</w:t>
            </w:r>
          </w:p>
        </w:tc>
      </w:tr>
      <w:tr>
        <w:tc>
          <w:tcPr>
            <w:tcW w:type="dxa" w:w="2600"/>
            <w:vAlign w:val="top"/>
          </w:tcPr>
          <w:p>
            <w:pPr>
              <w:spacing w:after="0"/>
            </w:pPr>
            <w:r>
              <w:rPr>
                <w:rFonts w:ascii="Calibri" w:hAnsi="Calibri"/>
                <w:color w:val="000000"/>
                <w:sz w:val="18"/>
              </w:rPr>
              <w:t>Top-10% precision / recall / lift</w:t>
            </w:r>
          </w:p>
        </w:tc>
        <w:tc>
          <w:tcPr>
            <w:tcW w:type="dxa" w:w="3800"/>
            <w:vAlign w:val="top"/>
          </w:tcPr>
          <w:p>
            <w:pPr>
              <w:spacing w:after="0"/>
            </w:pPr>
            <w:r>
              <w:rPr>
                <w:rFonts w:ascii="Calibri" w:hAnsi="Calibri"/>
                <w:color w:val="000000"/>
                <w:sz w:val="18"/>
              </w:rPr>
              <w:t>0.748201 / 0.191001 / 1.904513</w:t>
            </w:r>
          </w:p>
        </w:tc>
        <w:tc>
          <w:tcPr>
            <w:tcW w:type="dxa" w:w="2960"/>
            <w:vAlign w:val="top"/>
          </w:tcPr>
          <w:p>
            <w:pPr>
              <w:spacing w:after="0"/>
            </w:pPr>
            <w:r>
              <w:rPr>
                <w:rFonts w:ascii="Calibri" w:hAnsi="Calibri"/>
                <w:color w:val="000000"/>
                <w:sz w:val="18"/>
              </w:rPr>
              <w:t>Not bootstrapped</w:t>
            </w:r>
          </w:p>
        </w:tc>
      </w:tr>
    </w:tbl>
    <w:p>
      <w:pPr>
        <w:spacing w:after="40"/>
      </w:pPr>
    </w:p>
    <w:p>
      <w:pPr>
        <w:spacing w:before="80" w:after="80"/>
      </w:pPr>
      <w:r>
        <w:rPr>
          <w:rFonts w:ascii="Calibri" w:hAnsi="Calibri"/>
          <w:i/>
          <w:color w:val="547068"/>
          <w:sz w:val="17"/>
        </w:rPr>
        <w:t>Evidence class: project-executed, untouched temporal holdout. Intervals are nonparametric row bootstrap intervals for this cutoff.</w:t>
      </w:r>
    </w:p>
    <w:p>
      <w:pPr>
        <w:spacing w:before="120" w:after="80"/>
        <w:jc w:val="center"/>
      </w:pPr>
      <w:r>
        <w:drawing>
          <wp:inline xmlns:a="http://schemas.openxmlformats.org/drawingml/2006/main" xmlns:pic="http://schemas.openxmlformats.org/drawingml/2006/picture">
            <wp:extent cx="5760720" cy="2304288"/>
            <wp:docPr id="2" name="Picture 2" descr="Figure 2. Final temporal-test precision–recall and probability calibration." title="Figure 2"/>
            <wp:cNvGraphicFramePr>
              <a:graphicFrameLocks noChangeAspect="1"/>
            </wp:cNvGraphicFramePr>
            <a:graphic>
              <a:graphicData uri="http://schemas.openxmlformats.org/drawingml/2006/picture">
                <pic:pic>
                  <pic:nvPicPr>
                    <pic:cNvPr id="0" name="final_evaluation.png"/>
                    <pic:cNvPicPr/>
                  </pic:nvPicPr>
                  <pic:blipFill>
                    <a:blip r:embed="rId12"/>
                    <a:stretch>
                      <a:fillRect/>
                    </a:stretch>
                  </pic:blipFill>
                  <pic:spPr>
                    <a:xfrm>
                      <a:off x="0" y="0"/>
                      <a:ext cx="5760720" cy="2304288"/>
                    </a:xfrm>
                    <a:prstGeom prst="rect"/>
                  </pic:spPr>
                </pic:pic>
              </a:graphicData>
            </a:graphic>
          </wp:inline>
        </w:drawing>
      </w:r>
    </w:p>
    <w:p>
      <w:pPr>
        <w:spacing w:before="80" w:after="160"/>
        <w:jc w:val="center"/>
      </w:pPr>
      <w:r>
        <w:rPr>
          <w:rFonts w:ascii="Calibri" w:hAnsi="Calibri"/>
          <w:i/>
          <w:color w:val="547068"/>
          <w:sz w:val="18"/>
        </w:rPr>
        <w:t>Figure 2. Final temporal-test precision–recall and probability calibration.</w:t>
      </w:r>
    </w:p>
    <w:p>
      <w:pPr>
        <w:pStyle w:val="Heading2"/>
      </w:pPr>
      <w:r>
        <w:t>4. Frozen-threshold confusion matrix</w:t>
      </w:r>
    </w:p>
    <w:tbl>
      <w:tblPr>
        <w:tblStyle w:val="TableGrid"/>
        <w:tblW w:type="dxa" w:w="9360"/>
        <w:jc w:val="left"/>
        <w:tblLayout w:type="fixed"/>
        <w:tblLook w:firstColumn="1" w:firstRow="1" w:lastColumn="0" w:lastRow="0" w:noHBand="0" w:noVBand="1" w:val="04A0"/>
        <w:tblInd w:w="120" w:type="dxa"/>
      </w:tblPr>
      <w:tblGrid>
        <w:gridCol w:w="3200"/>
        <w:gridCol w:w="3080"/>
        <w:gridCol w:w="3080"/>
      </w:tblGrid>
      <w:tr>
        <w:trPr>
          <w:tblHeader w:val="true"/>
        </w:trPr>
        <w:tc>
          <w:tcPr>
            <w:tcW w:type="dxa" w:w="3200"/>
            <w:tcMar>
              <w:top w:w="80" w:type="dxa"/>
              <w:start w:w="120" w:type="dxa"/>
              <w:bottom w:w="80" w:type="dxa"/>
              <w:end w:w="120" w:type="dxa"/>
            </w:tcMar>
            <w:shd w:fill="F2F4F7"/>
            <w:vAlign w:val="center"/>
          </w:tcPr>
          <w:p>
            <w:pPr>
              <w:spacing w:after="0"/>
            </w:pPr>
            <w:r>
              <w:rPr>
                <w:rFonts w:ascii="Calibri" w:hAnsi="Calibri"/>
                <w:b/>
                <w:color w:val="173B32"/>
                <w:sz w:val="19"/>
              </w:rPr>
              <w:t>Actual / predicted</w:t>
            </w:r>
          </w:p>
        </w:tc>
        <w:tc>
          <w:tcPr>
            <w:tcW w:type="dxa" w:w="3080"/>
            <w:tcMar>
              <w:top w:w="80" w:type="dxa"/>
              <w:start w:w="120" w:type="dxa"/>
              <w:bottom w:w="80" w:type="dxa"/>
              <w:end w:w="120" w:type="dxa"/>
            </w:tcMar>
            <w:shd w:fill="F2F4F7"/>
            <w:vAlign w:val="center"/>
          </w:tcPr>
          <w:p>
            <w:pPr>
              <w:spacing w:after="0"/>
            </w:pPr>
            <w:r>
              <w:rPr>
                <w:rFonts w:ascii="Calibri" w:hAnsi="Calibri"/>
                <w:b/>
                <w:color w:val="173B32"/>
                <w:sz w:val="19"/>
              </w:rPr>
              <w:t>Predicted active</w:t>
            </w:r>
          </w:p>
        </w:tc>
        <w:tc>
          <w:tcPr>
            <w:tcW w:type="dxa" w:w="3080"/>
            <w:tcMar>
              <w:top w:w="80" w:type="dxa"/>
              <w:start w:w="120" w:type="dxa"/>
              <w:bottom w:w="80" w:type="dxa"/>
              <w:end w:w="120" w:type="dxa"/>
            </w:tcMar>
            <w:shd w:fill="F2F4F7"/>
            <w:vAlign w:val="center"/>
          </w:tcPr>
          <w:p>
            <w:pPr>
              <w:spacing w:after="0"/>
            </w:pPr>
            <w:r>
              <w:rPr>
                <w:rFonts w:ascii="Calibri" w:hAnsi="Calibri"/>
                <w:b/>
                <w:color w:val="173B32"/>
                <w:sz w:val="19"/>
              </w:rPr>
              <w:t>Predicted inactive</w:t>
            </w:r>
          </w:p>
        </w:tc>
      </w:tr>
      <w:tr>
        <w:tc>
          <w:tcPr>
            <w:tcW w:type="dxa" w:w="3200"/>
            <w:vAlign w:val="top"/>
          </w:tcPr>
          <w:p>
            <w:pPr>
              <w:spacing w:after="0"/>
            </w:pPr>
            <w:r>
              <w:rPr>
                <w:rFonts w:ascii="Calibri" w:hAnsi="Calibri"/>
                <w:color w:val="000000"/>
                <w:sz w:val="18"/>
              </w:rPr>
              <w:t>Actual active</w:t>
            </w:r>
          </w:p>
        </w:tc>
        <w:tc>
          <w:tcPr>
            <w:tcW w:type="dxa" w:w="3080"/>
            <w:vAlign w:val="top"/>
          </w:tcPr>
          <w:p>
            <w:pPr>
              <w:spacing w:after="0"/>
            </w:pPr>
            <w:r>
              <w:rPr>
                <w:rFonts w:ascii="Calibri" w:hAnsi="Calibri"/>
                <w:color w:val="000000"/>
                <w:sz w:val="18"/>
              </w:rPr>
              <w:t>TN = 1,603</w:t>
            </w:r>
          </w:p>
        </w:tc>
        <w:tc>
          <w:tcPr>
            <w:tcW w:type="dxa" w:w="3080"/>
            <w:vAlign w:val="top"/>
          </w:tcPr>
          <w:p>
            <w:pPr>
              <w:spacing w:after="0"/>
            </w:pPr>
            <w:r>
              <w:rPr>
                <w:rFonts w:ascii="Calibri" w:hAnsi="Calibri"/>
                <w:color w:val="000000"/>
                <w:sz w:val="18"/>
              </w:rPr>
              <w:t>FP = 80</w:t>
            </w:r>
          </w:p>
        </w:tc>
      </w:tr>
      <w:tr>
        <w:tc>
          <w:tcPr>
            <w:tcW w:type="dxa" w:w="3200"/>
            <w:vAlign w:val="top"/>
          </w:tcPr>
          <w:p>
            <w:pPr>
              <w:spacing w:after="0"/>
            </w:pPr>
            <w:r>
              <w:rPr>
                <w:rFonts w:ascii="Calibri" w:hAnsi="Calibri"/>
                <w:color w:val="000000"/>
                <w:sz w:val="18"/>
              </w:rPr>
              <w:t>Actual inactive</w:t>
            </w:r>
          </w:p>
        </w:tc>
        <w:tc>
          <w:tcPr>
            <w:tcW w:type="dxa" w:w="3080"/>
            <w:vAlign w:val="top"/>
          </w:tcPr>
          <w:p>
            <w:pPr>
              <w:spacing w:after="0"/>
            </w:pPr>
            <w:r>
              <w:rPr>
                <w:rFonts w:ascii="Calibri" w:hAnsi="Calibri"/>
                <w:color w:val="000000"/>
                <w:sz w:val="18"/>
              </w:rPr>
              <w:t>FN = 867</w:t>
            </w:r>
          </w:p>
        </w:tc>
        <w:tc>
          <w:tcPr>
            <w:tcW w:type="dxa" w:w="3080"/>
            <w:vAlign w:val="top"/>
          </w:tcPr>
          <w:p>
            <w:pPr>
              <w:spacing w:after="0"/>
            </w:pPr>
            <w:r>
              <w:rPr>
                <w:rFonts w:ascii="Calibri" w:hAnsi="Calibri"/>
                <w:color w:val="000000"/>
                <w:sz w:val="18"/>
              </w:rPr>
              <w:t>TP = 222</w:t>
            </w:r>
          </w:p>
        </w:tc>
      </w:tr>
    </w:tbl>
    <w:p>
      <w:pPr>
        <w:spacing w:after="40"/>
      </w:pPr>
    </w:p>
    <w:p>
      <w:pPr>
        <w:spacing w:before="80" w:after="80"/>
      </w:pPr>
      <w:r>
        <w:rPr>
          <w:rFonts w:ascii="Calibri" w:hAnsi="Calibri"/>
          <w:i/>
          <w:color w:val="547068"/>
          <w:sz w:val="17"/>
        </w:rPr>
        <w:t>Threshold 0.812509305136 selected 302 customers (10.8947%): precision 0.735099, recall 0.203857, F1 0.319195.</w:t>
      </w:r>
    </w:p>
    <w:p>
      <w:pPr>
        <w:pStyle w:val="Heading2"/>
      </w:pPr>
      <w:r>
        <w:t>5. Validation-to-test comparison</w:t>
      </w:r>
    </w:p>
    <w:tbl>
      <w:tblPr>
        <w:tblStyle w:val="TableGrid"/>
        <w:tblW w:type="dxa" w:w="9360"/>
        <w:jc w:val="left"/>
        <w:tblLayout w:type="fixed"/>
        <w:tblLook w:firstColumn="1" w:firstRow="1" w:lastColumn="0" w:lastRow="0" w:noHBand="0" w:noVBand="1" w:val="04A0"/>
        <w:tblInd w:w="120" w:type="dxa"/>
      </w:tblPr>
      <w:tblGrid>
        <w:gridCol w:w="1500"/>
        <w:gridCol w:w="1200"/>
        <w:gridCol w:w="1200"/>
        <w:gridCol w:w="1200"/>
        <w:gridCol w:w="1300"/>
        <w:gridCol w:w="2960"/>
      </w:tblGrid>
      <w:tr>
        <w:trPr>
          <w:tblHeader w:val="true"/>
        </w:trPr>
        <w:tc>
          <w:tcPr>
            <w:tcW w:type="dxa" w:w="1500"/>
            <w:tcMar>
              <w:top w:w="80" w:type="dxa"/>
              <w:start w:w="120" w:type="dxa"/>
              <w:bottom w:w="80" w:type="dxa"/>
              <w:end w:w="120" w:type="dxa"/>
            </w:tcMar>
            <w:shd w:fill="F2F4F7"/>
            <w:vAlign w:val="center"/>
          </w:tcPr>
          <w:p>
            <w:pPr>
              <w:spacing w:after="0"/>
            </w:pPr>
            <w:r>
              <w:rPr>
                <w:rFonts w:ascii="Calibri" w:hAnsi="Calibri"/>
                <w:b/>
                <w:color w:val="173B32"/>
                <w:sz w:val="19"/>
              </w:rPr>
              <w:t>Split</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PR-AUC</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ROC-AUC</w:t>
            </w:r>
          </w:p>
        </w:tc>
        <w:tc>
          <w:tcPr>
            <w:tcW w:type="dxa" w:w="1200"/>
            <w:tcMar>
              <w:top w:w="80" w:type="dxa"/>
              <w:start w:w="120" w:type="dxa"/>
              <w:bottom w:w="80" w:type="dxa"/>
              <w:end w:w="120" w:type="dxa"/>
            </w:tcMar>
            <w:shd w:fill="F2F4F7"/>
            <w:vAlign w:val="center"/>
          </w:tcPr>
          <w:p>
            <w:pPr>
              <w:spacing w:after="0"/>
            </w:pPr>
            <w:r>
              <w:rPr>
                <w:rFonts w:ascii="Calibri" w:hAnsi="Calibri"/>
                <w:b/>
                <w:color w:val="173B32"/>
                <w:sz w:val="19"/>
              </w:rPr>
              <w:t>Brier</w:t>
            </w:r>
          </w:p>
        </w:tc>
        <w:tc>
          <w:tcPr>
            <w:tcW w:type="dxa" w:w="1300"/>
            <w:tcMar>
              <w:top w:w="80" w:type="dxa"/>
              <w:start w:w="120" w:type="dxa"/>
              <w:bottom w:w="80" w:type="dxa"/>
              <w:end w:w="120" w:type="dxa"/>
            </w:tcMar>
            <w:shd w:fill="F2F4F7"/>
            <w:vAlign w:val="center"/>
          </w:tcPr>
          <w:p>
            <w:pPr>
              <w:spacing w:after="0"/>
            </w:pPr>
            <w:r>
              <w:rPr>
                <w:rFonts w:ascii="Calibri" w:hAnsi="Calibri"/>
                <w:b/>
                <w:color w:val="173B32"/>
                <w:sz w:val="19"/>
              </w:rPr>
              <w:t>Prevalence</w:t>
            </w:r>
          </w:p>
        </w:tc>
        <w:tc>
          <w:tcPr>
            <w:tcW w:type="dxa" w:w="2960"/>
            <w:tcMar>
              <w:top w:w="80" w:type="dxa"/>
              <w:start w:w="120" w:type="dxa"/>
              <w:bottom w:w="80" w:type="dxa"/>
              <w:end w:w="120" w:type="dxa"/>
            </w:tcMar>
            <w:shd w:fill="F2F4F7"/>
            <w:vAlign w:val="center"/>
          </w:tcPr>
          <w:p>
            <w:pPr>
              <w:spacing w:after="0"/>
            </w:pPr>
            <w:r>
              <w:rPr>
                <w:rFonts w:ascii="Calibri" w:hAnsi="Calibri"/>
                <w:b/>
                <w:color w:val="173B32"/>
                <w:sz w:val="19"/>
              </w:rPr>
              <w:t>Interpretation</w:t>
            </w:r>
          </w:p>
        </w:tc>
      </w:tr>
      <w:tr>
        <w:tc>
          <w:tcPr>
            <w:tcW w:type="dxa" w:w="1500"/>
            <w:vAlign w:val="top"/>
          </w:tcPr>
          <w:p>
            <w:pPr>
              <w:spacing w:after="0"/>
            </w:pPr>
            <w:r>
              <w:rPr>
                <w:rFonts w:ascii="Calibri" w:hAnsi="Calibri"/>
                <w:color w:val="000000"/>
                <w:sz w:val="18"/>
              </w:rPr>
              <w:t>Validation</w:t>
            </w:r>
          </w:p>
        </w:tc>
        <w:tc>
          <w:tcPr>
            <w:tcW w:type="dxa" w:w="1200"/>
            <w:vAlign w:val="top"/>
          </w:tcPr>
          <w:p>
            <w:pPr>
              <w:spacing w:after="0"/>
            </w:pPr>
            <w:r>
              <w:rPr>
                <w:rFonts w:ascii="Calibri" w:hAnsi="Calibri"/>
                <w:color w:val="000000"/>
                <w:sz w:val="18"/>
              </w:rPr>
              <w:t>0.812223</w:t>
            </w:r>
          </w:p>
        </w:tc>
        <w:tc>
          <w:tcPr>
            <w:tcW w:type="dxa" w:w="1200"/>
            <w:vAlign w:val="top"/>
          </w:tcPr>
          <w:p>
            <w:pPr>
              <w:spacing w:after="0"/>
            </w:pPr>
            <w:r>
              <w:rPr>
                <w:rFonts w:ascii="Calibri" w:hAnsi="Calibri"/>
                <w:color w:val="000000"/>
                <w:sz w:val="18"/>
              </w:rPr>
              <w:t>0.787127</w:t>
            </w:r>
          </w:p>
        </w:tc>
        <w:tc>
          <w:tcPr>
            <w:tcW w:type="dxa" w:w="1200"/>
            <w:vAlign w:val="top"/>
          </w:tcPr>
          <w:p>
            <w:pPr>
              <w:spacing w:after="0"/>
            </w:pPr>
            <w:r>
              <w:rPr>
                <w:rFonts w:ascii="Calibri" w:hAnsi="Calibri"/>
                <w:color w:val="000000"/>
                <w:sz w:val="18"/>
              </w:rPr>
              <w:t>0.196710</w:t>
            </w:r>
          </w:p>
        </w:tc>
        <w:tc>
          <w:tcPr>
            <w:tcW w:type="dxa" w:w="1300"/>
            <w:vAlign w:val="top"/>
          </w:tcPr>
          <w:p>
            <w:pPr>
              <w:spacing w:after="0"/>
            </w:pPr>
            <w:r>
              <w:rPr>
                <w:rFonts w:ascii="Calibri" w:hAnsi="Calibri"/>
                <w:color w:val="000000"/>
                <w:sz w:val="18"/>
              </w:rPr>
              <w:t>0.577187</w:t>
            </w:r>
          </w:p>
        </w:tc>
        <w:tc>
          <w:tcPr>
            <w:tcW w:type="dxa" w:w="2960"/>
            <w:vAlign w:val="top"/>
          </w:tcPr>
          <w:p>
            <w:pPr>
              <w:spacing w:after="0"/>
            </w:pPr>
            <w:r>
              <w:rPr>
                <w:rFonts w:ascii="Calibri" w:hAnsi="Calibri"/>
                <w:color w:val="000000"/>
                <w:sz w:val="18"/>
              </w:rPr>
              <w:t>Used for family/tuning selection</w:t>
            </w:r>
          </w:p>
        </w:tc>
      </w:tr>
      <w:tr>
        <w:tc>
          <w:tcPr>
            <w:tcW w:type="dxa" w:w="1500"/>
            <w:vAlign w:val="top"/>
          </w:tcPr>
          <w:p>
            <w:pPr>
              <w:spacing w:after="0"/>
            </w:pPr>
            <w:r>
              <w:rPr>
                <w:rFonts w:ascii="Calibri" w:hAnsi="Calibri"/>
                <w:color w:val="000000"/>
                <w:sz w:val="18"/>
              </w:rPr>
              <w:t>Calibration</w:t>
            </w:r>
          </w:p>
        </w:tc>
        <w:tc>
          <w:tcPr>
            <w:tcW w:type="dxa" w:w="1200"/>
            <w:vAlign w:val="top"/>
          </w:tcPr>
          <w:p>
            <w:pPr>
              <w:spacing w:after="0"/>
            </w:pPr>
            <w:r>
              <w:rPr>
                <w:rFonts w:ascii="Calibri" w:hAnsi="Calibri"/>
                <w:color w:val="000000"/>
                <w:sz w:val="18"/>
              </w:rPr>
              <w:t>0.739014</w:t>
            </w:r>
          </w:p>
        </w:tc>
        <w:tc>
          <w:tcPr>
            <w:tcW w:type="dxa" w:w="1200"/>
            <w:vAlign w:val="top"/>
          </w:tcPr>
          <w:p>
            <w:pPr>
              <w:spacing w:after="0"/>
            </w:pPr>
            <w:r>
              <w:rPr>
                <w:rFonts w:ascii="Calibri" w:hAnsi="Calibri"/>
                <w:color w:val="000000"/>
                <w:sz w:val="18"/>
              </w:rPr>
              <w:t>0.773722</w:t>
            </w:r>
          </w:p>
        </w:tc>
        <w:tc>
          <w:tcPr>
            <w:tcW w:type="dxa" w:w="1200"/>
            <w:vAlign w:val="top"/>
          </w:tcPr>
          <w:p>
            <w:pPr>
              <w:spacing w:after="0"/>
            </w:pPr>
            <w:r>
              <w:rPr>
                <w:rFonts w:ascii="Calibri" w:hAnsi="Calibri"/>
                <w:color w:val="000000"/>
                <w:sz w:val="18"/>
              </w:rPr>
              <w:t>0.193632</w:t>
            </w:r>
          </w:p>
        </w:tc>
        <w:tc>
          <w:tcPr>
            <w:tcW w:type="dxa" w:w="1300"/>
            <w:vAlign w:val="top"/>
          </w:tcPr>
          <w:p>
            <w:pPr>
              <w:spacing w:after="0"/>
            </w:pPr>
            <w:r>
              <w:rPr>
                <w:rFonts w:ascii="Calibri" w:hAnsi="Calibri"/>
                <w:color w:val="000000"/>
                <w:sz w:val="18"/>
              </w:rPr>
              <w:t>0.499436</w:t>
            </w:r>
          </w:p>
        </w:tc>
        <w:tc>
          <w:tcPr>
            <w:tcW w:type="dxa" w:w="2960"/>
            <w:vAlign w:val="top"/>
          </w:tcPr>
          <w:p>
            <w:pPr>
              <w:spacing w:after="0"/>
            </w:pPr>
            <w:r>
              <w:rPr>
                <w:rFonts w:ascii="Calibri" w:hAnsi="Calibri"/>
                <w:color w:val="000000"/>
                <w:sz w:val="18"/>
              </w:rPr>
              <w:t>Used for sigmoid and threshold; descriptive</w:t>
            </w:r>
          </w:p>
        </w:tc>
      </w:tr>
      <w:tr>
        <w:tc>
          <w:tcPr>
            <w:tcW w:type="dxa" w:w="1500"/>
            <w:vAlign w:val="top"/>
          </w:tcPr>
          <w:p>
            <w:pPr>
              <w:spacing w:after="0"/>
            </w:pPr>
            <w:r>
              <w:rPr>
                <w:rFonts w:ascii="Calibri" w:hAnsi="Calibri"/>
                <w:color w:val="000000"/>
                <w:sz w:val="18"/>
              </w:rPr>
              <w:t>Final test</w:t>
            </w:r>
          </w:p>
        </w:tc>
        <w:tc>
          <w:tcPr>
            <w:tcW w:type="dxa" w:w="1200"/>
            <w:vAlign w:val="top"/>
          </w:tcPr>
          <w:p>
            <w:pPr>
              <w:spacing w:after="0"/>
            </w:pPr>
            <w:r>
              <w:rPr>
                <w:rFonts w:ascii="Calibri" w:hAnsi="Calibri"/>
                <w:color w:val="000000"/>
                <w:sz w:val="18"/>
              </w:rPr>
              <w:t>0.647525</w:t>
            </w:r>
          </w:p>
        </w:tc>
        <w:tc>
          <w:tcPr>
            <w:tcW w:type="dxa" w:w="1200"/>
            <w:vAlign w:val="top"/>
          </w:tcPr>
          <w:p>
            <w:pPr>
              <w:spacing w:after="0"/>
            </w:pPr>
            <w:r>
              <w:rPr>
                <w:rFonts w:ascii="Calibri" w:hAnsi="Calibri"/>
                <w:color w:val="000000"/>
                <w:sz w:val="18"/>
              </w:rPr>
              <w:t>0.765878</w:t>
            </w:r>
          </w:p>
        </w:tc>
        <w:tc>
          <w:tcPr>
            <w:tcW w:type="dxa" w:w="1200"/>
            <w:vAlign w:val="top"/>
          </w:tcPr>
          <w:p>
            <w:pPr>
              <w:spacing w:after="0"/>
            </w:pPr>
            <w:r>
              <w:rPr>
                <w:rFonts w:ascii="Calibri" w:hAnsi="Calibri"/>
                <w:color w:val="000000"/>
                <w:sz w:val="18"/>
              </w:rPr>
              <w:t>0.199854</w:t>
            </w:r>
          </w:p>
        </w:tc>
        <w:tc>
          <w:tcPr>
            <w:tcW w:type="dxa" w:w="1300"/>
            <w:vAlign w:val="top"/>
          </w:tcPr>
          <w:p>
            <w:pPr>
              <w:spacing w:after="0"/>
            </w:pPr>
            <w:r>
              <w:rPr>
                <w:rFonts w:ascii="Calibri" w:hAnsi="Calibri"/>
                <w:color w:val="000000"/>
                <w:sz w:val="18"/>
              </w:rPr>
              <w:t>0.392857</w:t>
            </w:r>
          </w:p>
        </w:tc>
        <w:tc>
          <w:tcPr>
            <w:tcW w:type="dxa" w:w="2960"/>
            <w:vAlign w:val="top"/>
          </w:tcPr>
          <w:p>
            <w:pPr>
              <w:spacing w:after="0"/>
            </w:pPr>
            <w:r>
              <w:rPr>
                <w:rFonts w:ascii="Calibri" w:hAnsi="Calibri"/>
                <w:color w:val="000000"/>
                <w:sz w:val="18"/>
              </w:rPr>
              <w:t>Single untouched temporal holdout</w:t>
            </w:r>
          </w:p>
        </w:tc>
      </w:tr>
    </w:tbl>
    <w:p>
      <w:pPr>
        <w:spacing w:after="40"/>
      </w:pPr>
    </w:p>
    <w:p>
      <w:r>
        <w:t>PR-AUC falls from validation 0.812223 to test 0.647525 while prevalence also falls from 0.577187 to 0.392857. ROC-AUC remains 0.765878 and top-10% lift rises to 1.904513. The gap is evidence of temporal/data shift and uncertainty, not a reason to revise the frozen test result.</w:t>
      </w:r>
    </w:p>
    <w:p>
      <w:pPr>
        <w:pStyle w:val="Heading2"/>
      </w:pPr>
      <w:r>
        <w:t>6. Deployment truth</w:t>
      </w:r>
    </w:p>
    <w:p>
      <w:r>
        <w:t>The artifact is registered locally as growthpilot-churn-inactivity version 1 with alias champion and is integrated into tenant-scoped on-demand and durable batch-scoring services. “Champion” is a local registry alias, not proof of production deployment. On-demand scoring is demo-gated; live cloud, tenant-data drift and service-level performance are unvalidated. Every score remains non-authorizing.</w:t>
      </w:r>
    </w:p>
    <w:p>
      <w:pPr>
        <w:pStyle w:val="Heading2"/>
      </w:pPr>
      <w:r>
        <w:t>7. Conclusion</w:t>
      </w:r>
    </w:p>
    <w:p>
      <w:r>
        <w:t>The frozen model provides useful ranking signal on the historical temporal test, especially within limited outreach capacity, but misses most inactive customers at the strict threshold. It should support review, not replace human judgment. Production adoption requires current tenant data, lawful use, monitored calibration/drift and a causal campaign evaluation.</w:t>
      </w:r>
    </w:p>
    <w:p>
      <w:pPr>
        <w:pStyle w:val="Heading1"/>
      </w:pPr>
      <w:r>
        <w:t>References and evidence</w:t>
      </w:r>
    </w:p>
    <w:p>
      <w:r>
        <w:t>scikit-learn developers. Probability calibration and model evaluation documentation. https://scikit-learn.org/stable/modules/calibration.html</w:t>
      </w:r>
    </w:p>
    <w:p>
      <w:r>
        <w:t>Lundberg, S. M., &amp; Lee, S.-I. (2017). A unified approach to interpreting model predictions. NeurIPS 30. https://arxiv.org/abs/1705.07874</w:t>
      </w:r>
    </w:p>
    <w:p>
      <w:r>
        <w:t>Project evidence: artifacts/ml/final_candidate.json, final_evaluation.json/png, explanations.json/png, model_registry.json; scripts/refine_model.py, evaluate_final.py, explain_model.py and register_model.py.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Page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of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MODEL REFINEMENT AND TEST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Refinement and Test Submission</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