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80"/>
      </w:pPr>
      <w:r>
        <w:rPr>
          <w:rFonts w:ascii="Calibri" w:hAnsi="Calibri"/>
          <w:b/>
          <w:color w:val="173B32"/>
          <w:sz w:val="46"/>
        </w:rPr>
        <w:t>Concept Note and Implementation Plan</w:t>
      </w:r>
    </w:p>
    <w:p>
      <w:pPr>
        <w:spacing w:after="280"/>
      </w:pPr>
      <w:r>
        <w:rPr>
          <w:rFonts w:ascii="Calibri" w:hAnsi="Calibri"/>
          <w:color w:val="547068"/>
          <w:sz w:val="27"/>
        </w:rPr>
        <w:t>GrowthPilot AI — governed customer operations and marketing intelligence for small retail teams</w:t>
      </w:r>
    </w:p>
    <w:p>
      <w:pPr>
        <w:keepLines/>
        <w:spacing w:after="60" w:line="276" w:lineRule="auto"/>
      </w:pPr>
      <w:r>
        <w:rPr>
          <w:rFonts w:ascii="Calibri" w:hAnsi="Calibri"/>
          <w:b/>
          <w:color w:val="173B32"/>
          <w:sz w:val="21"/>
        </w:rPr>
        <w:t xml:space="preserve">Course: </w:t>
      </w:r>
      <w:r>
        <w:rPr>
          <w:rFonts w:ascii="Calibri" w:hAnsi="Calibri"/>
          <w:color w:val="000000"/>
          <w:sz w:val="21"/>
        </w:rPr>
        <w:t>Samsung Innovation Campus — AI in Marketing Capstone</w:t>
      </w:r>
    </w:p>
    <w:p>
      <w:pPr>
        <w:keepLines/>
        <w:spacing w:after="60" w:line="276" w:lineRule="auto"/>
      </w:pPr>
      <w:r>
        <w:rPr>
          <w:rFonts w:ascii="Calibri" w:hAnsi="Calibri"/>
          <w:b/>
          <w:color w:val="173B32"/>
          <w:sz w:val="21"/>
        </w:rPr>
        <w:t xml:space="preserve">Team: </w:t>
      </w:r>
      <w:r>
        <w:rPr>
          <w:rFonts w:ascii="Calibri" w:hAnsi="Calibri"/>
          <w:color w:val="000000"/>
          <w:sz w:val="21"/>
        </w:rPr>
        <w:t>Group 7</w:t>
      </w:r>
    </w:p>
    <w:p>
      <w:pPr>
        <w:keepLines/>
        <w:spacing w:after="60" w:line="276" w:lineRule="auto"/>
      </w:pPr>
      <w:r>
        <w:rPr>
          <w:rFonts w:ascii="Calibri" w:hAnsi="Calibri"/>
          <w:b/>
          <w:color w:val="173B32"/>
          <w:sz w:val="21"/>
        </w:rPr>
        <w:t xml:space="preserve">Project: </w:t>
      </w:r>
      <w:r>
        <w:rPr>
          <w:rFonts w:ascii="Calibri" w:hAnsi="Calibri"/>
          <w:color w:val="000000"/>
          <w:sz w:val="21"/>
        </w:rPr>
        <w:t>GrowthPilot AI</w:t>
      </w:r>
    </w:p>
    <w:p>
      <w:pPr>
        <w:keepLines/>
        <w:spacing w:after="60" w:line="276" w:lineRule="auto"/>
      </w:pPr>
      <w:r>
        <w:rPr>
          <w:rFonts w:ascii="Calibri" w:hAnsi="Calibri"/>
          <w:b/>
          <w:color w:val="173B32"/>
          <w:sz w:val="21"/>
        </w:rPr>
        <w:t xml:space="preserve">Prepared by: </w:t>
      </w:r>
      <w:r>
        <w:rPr>
          <w:rFonts w:ascii="Calibri" w:hAnsi="Calibri"/>
          <w:color w:val="000000"/>
          <w:sz w:val="21"/>
        </w:rPr>
        <w:t>Şahin Başcı</w:t>
      </w:r>
    </w:p>
    <w:p>
      <w:pPr>
        <w:keepLines/>
        <w:spacing w:after="60" w:line="276" w:lineRule="auto"/>
      </w:pPr>
      <w:r>
        <w:rPr>
          <w:rFonts w:ascii="Calibri" w:hAnsi="Calibri"/>
          <w:b/>
          <w:color w:val="173B32"/>
          <w:sz w:val="21"/>
        </w:rPr>
        <w:t xml:space="preserve">Date: </w:t>
      </w:r>
      <w:r>
        <w:rPr>
          <w:rFonts w:ascii="Calibri" w:hAnsi="Calibri"/>
          <w:color w:val="000000"/>
          <w:sz w:val="21"/>
        </w:rPr>
        <w:t>9 September 2026</w:t>
      </w:r>
    </w:p>
    <w:p>
      <w:pPr>
        <w:keepLines/>
        <w:spacing w:after="60" w:line="276" w:lineRule="auto"/>
      </w:pPr>
      <w:r>
        <w:rPr>
          <w:rFonts w:ascii="Calibri" w:hAnsi="Calibri"/>
          <w:b/>
          <w:color w:val="173B32"/>
          <w:sz w:val="21"/>
        </w:rPr>
        <w:t xml:space="preserve">Status: </w:t>
      </w:r>
      <w:r>
        <w:rPr>
          <w:rFonts w:ascii="Calibri" w:hAnsi="Calibri"/>
          <w:color w:val="000000"/>
          <w:sz w:val="21"/>
        </w:rPr>
        <w:t>Final local academic package</w:t>
      </w:r>
    </w:p>
    <w:p>
      <w:pPr>
        <w:spacing w:after="240"/>
        <w:pBdr>
          <w:bottom w:val="single" w:sz="12" w:space="6" w:color="1E5A49"/>
        </w:pBdr>
      </w:pPr>
    </w:p>
    <w:p>
      <w:pPr>
        <w:shd w:fill="E8F1ED"/>
        <w:spacing w:before="80" w:after="160"/>
        <w:ind w:left="115" w:right="115"/>
      </w:pPr>
      <w:r>
        <w:rPr>
          <w:rFonts w:ascii="Calibri" w:hAnsi="Calibri"/>
          <w:b/>
          <w:color w:val="173B32"/>
          <w:sz w:val="19"/>
        </w:rPr>
        <w:t>AI AUTHORSHIP DISCLOSURE — This document was drafted with OpenAI Codex/ChatGPT assistance and checked against repository evidence. Reported project metrics come from executed, versioned artifacts; external claims are cited. Human review remains required.</w:t>
      </w:r>
    </w:p>
    <w:p/>
    <w:p>
      <w:pPr>
        <w:pStyle w:val="Heading1"/>
      </w:pPr>
      <w:r>
        <w:t>Part I — Concept note</w:t>
      </w:r>
    </w:p>
    <w:p>
      <w:pPr>
        <w:pStyle w:val="Heading2"/>
      </w:pPr>
      <w:r>
        <w:t>1. Project overview, context and intended impact</w:t>
      </w:r>
    </w:p>
    <w:p>
      <w:r>
        <w:t>GrowthPilot AI is a multi-tenant, production-oriented application that unifies customer, order, product, inventory and advertising data; provides CRM/ERP-lite workflows; and turns versioned analytics and ML-supported evidence into reviewed marketing decisions. The first capstone ML problem is 90-day future-purchase inactivity classification. It is one component of the product, not the whole product.</w:t>
      </w:r>
    </w:p>
    <w:p>
      <w:r>
        <w:t>The intended users are small retail operators and marketing managers who need a consistent customer record and a safer way to prioritize retention work. Intended impact is faster analysis, fewer definition disputes and more disciplined outreach review. No revenue uplift, adoption, campaign outcome or user result has yet been measured.</w:t>
      </w:r>
    </w:p>
    <w:p>
      <w:pPr>
        <w:pStyle w:val="Heading2"/>
      </w:pPr>
      <w:r>
        <w:t>2. Objectives and KPIs</w:t>
      </w:r>
    </w:p>
    <w:tbl>
      <w:tblPr>
        <w:tblStyle w:val="TableGrid"/>
        <w:tblW w:type="dxa" w:w="9360"/>
        <w:jc w:val="left"/>
        <w:tblLayout w:type="fixed"/>
        <w:tblLook w:firstColumn="1" w:firstRow="1" w:lastColumn="0" w:lastRow="0" w:noHBand="0" w:noVBand="1" w:val="04A0"/>
        <w:tblInd w:w="120" w:type="dxa"/>
      </w:tblPr>
      <w:tblGrid>
        <w:gridCol w:w="2400"/>
        <w:gridCol w:w="2500"/>
        <w:gridCol w:w="1900"/>
        <w:gridCol w:w="2560"/>
      </w:tblGrid>
      <w:tr>
        <w:trPr>
          <w:tblHeader w:val="true"/>
          <w:cantSplit w:val="true"/>
        </w:trPr>
        <w:tc>
          <w:tcPr>
            <w:tcW w:type="dxa" w:w="2400"/>
            <w:tcMar>
              <w:top w:w="80" w:type="dxa"/>
              <w:start w:w="120" w:type="dxa"/>
              <w:bottom w:w="80" w:type="dxa"/>
              <w:end w:w="120" w:type="dxa"/>
            </w:tcMar>
            <w:shd w:fill="F2F4F7"/>
            <w:vAlign w:val="center"/>
          </w:tcPr>
          <w:p>
            <w:pPr>
              <w:spacing w:after="0"/>
            </w:pPr>
            <w:r>
              <w:rPr>
                <w:rFonts w:ascii="Calibri" w:hAnsi="Calibri"/>
                <w:b/>
                <w:color w:val="173B32"/>
                <w:sz w:val="19"/>
              </w:rPr>
              <w:t>Objective</w:t>
            </w:r>
          </w:p>
        </w:tc>
        <w:tc>
          <w:tcPr>
            <w:tcW w:type="dxa" w:w="2500"/>
            <w:tcMar>
              <w:top w:w="80" w:type="dxa"/>
              <w:start w:w="120" w:type="dxa"/>
              <w:bottom w:w="80" w:type="dxa"/>
              <w:end w:w="120" w:type="dxa"/>
            </w:tcMar>
            <w:shd w:fill="F2F4F7"/>
            <w:vAlign w:val="center"/>
          </w:tcPr>
          <w:p>
            <w:pPr>
              <w:spacing w:after="0"/>
            </w:pPr>
            <w:r>
              <w:rPr>
                <w:rFonts w:ascii="Calibri" w:hAnsi="Calibri"/>
                <w:b/>
                <w:color w:val="173B32"/>
                <w:sz w:val="19"/>
              </w:rPr>
              <w:t>KPI</w:t>
            </w:r>
          </w:p>
        </w:tc>
        <w:tc>
          <w:tcPr>
            <w:tcW w:type="dxa" w:w="1900"/>
            <w:tcMar>
              <w:top w:w="80" w:type="dxa"/>
              <w:start w:w="120" w:type="dxa"/>
              <w:bottom w:w="80" w:type="dxa"/>
              <w:end w:w="120" w:type="dxa"/>
            </w:tcMar>
            <w:shd w:fill="F2F4F7"/>
            <w:vAlign w:val="center"/>
          </w:tcPr>
          <w:p>
            <w:pPr>
              <w:spacing w:after="0"/>
            </w:pPr>
            <w:r>
              <w:rPr>
                <w:rFonts w:ascii="Calibri" w:hAnsi="Calibri"/>
                <w:b/>
                <w:color w:val="173B32"/>
                <w:sz w:val="19"/>
              </w:rPr>
              <w:t>Baseline</w:t>
            </w:r>
          </w:p>
        </w:tc>
        <w:tc>
          <w:tcPr>
            <w:tcW w:type="dxa" w:w="2560"/>
            <w:tcMar>
              <w:top w:w="80" w:type="dxa"/>
              <w:start w:w="120" w:type="dxa"/>
              <w:bottom w:w="80" w:type="dxa"/>
              <w:end w:w="120" w:type="dxa"/>
            </w:tcMar>
            <w:shd w:fill="F2F4F7"/>
            <w:vAlign w:val="center"/>
          </w:tcPr>
          <w:p>
            <w:pPr>
              <w:spacing w:after="0"/>
            </w:pPr>
            <w:r>
              <w:rPr>
                <w:rFonts w:ascii="Calibri" w:hAnsi="Calibri"/>
                <w:b/>
                <w:color w:val="173B32"/>
                <w:sz w:val="19"/>
              </w:rPr>
              <w:t>Target / decision rule</w:t>
            </w:r>
          </w:p>
        </w:tc>
      </w:tr>
      <w:tr>
        <w:trPr>
          <w:cantSplit w:val="true"/>
        </w:trPr>
        <w:tc>
          <w:tcPr>
            <w:tcW w:type="dxa" w:w="2400"/>
            <w:vAlign w:val="top"/>
          </w:tcPr>
          <w:p>
            <w:pPr>
              <w:spacing w:after="0"/>
            </w:pPr>
            <w:r>
              <w:rPr>
                <w:rFonts w:ascii="Calibri" w:hAnsi="Calibri"/>
                <w:color w:val="000000"/>
                <w:sz w:val="18"/>
              </w:rPr>
              <w:t>Unify operating data</w:t>
            </w:r>
          </w:p>
        </w:tc>
        <w:tc>
          <w:tcPr>
            <w:tcW w:type="dxa" w:w="2500"/>
            <w:vAlign w:val="top"/>
          </w:tcPr>
          <w:p>
            <w:pPr>
              <w:spacing w:after="0"/>
            </w:pPr>
            <w:r>
              <w:rPr>
                <w:rFonts w:ascii="Calibri" w:hAnsi="Calibri"/>
                <w:color w:val="000000"/>
                <w:sz w:val="18"/>
              </w:rPr>
              <w:t>Valid imports, rejected-row visibility, provenance coverage</w:t>
            </w:r>
          </w:p>
        </w:tc>
        <w:tc>
          <w:tcPr>
            <w:tcW w:type="dxa" w:w="1900"/>
            <w:vAlign w:val="top"/>
          </w:tcPr>
          <w:p>
            <w:pPr>
              <w:spacing w:after="0"/>
            </w:pPr>
            <w:r>
              <w:rPr>
                <w:rFonts w:ascii="Calibri" w:hAnsi="Calibri"/>
                <w:color w:val="000000"/>
                <w:sz w:val="18"/>
              </w:rPr>
              <w:t>No production baseline available</w:t>
            </w:r>
          </w:p>
        </w:tc>
        <w:tc>
          <w:tcPr>
            <w:tcW w:type="dxa" w:w="2560"/>
            <w:vAlign w:val="top"/>
          </w:tcPr>
          <w:p>
            <w:pPr>
              <w:spacing w:after="0"/>
            </w:pPr>
            <w:r>
              <w:rPr>
                <w:rFonts w:ascii="Calibri" w:hAnsi="Calibri"/>
                <w:color w:val="000000"/>
                <w:sz w:val="18"/>
              </w:rPr>
              <w:t>100% of accepted imports record tenant, source, actor and checksum</w:t>
            </w:r>
          </w:p>
        </w:tc>
      </w:tr>
      <w:tr>
        <w:trPr>
          <w:cantSplit w:val="true"/>
        </w:trPr>
        <w:tc>
          <w:tcPr>
            <w:tcW w:type="dxa" w:w="2400"/>
            <w:vAlign w:val="top"/>
          </w:tcPr>
          <w:p>
            <w:pPr>
              <w:spacing w:after="0"/>
            </w:pPr>
            <w:r>
              <w:rPr>
                <w:rFonts w:ascii="Calibri" w:hAnsi="Calibri"/>
                <w:color w:val="000000"/>
                <w:sz w:val="18"/>
              </w:rPr>
              <w:t>Surface reliable customer intelligence</w:t>
            </w:r>
          </w:p>
        </w:tc>
        <w:tc>
          <w:tcPr>
            <w:tcW w:type="dxa" w:w="2500"/>
            <w:vAlign w:val="top"/>
          </w:tcPr>
          <w:p>
            <w:pPr>
              <w:spacing w:after="0"/>
            </w:pPr>
            <w:r>
              <w:rPr>
                <w:rFonts w:ascii="Calibri" w:hAnsi="Calibri"/>
                <w:color w:val="000000"/>
                <w:sz w:val="18"/>
              </w:rPr>
              <w:t>KPI freshness; prediction version coverage</w:t>
            </w:r>
          </w:p>
        </w:tc>
        <w:tc>
          <w:tcPr>
            <w:tcW w:type="dxa" w:w="1900"/>
            <w:vAlign w:val="top"/>
          </w:tcPr>
          <w:p>
            <w:pPr>
              <w:spacing w:after="0"/>
            </w:pPr>
            <w:r>
              <w:rPr>
                <w:rFonts w:ascii="Calibri" w:hAnsi="Calibri"/>
                <w:color w:val="000000"/>
                <w:sz w:val="18"/>
              </w:rPr>
              <w:t>No production baseline available</w:t>
            </w:r>
          </w:p>
        </w:tc>
        <w:tc>
          <w:tcPr>
            <w:tcW w:type="dxa" w:w="2560"/>
            <w:vAlign w:val="top"/>
          </w:tcPr>
          <w:p>
            <w:pPr>
              <w:spacing w:after="0"/>
            </w:pPr>
            <w:r>
              <w:rPr>
                <w:rFonts w:ascii="Calibri" w:hAnsi="Calibri"/>
                <w:color w:val="000000"/>
                <w:sz w:val="18"/>
              </w:rPr>
              <w:t>Every prediction stores model/feature/target versions and checksum</w:t>
            </w:r>
          </w:p>
        </w:tc>
      </w:tr>
      <w:tr>
        <w:trPr>
          <w:cantSplit w:val="true"/>
        </w:trPr>
        <w:tc>
          <w:tcPr>
            <w:tcW w:type="dxa" w:w="2400"/>
            <w:vAlign w:val="top"/>
          </w:tcPr>
          <w:p>
            <w:pPr>
              <w:spacing w:after="0"/>
            </w:pPr>
            <w:r>
              <w:rPr>
                <w:rFonts w:ascii="Calibri" w:hAnsi="Calibri"/>
                <w:color w:val="000000"/>
                <w:sz w:val="18"/>
              </w:rPr>
              <w:t>Prioritize limited outreach</w:t>
            </w:r>
          </w:p>
        </w:tc>
        <w:tc>
          <w:tcPr>
            <w:tcW w:type="dxa" w:w="2500"/>
            <w:vAlign w:val="top"/>
          </w:tcPr>
          <w:p>
            <w:pPr>
              <w:spacing w:after="0"/>
            </w:pPr>
            <w:r>
              <w:rPr>
                <w:rFonts w:ascii="Calibri" w:hAnsi="Calibri"/>
                <w:color w:val="000000"/>
                <w:sz w:val="18"/>
              </w:rPr>
              <w:t>Precision, recall and lift at capacity</w:t>
            </w:r>
          </w:p>
        </w:tc>
        <w:tc>
          <w:tcPr>
            <w:tcW w:type="dxa" w:w="1900"/>
            <w:vAlign w:val="top"/>
          </w:tcPr>
          <w:p>
            <w:pPr>
              <w:spacing w:after="0"/>
            </w:pPr>
            <w:r>
              <w:rPr>
                <w:rFonts w:ascii="Calibri" w:hAnsi="Calibri"/>
                <w:color w:val="000000"/>
                <w:sz w:val="18"/>
              </w:rPr>
              <w:t>Test prevalence 0.392857</w:t>
            </w:r>
          </w:p>
        </w:tc>
        <w:tc>
          <w:tcPr>
            <w:tcW w:type="dxa" w:w="2560"/>
            <w:vAlign w:val="top"/>
          </w:tcPr>
          <w:p>
            <w:pPr>
              <w:spacing w:after="0"/>
            </w:pPr>
            <w:r>
              <w:rPr>
                <w:rFonts w:ascii="Calibri" w:hAnsi="Calibri"/>
                <w:color w:val="000000"/>
                <w:sz w:val="18"/>
              </w:rPr>
              <w:t>Frozen ~10% policy; report evidence, do not promise uplift</w:t>
            </w:r>
          </w:p>
        </w:tc>
      </w:tr>
      <w:tr>
        <w:trPr>
          <w:cantSplit w:val="true"/>
        </w:trPr>
        <w:tc>
          <w:tcPr>
            <w:tcW w:type="dxa" w:w="2400"/>
            <w:vAlign w:val="top"/>
          </w:tcPr>
          <w:p>
            <w:pPr>
              <w:spacing w:after="0"/>
            </w:pPr>
            <w:r>
              <w:rPr>
                <w:rFonts w:ascii="Calibri" w:hAnsi="Calibri"/>
                <w:color w:val="000000"/>
                <w:sz w:val="18"/>
              </w:rPr>
              <w:t>Protect customers and tenants</w:t>
            </w:r>
          </w:p>
        </w:tc>
        <w:tc>
          <w:tcPr>
            <w:tcW w:type="dxa" w:w="2500"/>
            <w:vAlign w:val="top"/>
          </w:tcPr>
          <w:p>
            <w:pPr>
              <w:spacing w:after="0"/>
            </w:pPr>
            <w:r>
              <w:rPr>
                <w:rFonts w:ascii="Calibri" w:hAnsi="Calibri"/>
                <w:color w:val="000000"/>
                <w:sz w:val="18"/>
              </w:rPr>
              <w:t>Cross-tenant denials; unauthorized actions</w:t>
            </w:r>
          </w:p>
        </w:tc>
        <w:tc>
          <w:tcPr>
            <w:tcW w:type="dxa" w:w="1900"/>
            <w:vAlign w:val="top"/>
          </w:tcPr>
          <w:p>
            <w:pPr>
              <w:spacing w:after="0"/>
            </w:pPr>
            <w:r>
              <w:rPr>
                <w:rFonts w:ascii="Calibri" w:hAnsi="Calibri"/>
                <w:color w:val="000000"/>
                <w:sz w:val="18"/>
              </w:rPr>
              <w:t>Not applicable before implementation</w:t>
            </w:r>
          </w:p>
        </w:tc>
        <w:tc>
          <w:tcPr>
            <w:tcW w:type="dxa" w:w="2560"/>
            <w:vAlign w:val="top"/>
          </w:tcPr>
          <w:p>
            <w:pPr>
              <w:spacing w:after="0"/>
            </w:pPr>
            <w:r>
              <w:rPr>
                <w:rFonts w:ascii="Calibri" w:hAnsi="Calibri"/>
                <w:color w:val="000000"/>
                <w:sz w:val="18"/>
              </w:rPr>
              <w:t>Zero known leakage in automated isolation tests; all actions server-authorized</w:t>
            </w:r>
          </w:p>
        </w:tc>
      </w:tr>
      <w:tr>
        <w:trPr>
          <w:cantSplit w:val="true"/>
        </w:trPr>
        <w:tc>
          <w:tcPr>
            <w:tcW w:type="dxa" w:w="2400"/>
            <w:vAlign w:val="top"/>
          </w:tcPr>
          <w:p>
            <w:pPr>
              <w:spacing w:after="0"/>
            </w:pPr>
            <w:r>
              <w:rPr>
                <w:rFonts w:ascii="Calibri" w:hAnsi="Calibri"/>
                <w:color w:val="000000"/>
                <w:sz w:val="18"/>
              </w:rPr>
              <w:t>Govern marketing execution</w:t>
            </w:r>
          </w:p>
        </w:tc>
        <w:tc>
          <w:tcPr>
            <w:tcW w:type="dxa" w:w="2500"/>
            <w:vAlign w:val="top"/>
          </w:tcPr>
          <w:p>
            <w:pPr>
              <w:spacing w:after="0"/>
            </w:pPr>
            <w:r>
              <w:rPr>
                <w:rFonts w:ascii="Calibri" w:hAnsi="Calibri"/>
                <w:color w:val="000000"/>
                <w:sz w:val="18"/>
              </w:rPr>
              <w:t>Consent checks; approvals; budget/kill-switch blocks</w:t>
            </w:r>
          </w:p>
        </w:tc>
        <w:tc>
          <w:tcPr>
            <w:tcW w:type="dxa" w:w="1900"/>
            <w:vAlign w:val="top"/>
          </w:tcPr>
          <w:p>
            <w:pPr>
              <w:spacing w:after="0"/>
            </w:pPr>
            <w:r>
              <w:rPr>
                <w:rFonts w:ascii="Calibri" w:hAnsi="Calibri"/>
                <w:color w:val="000000"/>
                <w:sz w:val="18"/>
              </w:rPr>
              <w:t>No live execution</w:t>
            </w:r>
          </w:p>
        </w:tc>
        <w:tc>
          <w:tcPr>
            <w:tcW w:type="dxa" w:w="2560"/>
            <w:vAlign w:val="top"/>
          </w:tcPr>
          <w:p>
            <w:pPr>
              <w:spacing w:after="0"/>
            </w:pPr>
            <w:r>
              <w:rPr>
                <w:rFonts w:ascii="Calibri" w:hAnsi="Calibri"/>
                <w:color w:val="000000"/>
                <w:sz w:val="18"/>
              </w:rPr>
              <w:t>Execution disabled by default; explicit approval and live validation required</w:t>
            </w:r>
          </w:p>
        </w:tc>
      </w:tr>
    </w:tbl>
    <w:p>
      <w:pPr>
        <w:spacing w:after="40"/>
      </w:pPr>
    </w:p>
    <w:p>
      <w:pPr>
        <w:spacing w:before="80" w:after="80"/>
      </w:pPr>
      <w:r>
        <w:rPr>
          <w:rFonts w:ascii="Calibri" w:hAnsi="Calibri"/>
          <w:i/>
          <w:color w:val="547068"/>
          <w:sz w:val="17"/>
        </w:rPr>
        <w:t>Targets are governance/quality acceptance rules, not fabricated commercial outcomes.</w:t>
      </w:r>
    </w:p>
    <w:p>
      <w:pPr>
        <w:pStyle w:val="Heading2"/>
      </w:pPr>
      <w:r>
        <w:t>3. Background and rationale</w:t>
      </w:r>
    </w:p>
    <w:p>
      <w:r>
        <w:t>The product concept responds to fragmentation: analytics notebooks alone do not resolve data capture, identity, permission, consent or execution safety. Literature on non-contractual customer bases shows that inactivity is latent and model-dependent. GrowthPilot therefore defines an observable future purchase window, uses time-based validation and stores a clear evidence trail.</w:t>
      </w:r>
    </w:p>
    <w:p>
      <w:pPr>
        <w:pStyle w:val="Heading2"/>
      </w:pPr>
      <w:r>
        <w:t>4. AI methodology and evaluation</w:t>
      </w:r>
    </w:p>
    <w:p>
      <w:pPr>
        <w:pStyle w:val="AcademicNumber"/>
      </w:pPr>
      <w:r>
        <w:t>Profile purchase cadence on training history only and freeze a 90-day label horizon.</w:t>
      </w:r>
    </w:p>
    <w:p>
      <w:pPr>
        <w:pStyle w:val="AcademicNumber"/>
      </w:pPr>
      <w:r>
        <w:t>Construct leakage-safe customer snapshots using events strictly before each cutoff.</w:t>
      </w:r>
    </w:p>
    <w:p>
      <w:pPr>
        <w:pStyle w:val="AcademicNumber"/>
      </w:pPr>
      <w:r>
        <w:t>Compare a recency heuristic, a prevalence dummy, regularized logistic regression, random forest and LightGBM.</w:t>
      </w:r>
    </w:p>
    <w:p>
      <w:pPr>
        <w:pStyle w:val="AcademicNumber"/>
      </w:pPr>
      <w:r>
        <w:t>Select by validation PR-AUC; refine hyperparameters and probability calibration before touching the final test.</w:t>
      </w:r>
    </w:p>
    <w:p>
      <w:pPr>
        <w:pStyle w:val="AcademicNumber"/>
      </w:pPr>
      <w:r>
        <w:t>Freeze the model artifact and ~10% capacity threshold, evaluate once on the untouched 2011-09-01 temporal test and prohibit post-test retuning.</w:t>
      </w:r>
    </w:p>
    <w:p>
      <w:pPr>
        <w:pStyle w:val="AcademicNumber"/>
      </w:pPr>
      <w:r>
        <w:t>Validate SHAP/log-odds additivity; store local explanations as fitted-model evidence only.</w:t>
      </w:r>
    </w:p>
    <w:p>
      <w:r>
        <w:t>Primary measures are PR-AUC, ROC-AUC, Brier score, log loss and ECE, with precision/recall/lift at capacity and bootstrap intervals on the final test. A later business-impact test must randomize eligible customers into treatment/control or use another defensible causal design.</w:t>
      </w:r>
    </w:p>
    <w:p>
      <w:pPr>
        <w:pStyle w:val="Heading2"/>
      </w:pPr>
      <w:r>
        <w:t>5. Architecture and workflow</w:t>
      </w:r>
    </w:p>
    <w:p>
      <w:pPr>
        <w:spacing w:before="120" w:after="80"/>
        <w:jc w:val="center"/>
      </w:pPr>
      <w:r>
        <w:drawing>
          <wp:inline xmlns:a="http://schemas.openxmlformats.org/drawingml/2006/main" xmlns:pic="http://schemas.openxmlformats.org/drawingml/2006/picture">
            <wp:extent cx="5852160" cy="2560320"/>
            <wp:docPr id="1" name="Picture 1" descr="Figure 1. Implemented data-to-decision architecture. Execution is disabled by default." title="Figure 1"/>
            <wp:cNvGraphicFramePr>
              <a:graphicFrameLocks noChangeAspect="1"/>
            </wp:cNvGraphicFramePr>
            <a:graphic>
              <a:graphicData uri="http://schemas.openxmlformats.org/drawingml/2006/picture">
                <pic:pic>
                  <pic:nvPicPr>
                    <pic:cNvPr id="0" name="architecture_workflow.png"/>
                    <pic:cNvPicPr/>
                  </pic:nvPicPr>
                  <pic:blipFill>
                    <a:blip r:embed="rId11"/>
                    <a:stretch>
                      <a:fillRect/>
                    </a:stretch>
                  </pic:blipFill>
                  <pic:spPr>
                    <a:xfrm>
                      <a:off x="0" y="0"/>
                      <a:ext cx="5852160" cy="2560320"/>
                    </a:xfrm>
                    <a:prstGeom prst="rect"/>
                  </pic:spPr>
                </pic:pic>
              </a:graphicData>
            </a:graphic>
          </wp:inline>
        </w:drawing>
      </w:r>
    </w:p>
    <w:p>
      <w:pPr>
        <w:spacing w:before="80" w:after="160"/>
        <w:jc w:val="center"/>
      </w:pPr>
      <w:r>
        <w:rPr>
          <w:rFonts w:ascii="Calibri" w:hAnsi="Calibri"/>
          <w:i/>
          <w:color w:val="547068"/>
          <w:sz w:val="18"/>
        </w:rPr>
        <w:t>Figure 1. Implemented data-to-decision architecture. Execution is disabled by default.</w:t>
      </w:r>
    </w:p>
    <w:p>
      <w:r>
        <w:t>The web application calls a FastAPI modular monolith. PostgreSQL enforces tenant keys, constraints and row-level security; Redis/Dramatiq workers consume durable outbox jobs. Validated imports and provider adapters populate canonical records. Analytics and scoring share versioned definitions. Audiences are snapshot-based, current consent is checked, and campaigns must be approved before queueing. External action remains blocked by the kill switch and zero default budget.</w:t>
      </w:r>
    </w:p>
    <w:p>
      <w:pPr>
        <w:pStyle w:val="Heading2"/>
      </w:pPr>
      <w:r>
        <w:t>6. Data</w:t>
      </w:r>
    </w:p>
    <w:p>
      <w:r>
        <w:t>The capstone experiment uses UCI Online Retail II (Chen, 2012; CC BY 4.0; DOI 10.24432/C5CG6D), 1,067,371 transaction lines covering 2009-12-01 through 2011-12-09. Production use would require each tenant’s own authorized customer/order data and provider credentials. Raw sources are checksum-verified; customer-level prepared artifacts are local and ignored.</w:t>
      </w:r>
    </w:p>
    <w:p>
      <w:pPr>
        <w:pStyle w:val="Heading2"/>
      </w:pPr>
      <w:r>
        <w:t>7. Literature and industry context</w:t>
      </w:r>
    </w:p>
    <w:p>
      <w:r>
        <w:t>Jerath, Fader and Hardie (2011), Batislam et al. (2007), and Platzer and Reutterer (2016) motivate a purchase-cadence-aware but operational definition of inactivity. Modern CRM and ad platforms expose pieces of the workflow, but GrowthPilot’s concept is an integrated, provider-neutral control plane with explicit provenance, tenant scope and human authorization. This comparison is functional, not a claim of commercial superiority.</w:t>
      </w:r>
    </w:p>
    <w:p>
      <w:pPr>
        <w:pStyle w:val="Heading1"/>
      </w:pPr>
      <w:r>
        <w:t>Part II — Implementation plan</w:t>
      </w:r>
    </w:p>
    <w:p>
      <w:pPr>
        <w:pStyle w:val="Heading2"/>
      </w:pPr>
      <w:r>
        <w:t>1. Technology stack</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tblHeader w:val="true"/>
          <w:cantSplit w:val="true"/>
        </w:trPr>
        <w:tc>
          <w:tcPr>
            <w:tcW w:type="dxa" w:w="1700"/>
            <w:tcMar>
              <w:top w:w="80" w:type="dxa"/>
              <w:start w:w="120" w:type="dxa"/>
              <w:bottom w:w="80" w:type="dxa"/>
              <w:end w:w="120" w:type="dxa"/>
            </w:tcMar>
            <w:shd w:fill="F2F4F7"/>
            <w:vAlign w:val="center"/>
          </w:tcPr>
          <w:p>
            <w:pPr>
              <w:spacing w:after="0"/>
            </w:pPr>
            <w:r>
              <w:rPr>
                <w:rFonts w:ascii="Calibri" w:hAnsi="Calibri"/>
                <w:b/>
                <w:color w:val="173B32"/>
                <w:sz w:val="19"/>
              </w:rPr>
              <w:t>Layer</w:t>
            </w:r>
          </w:p>
        </w:tc>
        <w:tc>
          <w:tcPr>
            <w:tcW w:type="dxa" w:w="3000"/>
            <w:tcMar>
              <w:top w:w="80" w:type="dxa"/>
              <w:start w:w="120" w:type="dxa"/>
              <w:bottom w:w="80" w:type="dxa"/>
              <w:end w:w="120" w:type="dxa"/>
            </w:tcMar>
            <w:shd w:fill="F2F4F7"/>
            <w:vAlign w:val="center"/>
          </w:tcPr>
          <w:p>
            <w:pPr>
              <w:spacing w:after="0"/>
            </w:pPr>
            <w:r>
              <w:rPr>
                <w:rFonts w:ascii="Calibri" w:hAnsi="Calibri"/>
                <w:b/>
                <w:color w:val="173B32"/>
                <w:sz w:val="19"/>
              </w:rPr>
              <w:t>Technology</w:t>
            </w:r>
          </w:p>
        </w:tc>
        <w:tc>
          <w:tcPr>
            <w:tcW w:type="dxa" w:w="4660"/>
            <w:tcMar>
              <w:top w:w="80" w:type="dxa"/>
              <w:start w:w="120" w:type="dxa"/>
              <w:bottom w:w="80" w:type="dxa"/>
              <w:end w:w="120" w:type="dxa"/>
            </w:tcMar>
            <w:shd w:fill="F2F4F7"/>
            <w:vAlign w:val="center"/>
          </w:tcPr>
          <w:p>
            <w:pPr>
              <w:spacing w:after="0"/>
            </w:pPr>
            <w:r>
              <w:rPr>
                <w:rFonts w:ascii="Calibri" w:hAnsi="Calibri"/>
                <w:b/>
                <w:color w:val="173B32"/>
                <w:sz w:val="19"/>
              </w:rPr>
              <w:t>Responsibility</w:t>
            </w:r>
          </w:p>
        </w:tc>
      </w:tr>
      <w:tr>
        <w:trPr>
          <w:cantSplit w:val="true"/>
        </w:trPr>
        <w:tc>
          <w:tcPr>
            <w:tcW w:type="dxa" w:w="1700"/>
            <w:vAlign w:val="top"/>
          </w:tcPr>
          <w:p>
            <w:pPr>
              <w:spacing w:after="0"/>
            </w:pPr>
            <w:r>
              <w:rPr>
                <w:rFonts w:ascii="Calibri" w:hAnsi="Calibri"/>
                <w:color w:val="000000"/>
                <w:sz w:val="18"/>
              </w:rPr>
              <w:t>Web</w:t>
            </w:r>
          </w:p>
        </w:tc>
        <w:tc>
          <w:tcPr>
            <w:tcW w:type="dxa" w:w="3000"/>
            <w:vAlign w:val="top"/>
          </w:tcPr>
          <w:p>
            <w:pPr>
              <w:spacing w:after="0"/>
            </w:pPr>
            <w:r>
              <w:rPr>
                <w:rFonts w:ascii="Calibri" w:hAnsi="Calibri"/>
                <w:color w:val="000000"/>
                <w:sz w:val="18"/>
              </w:rPr>
              <w:t>Next.js, React, strict TypeScript</w:t>
            </w:r>
          </w:p>
        </w:tc>
        <w:tc>
          <w:tcPr>
            <w:tcW w:type="dxa" w:w="4660"/>
            <w:vAlign w:val="top"/>
          </w:tcPr>
          <w:p>
            <w:pPr>
              <w:spacing w:after="0"/>
            </w:pPr>
            <w:r>
              <w:rPr>
                <w:rFonts w:ascii="Calibri" w:hAnsi="Calibri"/>
                <w:color w:val="000000"/>
                <w:sz w:val="18"/>
              </w:rPr>
              <w:t>Operator navigation, honest loading/empty/error states, customer 360</w:t>
            </w:r>
          </w:p>
        </w:tc>
      </w:tr>
      <w:tr>
        <w:trPr>
          <w:cantSplit w:val="true"/>
        </w:trPr>
        <w:tc>
          <w:tcPr>
            <w:tcW w:type="dxa" w:w="1700"/>
            <w:vAlign w:val="top"/>
          </w:tcPr>
          <w:p>
            <w:pPr>
              <w:spacing w:after="0"/>
            </w:pPr>
            <w:r>
              <w:rPr>
                <w:rFonts w:ascii="Calibri" w:hAnsi="Calibri"/>
                <w:color w:val="000000"/>
                <w:sz w:val="18"/>
              </w:rPr>
              <w:t>API</w:t>
            </w:r>
          </w:p>
        </w:tc>
        <w:tc>
          <w:tcPr>
            <w:tcW w:type="dxa" w:w="3000"/>
            <w:vAlign w:val="top"/>
          </w:tcPr>
          <w:p>
            <w:pPr>
              <w:spacing w:after="0"/>
            </w:pPr>
            <w:r>
              <w:rPr>
                <w:rFonts w:ascii="Calibri" w:hAnsi="Calibri"/>
                <w:color w:val="000000"/>
                <w:sz w:val="18"/>
              </w:rPr>
              <w:t>Python 3.12, FastAPI, Pydantic, SQLAlchemy</w:t>
            </w:r>
          </w:p>
        </w:tc>
        <w:tc>
          <w:tcPr>
            <w:tcW w:type="dxa" w:w="4660"/>
            <w:vAlign w:val="top"/>
          </w:tcPr>
          <w:p>
            <w:pPr>
              <w:spacing w:after="0"/>
            </w:pPr>
            <w:r>
              <w:rPr>
                <w:rFonts w:ascii="Calibri" w:hAnsi="Calibri"/>
                <w:color w:val="000000"/>
                <w:sz w:val="18"/>
              </w:rPr>
              <w:t>Validation, RBAC, domain rules, OpenAPI</w:t>
            </w:r>
          </w:p>
        </w:tc>
      </w:tr>
      <w:tr>
        <w:trPr>
          <w:cantSplit w:val="true"/>
        </w:trPr>
        <w:tc>
          <w:tcPr>
            <w:tcW w:type="dxa" w:w="1700"/>
            <w:vAlign w:val="top"/>
          </w:tcPr>
          <w:p>
            <w:pPr>
              <w:spacing w:after="0"/>
            </w:pPr>
            <w:r>
              <w:rPr>
                <w:rFonts w:ascii="Calibri" w:hAnsi="Calibri"/>
                <w:color w:val="000000"/>
                <w:sz w:val="18"/>
              </w:rPr>
              <w:t>Data</w:t>
            </w:r>
          </w:p>
        </w:tc>
        <w:tc>
          <w:tcPr>
            <w:tcW w:type="dxa" w:w="3000"/>
            <w:vAlign w:val="top"/>
          </w:tcPr>
          <w:p>
            <w:pPr>
              <w:spacing w:after="0"/>
            </w:pPr>
            <w:r>
              <w:rPr>
                <w:rFonts w:ascii="Calibri" w:hAnsi="Calibri"/>
                <w:color w:val="000000"/>
                <w:sz w:val="18"/>
              </w:rPr>
              <w:t>PostgreSQL + RLS; S3-compatible object boundary</w:t>
            </w:r>
          </w:p>
        </w:tc>
        <w:tc>
          <w:tcPr>
            <w:tcW w:type="dxa" w:w="4660"/>
            <w:vAlign w:val="top"/>
          </w:tcPr>
          <w:p>
            <w:pPr>
              <w:spacing w:after="0"/>
            </w:pPr>
            <w:r>
              <w:rPr>
                <w:rFonts w:ascii="Calibri" w:hAnsi="Calibri"/>
                <w:color w:val="000000"/>
                <w:sz w:val="18"/>
              </w:rPr>
              <w:t>Canonical records, provenance, tenant isolation, bounded raw payloads</w:t>
            </w:r>
          </w:p>
        </w:tc>
      </w:tr>
      <w:tr>
        <w:trPr>
          <w:cantSplit w:val="true"/>
        </w:trPr>
        <w:tc>
          <w:tcPr>
            <w:tcW w:type="dxa" w:w="1700"/>
            <w:vAlign w:val="top"/>
          </w:tcPr>
          <w:p>
            <w:pPr>
              <w:spacing w:after="0"/>
            </w:pPr>
            <w:r>
              <w:rPr>
                <w:rFonts w:ascii="Calibri" w:hAnsi="Calibri"/>
                <w:color w:val="000000"/>
                <w:sz w:val="18"/>
              </w:rPr>
              <w:t>Async</w:t>
            </w:r>
          </w:p>
        </w:tc>
        <w:tc>
          <w:tcPr>
            <w:tcW w:type="dxa" w:w="3000"/>
            <w:vAlign w:val="top"/>
          </w:tcPr>
          <w:p>
            <w:pPr>
              <w:spacing w:after="0"/>
            </w:pPr>
            <w:r>
              <w:rPr>
                <w:rFonts w:ascii="Calibri" w:hAnsi="Calibri"/>
                <w:color w:val="000000"/>
                <w:sz w:val="18"/>
              </w:rPr>
              <w:t>Redis, Dramatiq, outbox</w:t>
            </w:r>
          </w:p>
        </w:tc>
        <w:tc>
          <w:tcPr>
            <w:tcW w:type="dxa" w:w="4660"/>
            <w:vAlign w:val="top"/>
          </w:tcPr>
          <w:p>
            <w:pPr>
              <w:spacing w:after="0"/>
            </w:pPr>
            <w:r>
              <w:rPr>
                <w:rFonts w:ascii="Calibri" w:hAnsi="Calibri"/>
                <w:color w:val="000000"/>
                <w:sz w:val="18"/>
              </w:rPr>
              <w:t>Import, sync and scoring jobs with rechecked permissions</w:t>
            </w:r>
          </w:p>
        </w:tc>
      </w:tr>
      <w:tr>
        <w:trPr>
          <w:cantSplit w:val="true"/>
        </w:trPr>
        <w:tc>
          <w:tcPr>
            <w:tcW w:type="dxa" w:w="1700"/>
            <w:vAlign w:val="top"/>
          </w:tcPr>
          <w:p>
            <w:pPr>
              <w:spacing w:after="0"/>
            </w:pPr>
            <w:r>
              <w:rPr>
                <w:rFonts w:ascii="Calibri" w:hAnsi="Calibri"/>
                <w:color w:val="000000"/>
                <w:sz w:val="18"/>
              </w:rPr>
              <w:t>ML</w:t>
            </w:r>
          </w:p>
        </w:tc>
        <w:tc>
          <w:tcPr>
            <w:tcW w:type="dxa" w:w="3000"/>
            <w:vAlign w:val="top"/>
          </w:tcPr>
          <w:p>
            <w:pPr>
              <w:spacing w:after="0"/>
            </w:pPr>
            <w:r>
              <w:rPr>
                <w:rFonts w:ascii="Calibri" w:hAnsi="Calibri"/>
                <w:color w:val="000000"/>
                <w:sz w:val="18"/>
              </w:rPr>
              <w:t>pandas/Polars, scikit-learn, LightGBM, SHAP, MLflow</w:t>
            </w:r>
          </w:p>
        </w:tc>
        <w:tc>
          <w:tcPr>
            <w:tcW w:type="dxa" w:w="4660"/>
            <w:vAlign w:val="top"/>
          </w:tcPr>
          <w:p>
            <w:pPr>
              <w:spacing w:after="0"/>
            </w:pPr>
            <w:r>
              <w:rPr>
                <w:rFonts w:ascii="Calibri" w:hAnsi="Calibri"/>
                <w:color w:val="000000"/>
                <w:sz w:val="18"/>
              </w:rPr>
              <w:t>Feature pipeline, experiments, registry, explanations</w:t>
            </w:r>
          </w:p>
        </w:tc>
      </w:tr>
      <w:tr>
        <w:trPr>
          <w:cantSplit w:val="true"/>
        </w:trPr>
        <w:tc>
          <w:tcPr>
            <w:tcW w:type="dxa" w:w="1700"/>
            <w:vAlign w:val="top"/>
          </w:tcPr>
          <w:p>
            <w:pPr>
              <w:spacing w:after="0"/>
            </w:pPr>
            <w:r>
              <w:rPr>
                <w:rFonts w:ascii="Calibri" w:hAnsi="Calibri"/>
                <w:color w:val="000000"/>
                <w:sz w:val="18"/>
              </w:rPr>
              <w:t>Quality/ops</w:t>
            </w:r>
          </w:p>
        </w:tc>
        <w:tc>
          <w:tcPr>
            <w:tcW w:type="dxa" w:w="3000"/>
            <w:vAlign w:val="top"/>
          </w:tcPr>
          <w:p>
            <w:pPr>
              <w:spacing w:after="0"/>
            </w:pPr>
            <w:r>
              <w:rPr>
                <w:rFonts w:ascii="Calibri" w:hAnsi="Calibri"/>
                <w:color w:val="000000"/>
                <w:sz w:val="18"/>
              </w:rPr>
              <w:t>pytest, Ruff, mypy, Vitest, ESLint, OTel, Prometheus</w:t>
            </w:r>
          </w:p>
        </w:tc>
        <w:tc>
          <w:tcPr>
            <w:tcW w:type="dxa" w:w="4660"/>
            <w:vAlign w:val="top"/>
          </w:tcPr>
          <w:p>
            <w:pPr>
              <w:spacing w:after="0"/>
            </w:pPr>
            <w:r>
              <w:rPr>
                <w:rFonts w:ascii="Calibri" w:hAnsi="Calibri"/>
                <w:color w:val="000000"/>
                <w:sz w:val="18"/>
              </w:rPr>
              <w:t>Automated gates and observability</w:t>
            </w:r>
          </w:p>
        </w:tc>
      </w:tr>
    </w:tbl>
    <w:p>
      <w:pPr>
        <w:spacing w:after="40"/>
      </w:pPr>
    </w:p>
    <w:p>
      <w:pPr>
        <w:pStyle w:val="Heading2"/>
      </w:pPr>
      <w:r>
        <w:t>2. Timeline and ownership</w:t>
      </w:r>
    </w:p>
    <w:tbl>
      <w:tblPr>
        <w:tblStyle w:val="TableGrid"/>
        <w:tblW w:type="dxa" w:w="9360"/>
        <w:jc w:val="left"/>
        <w:tblLayout w:type="fixed"/>
        <w:tblLook w:firstColumn="1" w:firstRow="1" w:lastColumn="0" w:lastRow="0" w:noHBand="0" w:noVBand="1" w:val="04A0"/>
        <w:tblInd w:w="120" w:type="dxa"/>
      </w:tblPr>
      <w:tblGrid>
        <w:gridCol w:w="1600"/>
        <w:gridCol w:w="3000"/>
        <w:gridCol w:w="2100"/>
        <w:gridCol w:w="2660"/>
      </w:tblGrid>
      <w:tr>
        <w:trPr>
          <w:tblHeader w:val="true"/>
          <w:cantSplit w:val="true"/>
        </w:trPr>
        <w:tc>
          <w:tcPr>
            <w:tcW w:type="dxa" w:w="1600"/>
            <w:tcMar>
              <w:top w:w="80" w:type="dxa"/>
              <w:start w:w="120" w:type="dxa"/>
              <w:bottom w:w="80" w:type="dxa"/>
              <w:end w:w="120" w:type="dxa"/>
            </w:tcMar>
            <w:shd w:fill="F2F4F7"/>
            <w:vAlign w:val="center"/>
          </w:tcPr>
          <w:p>
            <w:pPr>
              <w:spacing w:after="0"/>
            </w:pPr>
            <w:r>
              <w:rPr>
                <w:rFonts w:ascii="Calibri" w:hAnsi="Calibri"/>
                <w:b/>
                <w:color w:val="173B32"/>
                <w:sz w:val="19"/>
              </w:rPr>
              <w:t>Phase window</w:t>
            </w:r>
          </w:p>
        </w:tc>
        <w:tc>
          <w:tcPr>
            <w:tcW w:type="dxa" w:w="3000"/>
            <w:tcMar>
              <w:top w:w="80" w:type="dxa"/>
              <w:start w:w="120" w:type="dxa"/>
              <w:bottom w:w="80" w:type="dxa"/>
              <w:end w:w="120" w:type="dxa"/>
            </w:tcMar>
            <w:shd w:fill="F2F4F7"/>
            <w:vAlign w:val="center"/>
          </w:tcPr>
          <w:p>
            <w:pPr>
              <w:spacing w:after="0"/>
            </w:pPr>
            <w:r>
              <w:rPr>
                <w:rFonts w:ascii="Calibri" w:hAnsi="Calibri"/>
                <w:b/>
                <w:color w:val="173B32"/>
                <w:sz w:val="19"/>
              </w:rPr>
              <w:t>Work package</w:t>
            </w:r>
          </w:p>
        </w:tc>
        <w:tc>
          <w:tcPr>
            <w:tcW w:type="dxa" w:w="2100"/>
            <w:tcMar>
              <w:top w:w="80" w:type="dxa"/>
              <w:start w:w="120" w:type="dxa"/>
              <w:bottom w:w="80" w:type="dxa"/>
              <w:end w:w="120" w:type="dxa"/>
            </w:tcMar>
            <w:shd w:fill="F2F4F7"/>
            <w:vAlign w:val="center"/>
          </w:tcPr>
          <w:p>
            <w:pPr>
              <w:spacing w:after="0"/>
            </w:pPr>
            <w:r>
              <w:rPr>
                <w:rFonts w:ascii="Calibri" w:hAnsi="Calibri"/>
                <w:b/>
                <w:color w:val="173B32"/>
                <w:sz w:val="19"/>
              </w:rPr>
              <w:t>Owner / reviewer</w:t>
            </w:r>
          </w:p>
        </w:tc>
        <w:tc>
          <w:tcPr>
            <w:tcW w:type="dxa" w:w="2660"/>
            <w:tcMar>
              <w:top w:w="80" w:type="dxa"/>
              <w:start w:w="120" w:type="dxa"/>
              <w:bottom w:w="80" w:type="dxa"/>
              <w:end w:w="120" w:type="dxa"/>
            </w:tcMar>
            <w:shd w:fill="F2F4F7"/>
            <w:vAlign w:val="center"/>
          </w:tcPr>
          <w:p>
            <w:pPr>
              <w:spacing w:after="0"/>
            </w:pPr>
            <w:r>
              <w:rPr>
                <w:rFonts w:ascii="Calibri" w:hAnsi="Calibri"/>
                <w:b/>
                <w:color w:val="173B32"/>
                <w:sz w:val="19"/>
              </w:rPr>
              <w:t>Evidence / status</w:t>
            </w:r>
          </w:p>
        </w:tc>
      </w:tr>
      <w:tr>
        <w:trPr>
          <w:cantSplit w:val="true"/>
        </w:trPr>
        <w:tc>
          <w:tcPr>
            <w:tcW w:type="dxa" w:w="1600"/>
            <w:vAlign w:val="top"/>
          </w:tcPr>
          <w:p>
            <w:pPr>
              <w:spacing w:after="0"/>
            </w:pPr>
            <w:r>
              <w:rPr>
                <w:rFonts w:ascii="Calibri" w:hAnsi="Calibri"/>
                <w:color w:val="000000"/>
                <w:sz w:val="18"/>
              </w:rPr>
              <w:t>2026-09-08</w:t>
            </w:r>
          </w:p>
        </w:tc>
        <w:tc>
          <w:tcPr>
            <w:tcW w:type="dxa" w:w="3000"/>
            <w:vAlign w:val="top"/>
          </w:tcPr>
          <w:p>
            <w:pPr>
              <w:spacing w:after="0"/>
            </w:pPr>
            <w:r>
              <w:rPr>
                <w:rFonts w:ascii="Calibri" w:hAnsi="Calibri"/>
                <w:color w:val="000000"/>
                <w:sz w:val="18"/>
              </w:rPr>
              <w:t>Governance, architecture, domain and data contracts</w:t>
            </w:r>
          </w:p>
        </w:tc>
        <w:tc>
          <w:tcPr>
            <w:tcW w:type="dxa" w:w="2100"/>
            <w:vAlign w:val="top"/>
          </w:tcPr>
          <w:p>
            <w:pPr>
              <w:spacing w:after="0"/>
            </w:pPr>
            <w:r>
              <w:rPr>
                <w:rFonts w:ascii="Calibri" w:hAnsi="Calibri"/>
                <w:color w:val="000000"/>
                <w:sz w:val="18"/>
              </w:rPr>
              <w:t>Codex / Project Lead</w:t>
            </w:r>
          </w:p>
        </w:tc>
        <w:tc>
          <w:tcPr>
            <w:tcW w:type="dxa" w:w="2660"/>
            <w:vAlign w:val="top"/>
          </w:tcPr>
          <w:p>
            <w:pPr>
              <w:spacing w:after="0"/>
            </w:pPr>
            <w:r>
              <w:rPr>
                <w:rFonts w:ascii="Calibri" w:hAnsi="Calibri"/>
                <w:color w:val="000000"/>
                <w:sz w:val="18"/>
              </w:rPr>
              <w:t>Local commits; ADRs; requirements — complete</w:t>
            </w:r>
          </w:p>
        </w:tc>
      </w:tr>
      <w:tr>
        <w:trPr>
          <w:cantSplit w:val="true"/>
        </w:trPr>
        <w:tc>
          <w:tcPr>
            <w:tcW w:type="dxa" w:w="1600"/>
            <w:vAlign w:val="top"/>
          </w:tcPr>
          <w:p>
            <w:pPr>
              <w:spacing w:after="0"/>
            </w:pPr>
            <w:r>
              <w:rPr>
                <w:rFonts w:ascii="Calibri" w:hAnsi="Calibri"/>
                <w:color w:val="000000"/>
                <w:sz w:val="18"/>
              </w:rPr>
              <w:t>2026-09-08</w:t>
            </w:r>
          </w:p>
        </w:tc>
        <w:tc>
          <w:tcPr>
            <w:tcW w:type="dxa" w:w="3000"/>
            <w:vAlign w:val="top"/>
          </w:tcPr>
          <w:p>
            <w:pPr>
              <w:spacing w:after="0"/>
            </w:pPr>
            <w:r>
              <w:rPr>
                <w:rFonts w:ascii="Calibri" w:hAnsi="Calibri"/>
                <w:color w:val="000000"/>
                <w:sz w:val="18"/>
              </w:rPr>
              <w:t>Dataset research, preparation, features and model exploration</w:t>
            </w:r>
          </w:p>
        </w:tc>
        <w:tc>
          <w:tcPr>
            <w:tcW w:type="dxa" w:w="2100"/>
            <w:vAlign w:val="top"/>
          </w:tcPr>
          <w:p>
            <w:pPr>
              <w:spacing w:after="0"/>
            </w:pPr>
            <w:r>
              <w:rPr>
                <w:rFonts w:ascii="Calibri" w:hAnsi="Calibri"/>
                <w:color w:val="000000"/>
                <w:sz w:val="18"/>
              </w:rPr>
              <w:t>Codex / ML-AI Lead</w:t>
            </w:r>
          </w:p>
        </w:tc>
        <w:tc>
          <w:tcPr>
            <w:tcW w:type="dxa" w:w="2660"/>
            <w:vAlign w:val="top"/>
          </w:tcPr>
          <w:p>
            <w:pPr>
              <w:spacing w:after="0"/>
            </w:pPr>
            <w:r>
              <w:rPr>
                <w:rFonts w:ascii="Calibri" w:hAnsi="Calibri"/>
                <w:color w:val="000000"/>
                <w:sz w:val="18"/>
              </w:rPr>
              <w:t>Profiles, splits, MLflow runs — complete</w:t>
            </w:r>
          </w:p>
        </w:tc>
      </w:tr>
      <w:tr>
        <w:trPr>
          <w:cantSplit w:val="true"/>
        </w:trPr>
        <w:tc>
          <w:tcPr>
            <w:tcW w:type="dxa" w:w="1600"/>
            <w:vAlign w:val="top"/>
          </w:tcPr>
          <w:p>
            <w:pPr>
              <w:spacing w:after="0"/>
            </w:pPr>
            <w:r>
              <w:rPr>
                <w:rFonts w:ascii="Calibri" w:hAnsi="Calibri"/>
                <w:color w:val="000000"/>
                <w:sz w:val="18"/>
              </w:rPr>
              <w:t>2026-09-08</w:t>
            </w:r>
          </w:p>
        </w:tc>
        <w:tc>
          <w:tcPr>
            <w:tcW w:type="dxa" w:w="3000"/>
            <w:vAlign w:val="top"/>
          </w:tcPr>
          <w:p>
            <w:pPr>
              <w:spacing w:after="0"/>
            </w:pPr>
            <w:r>
              <w:rPr>
                <w:rFonts w:ascii="Calibri" w:hAnsi="Calibri"/>
                <w:color w:val="000000"/>
                <w:sz w:val="18"/>
              </w:rPr>
              <w:t>Refinement, frozen test, explanations and decision evidence</w:t>
            </w:r>
          </w:p>
        </w:tc>
        <w:tc>
          <w:tcPr>
            <w:tcW w:type="dxa" w:w="2100"/>
            <w:vAlign w:val="top"/>
          </w:tcPr>
          <w:p>
            <w:pPr>
              <w:spacing w:after="0"/>
            </w:pPr>
            <w:r>
              <w:rPr>
                <w:rFonts w:ascii="Calibri" w:hAnsi="Calibri"/>
                <w:color w:val="000000"/>
                <w:sz w:val="18"/>
              </w:rPr>
              <w:t>Codex / ML-AI Lead</w:t>
            </w:r>
          </w:p>
        </w:tc>
        <w:tc>
          <w:tcPr>
            <w:tcW w:type="dxa" w:w="2660"/>
            <w:vAlign w:val="top"/>
          </w:tcPr>
          <w:p>
            <w:pPr>
              <w:spacing w:after="0"/>
            </w:pPr>
            <w:r>
              <w:rPr>
                <w:rFonts w:ascii="Calibri" w:hAnsi="Calibri"/>
                <w:color w:val="000000"/>
                <w:sz w:val="18"/>
              </w:rPr>
              <w:t>Final artifacts and checksums — complete</w:t>
            </w:r>
          </w:p>
        </w:tc>
      </w:tr>
      <w:tr>
        <w:trPr>
          <w:cantSplit w:val="true"/>
        </w:trPr>
        <w:tc>
          <w:tcPr>
            <w:tcW w:type="dxa" w:w="1600"/>
            <w:vAlign w:val="top"/>
          </w:tcPr>
          <w:p>
            <w:pPr>
              <w:spacing w:after="0"/>
            </w:pPr>
            <w:r>
              <w:rPr>
                <w:rFonts w:ascii="Calibri" w:hAnsi="Calibri"/>
                <w:color w:val="000000"/>
                <w:sz w:val="18"/>
              </w:rPr>
              <w:t>2026-09-09</w:t>
            </w:r>
          </w:p>
        </w:tc>
        <w:tc>
          <w:tcPr>
            <w:tcW w:type="dxa" w:w="3000"/>
            <w:vAlign w:val="top"/>
          </w:tcPr>
          <w:p>
            <w:pPr>
              <w:spacing w:after="0"/>
            </w:pPr>
            <w:r>
              <w:rPr>
                <w:rFonts w:ascii="Calibri" w:hAnsi="Calibri"/>
                <w:color w:val="000000"/>
                <w:sz w:val="18"/>
              </w:rPr>
              <w:t>Inference, UI, integrations, attribution, audiences and generation</w:t>
            </w:r>
          </w:p>
        </w:tc>
        <w:tc>
          <w:tcPr>
            <w:tcW w:type="dxa" w:w="2100"/>
            <w:vAlign w:val="top"/>
          </w:tcPr>
          <w:p>
            <w:pPr>
              <w:spacing w:after="0"/>
            </w:pPr>
            <w:r>
              <w:rPr>
                <w:rFonts w:ascii="Calibri" w:hAnsi="Calibri"/>
                <w:color w:val="000000"/>
                <w:sz w:val="18"/>
              </w:rPr>
              <w:t>Codex / Project Lead</w:t>
            </w:r>
          </w:p>
        </w:tc>
        <w:tc>
          <w:tcPr>
            <w:tcW w:type="dxa" w:w="2660"/>
            <w:vAlign w:val="top"/>
          </w:tcPr>
          <w:p>
            <w:pPr>
              <w:spacing w:after="0"/>
            </w:pPr>
            <w:r>
              <w:rPr>
                <w:rFonts w:ascii="Calibri" w:hAnsi="Calibri"/>
                <w:color w:val="000000"/>
                <w:sz w:val="18"/>
              </w:rPr>
              <w:t>Local code/tests — complete; live credentials absent</w:t>
            </w:r>
          </w:p>
        </w:tc>
      </w:tr>
      <w:tr>
        <w:trPr>
          <w:cantSplit w:val="true"/>
        </w:trPr>
        <w:tc>
          <w:tcPr>
            <w:tcW w:type="dxa" w:w="1600"/>
            <w:vAlign w:val="top"/>
          </w:tcPr>
          <w:p>
            <w:pPr>
              <w:spacing w:after="0"/>
            </w:pPr>
            <w:r>
              <w:rPr>
                <w:rFonts w:ascii="Calibri" w:hAnsi="Calibri"/>
                <w:color w:val="000000"/>
                <w:sz w:val="18"/>
              </w:rPr>
              <w:t>2026-09-09</w:t>
            </w:r>
          </w:p>
        </w:tc>
        <w:tc>
          <w:tcPr>
            <w:tcW w:type="dxa" w:w="3000"/>
            <w:vAlign w:val="top"/>
          </w:tcPr>
          <w:p>
            <w:pPr>
              <w:spacing w:after="0"/>
            </w:pPr>
            <w:r>
              <w:rPr>
                <w:rFonts w:ascii="Calibri" w:hAnsi="Calibri"/>
                <w:color w:val="000000"/>
                <w:sz w:val="18"/>
              </w:rPr>
              <w:t>Security hardening, academic package and release readiness</w:t>
            </w:r>
          </w:p>
        </w:tc>
        <w:tc>
          <w:tcPr>
            <w:tcW w:type="dxa" w:w="2100"/>
            <w:vAlign w:val="top"/>
          </w:tcPr>
          <w:p>
            <w:pPr>
              <w:spacing w:after="0"/>
            </w:pPr>
            <w:r>
              <w:rPr>
                <w:rFonts w:ascii="Calibri" w:hAnsi="Calibri"/>
                <w:color w:val="000000"/>
                <w:sz w:val="18"/>
              </w:rPr>
              <w:t>Codex / Founder</w:t>
            </w:r>
          </w:p>
        </w:tc>
        <w:tc>
          <w:tcPr>
            <w:tcW w:type="dxa" w:w="2660"/>
            <w:vAlign w:val="top"/>
          </w:tcPr>
          <w:p>
            <w:pPr>
              <w:spacing w:after="0"/>
            </w:pPr>
            <w:r>
              <w:rPr>
                <w:rFonts w:ascii="Calibri" w:hAnsi="Calibri"/>
                <w:color w:val="000000"/>
                <w:sz w:val="18"/>
              </w:rPr>
              <w:t>Local validation — in final review</w:t>
            </w:r>
          </w:p>
        </w:tc>
      </w:tr>
      <w:tr>
        <w:trPr>
          <w:cantSplit w:val="true"/>
        </w:trPr>
        <w:tc>
          <w:tcPr>
            <w:tcW w:type="dxa" w:w="1600"/>
            <w:vAlign w:val="top"/>
          </w:tcPr>
          <w:p>
            <w:pPr>
              <w:spacing w:after="0"/>
            </w:pPr>
            <w:r>
              <w:rPr>
                <w:rFonts w:ascii="Calibri" w:hAnsi="Calibri"/>
                <w:color w:val="000000"/>
                <w:sz w:val="18"/>
              </w:rPr>
              <w:t>After approval</w:t>
            </w:r>
          </w:p>
        </w:tc>
        <w:tc>
          <w:tcPr>
            <w:tcW w:type="dxa" w:w="3000"/>
            <w:vAlign w:val="top"/>
          </w:tcPr>
          <w:p>
            <w:pPr>
              <w:spacing w:after="0"/>
            </w:pPr>
            <w:r>
              <w:rPr>
                <w:rFonts w:ascii="Calibri" w:hAnsi="Calibri"/>
                <w:color w:val="000000"/>
                <w:sz w:val="18"/>
              </w:rPr>
              <w:t>Credentialed sandboxes, deployment, pilot and causal impact test</w:t>
            </w:r>
          </w:p>
        </w:tc>
        <w:tc>
          <w:tcPr>
            <w:tcW w:type="dxa" w:w="2100"/>
            <w:vAlign w:val="top"/>
          </w:tcPr>
          <w:p>
            <w:pPr>
              <w:spacing w:after="0"/>
            </w:pPr>
            <w:r>
              <w:rPr>
                <w:rFonts w:ascii="Calibri" w:hAnsi="Calibri"/>
                <w:color w:val="000000"/>
                <w:sz w:val="18"/>
              </w:rPr>
              <w:t>Founder / Project Lead</w:t>
            </w:r>
          </w:p>
        </w:tc>
        <w:tc>
          <w:tcPr>
            <w:tcW w:type="dxa" w:w="2660"/>
            <w:vAlign w:val="top"/>
          </w:tcPr>
          <w:p>
            <w:pPr>
              <w:spacing w:after="0"/>
            </w:pPr>
            <w:r>
              <w:rPr>
                <w:rFonts w:ascii="Calibri" w:hAnsi="Calibri"/>
                <w:color w:val="000000"/>
                <w:sz w:val="18"/>
              </w:rPr>
              <w:t>External validation — not started</w:t>
            </w:r>
          </w:p>
        </w:tc>
      </w:tr>
    </w:tbl>
    <w:p>
      <w:pPr>
        <w:spacing w:after="40"/>
      </w:pPr>
    </w:p>
    <w:p>
      <w:pPr>
        <w:spacing w:before="80" w:after="80"/>
      </w:pPr>
      <w:r>
        <w:rPr>
          <w:rFonts w:ascii="Calibri" w:hAnsi="Calibri"/>
          <w:i/>
          <w:color w:val="547068"/>
          <w:sz w:val="17"/>
        </w:rPr>
        <w:t>These are actual local execution dates, not backdated instructor submission claims.</w:t>
      </w:r>
    </w:p>
    <w:p>
      <w:pPr>
        <w:pStyle w:val="Heading2"/>
      </w:pPr>
      <w:r>
        <w:t>3. Milestones and evidence</w:t>
      </w:r>
    </w:p>
    <w:p>
      <w:pPr>
        <w:pStyle w:val="AcademicBullet"/>
      </w:pPr>
      <w:r>
        <w:t>M0–M1: governance baseline, accepted ADRs, threat/data contracts and clean Git history.</w:t>
      </w:r>
    </w:p>
    <w:p>
      <w:pPr>
        <w:pStyle w:val="AcademicBullet"/>
      </w:pPr>
      <w:r>
        <w:t>M2–M5: cited research, licensed source, reproducible preparation, model comparison, frozen evaluation and explanation evidence.</w:t>
      </w:r>
    </w:p>
    <w:p>
      <w:pPr>
        <w:pStyle w:val="AcademicBullet"/>
      </w:pPr>
      <w:r>
        <w:t>M6–M10: tenant-safe API/UI, CRM/commerce/imports, intelligence, adapters, attribution, audiences and approval lifecycle.</w:t>
      </w:r>
    </w:p>
    <w:p>
      <w:pPr>
        <w:pStyle w:val="AcademicBullet"/>
      </w:pPr>
      <w:r>
        <w:t>M11–M12: security/recovery boundaries, complete tests, academic deliverables, demo script and release-readiness report.</w:t>
      </w:r>
    </w:p>
    <w:p>
      <w:pPr>
        <w:pStyle w:val="Heading2"/>
      </w:pPr>
      <w:r>
        <w:t>4. Challenges, mitigations and fallback plans</w:t>
      </w:r>
    </w:p>
    <w:tbl>
      <w:tblPr>
        <w:tblStyle w:val="TableGrid"/>
        <w:tblW w:type="dxa" w:w="9360"/>
        <w:jc w:val="left"/>
        <w:tblLayout w:type="fixed"/>
        <w:tblLook w:firstColumn="1" w:firstRow="1" w:lastColumn="0" w:lastRow="0" w:noHBand="0" w:noVBand="1" w:val="04A0"/>
        <w:tblInd w:w="120" w:type="dxa"/>
      </w:tblPr>
      <w:tblGrid>
        <w:gridCol w:w="2250"/>
        <w:gridCol w:w="3650"/>
        <w:gridCol w:w="3460"/>
      </w:tblGrid>
      <w:tr>
        <w:trPr>
          <w:tblHeader w:val="true"/>
          <w:cantSplit w:val="true"/>
        </w:trPr>
        <w:tc>
          <w:tcPr>
            <w:tcW w:type="dxa" w:w="2250"/>
            <w:tcMar>
              <w:top w:w="80" w:type="dxa"/>
              <w:start w:w="120" w:type="dxa"/>
              <w:bottom w:w="80" w:type="dxa"/>
              <w:end w:w="120" w:type="dxa"/>
            </w:tcMar>
            <w:shd w:fill="F2F4F7"/>
            <w:vAlign w:val="center"/>
          </w:tcPr>
          <w:p>
            <w:pPr>
              <w:spacing w:after="0"/>
            </w:pPr>
            <w:r>
              <w:rPr>
                <w:rFonts w:ascii="Calibri" w:hAnsi="Calibri"/>
                <w:b/>
                <w:color w:val="173B32"/>
                <w:sz w:val="19"/>
              </w:rPr>
              <w:t>Risk</w:t>
            </w:r>
          </w:p>
        </w:tc>
        <w:tc>
          <w:tcPr>
            <w:tcW w:type="dxa" w:w="3650"/>
            <w:tcMar>
              <w:top w:w="80" w:type="dxa"/>
              <w:start w:w="120" w:type="dxa"/>
              <w:bottom w:w="80" w:type="dxa"/>
              <w:end w:w="120" w:type="dxa"/>
            </w:tcMar>
            <w:shd w:fill="F2F4F7"/>
            <w:vAlign w:val="center"/>
          </w:tcPr>
          <w:p>
            <w:pPr>
              <w:spacing w:after="0"/>
            </w:pPr>
            <w:r>
              <w:rPr>
                <w:rFonts w:ascii="Calibri" w:hAnsi="Calibri"/>
                <w:b/>
                <w:color w:val="173B32"/>
                <w:sz w:val="19"/>
              </w:rPr>
              <w:t>Mitigation</w:t>
            </w:r>
          </w:p>
        </w:tc>
        <w:tc>
          <w:tcPr>
            <w:tcW w:type="dxa" w:w="3460"/>
            <w:tcMar>
              <w:top w:w="80" w:type="dxa"/>
              <w:start w:w="120" w:type="dxa"/>
              <w:bottom w:w="80" w:type="dxa"/>
              <w:end w:w="120" w:type="dxa"/>
            </w:tcMar>
            <w:shd w:fill="F2F4F7"/>
            <w:vAlign w:val="center"/>
          </w:tcPr>
          <w:p>
            <w:pPr>
              <w:spacing w:after="0"/>
            </w:pPr>
            <w:r>
              <w:rPr>
                <w:rFonts w:ascii="Calibri" w:hAnsi="Calibri"/>
                <w:b/>
                <w:color w:val="173B32"/>
                <w:sz w:val="19"/>
              </w:rPr>
              <w:t>Fallback / decision boundary</w:t>
            </w:r>
          </w:p>
        </w:tc>
      </w:tr>
      <w:tr>
        <w:trPr>
          <w:cantSplit w:val="true"/>
        </w:trPr>
        <w:tc>
          <w:tcPr>
            <w:tcW w:type="dxa" w:w="2250"/>
            <w:vAlign w:val="top"/>
          </w:tcPr>
          <w:p>
            <w:pPr>
              <w:spacing w:after="0"/>
            </w:pPr>
            <w:r>
              <w:rPr>
                <w:rFonts w:ascii="Calibri" w:hAnsi="Calibri"/>
                <w:color w:val="000000"/>
                <w:sz w:val="18"/>
              </w:rPr>
              <w:t>Historical single-retailer bias</w:t>
            </w:r>
          </w:p>
        </w:tc>
        <w:tc>
          <w:tcPr>
            <w:tcW w:type="dxa" w:w="3650"/>
            <w:vAlign w:val="top"/>
          </w:tcPr>
          <w:p>
            <w:pPr>
              <w:spacing w:after="0"/>
            </w:pPr>
            <w:r>
              <w:rPr>
                <w:rFonts w:ascii="Calibri" w:hAnsi="Calibri"/>
                <w:color w:val="000000"/>
                <w:sz w:val="18"/>
              </w:rPr>
              <w:t>Temporal holdout, intervals, explicit evidence labels</w:t>
            </w:r>
          </w:p>
        </w:tc>
        <w:tc>
          <w:tcPr>
            <w:tcW w:type="dxa" w:w="3460"/>
            <w:vAlign w:val="top"/>
          </w:tcPr>
          <w:p>
            <w:pPr>
              <w:spacing w:after="0"/>
            </w:pPr>
            <w:r>
              <w:rPr>
                <w:rFonts w:ascii="Calibri" w:hAnsi="Calibri"/>
                <w:color w:val="000000"/>
                <w:sz w:val="18"/>
              </w:rPr>
              <w:t>Do not deploy model until tenant data is validated</w:t>
            </w:r>
          </w:p>
        </w:tc>
      </w:tr>
      <w:tr>
        <w:trPr>
          <w:cantSplit w:val="true"/>
        </w:trPr>
        <w:tc>
          <w:tcPr>
            <w:tcW w:type="dxa" w:w="2250"/>
            <w:vAlign w:val="top"/>
          </w:tcPr>
          <w:p>
            <w:pPr>
              <w:spacing w:after="0"/>
            </w:pPr>
            <w:r>
              <w:rPr>
                <w:rFonts w:ascii="Calibri" w:hAnsi="Calibri"/>
                <w:color w:val="000000"/>
                <w:sz w:val="18"/>
              </w:rPr>
              <w:t>Inactivity is not contractual churn</w:t>
            </w:r>
          </w:p>
        </w:tc>
        <w:tc>
          <w:tcPr>
            <w:tcW w:type="dxa" w:w="3650"/>
            <w:vAlign w:val="top"/>
          </w:tcPr>
          <w:p>
            <w:pPr>
              <w:spacing w:after="0"/>
            </w:pPr>
            <w:r>
              <w:rPr>
                <w:rFonts w:ascii="Calibri" w:hAnsi="Calibri"/>
                <w:color w:val="000000"/>
                <w:sz w:val="18"/>
              </w:rPr>
              <w:t>Operational label and target version</w:t>
            </w:r>
          </w:p>
        </w:tc>
        <w:tc>
          <w:tcPr>
            <w:tcW w:type="dxa" w:w="3460"/>
            <w:vAlign w:val="top"/>
          </w:tcPr>
          <w:p>
            <w:pPr>
              <w:spacing w:after="0"/>
            </w:pPr>
            <w:r>
              <w:rPr>
                <w:rFonts w:ascii="Calibri" w:hAnsi="Calibri"/>
                <w:color w:val="000000"/>
                <w:sz w:val="18"/>
              </w:rPr>
              <w:t>Present score as inactivity risk only</w:t>
            </w:r>
          </w:p>
        </w:tc>
      </w:tr>
      <w:tr>
        <w:trPr>
          <w:cantSplit w:val="true"/>
        </w:trPr>
        <w:tc>
          <w:tcPr>
            <w:tcW w:type="dxa" w:w="2250"/>
            <w:vAlign w:val="top"/>
          </w:tcPr>
          <w:p>
            <w:pPr>
              <w:spacing w:after="0"/>
            </w:pPr>
            <w:r>
              <w:rPr>
                <w:rFonts w:ascii="Calibri" w:hAnsi="Calibri"/>
                <w:color w:val="000000"/>
                <w:sz w:val="18"/>
              </w:rPr>
              <w:t>Cross-tenant leakage</w:t>
            </w:r>
          </w:p>
        </w:tc>
        <w:tc>
          <w:tcPr>
            <w:tcW w:type="dxa" w:w="3650"/>
            <w:vAlign w:val="top"/>
          </w:tcPr>
          <w:p>
            <w:pPr>
              <w:spacing w:after="0"/>
            </w:pPr>
            <w:r>
              <w:rPr>
                <w:rFonts w:ascii="Calibri" w:hAnsi="Calibri"/>
                <w:color w:val="000000"/>
                <w:sz w:val="18"/>
              </w:rPr>
              <w:t>Tenant keys, server guards, PostgreSQL RLS, adversarial tests</w:t>
            </w:r>
          </w:p>
        </w:tc>
        <w:tc>
          <w:tcPr>
            <w:tcW w:type="dxa" w:w="3460"/>
            <w:vAlign w:val="top"/>
          </w:tcPr>
          <w:p>
            <w:pPr>
              <w:spacing w:after="0"/>
            </w:pPr>
            <w:r>
              <w:rPr>
                <w:rFonts w:ascii="Calibri" w:hAnsi="Calibri"/>
                <w:color w:val="000000"/>
                <w:sz w:val="18"/>
              </w:rPr>
              <w:t>Block release on any unresolved leakage</w:t>
            </w:r>
          </w:p>
        </w:tc>
      </w:tr>
      <w:tr>
        <w:trPr>
          <w:cantSplit w:val="true"/>
        </w:trPr>
        <w:tc>
          <w:tcPr>
            <w:tcW w:type="dxa" w:w="2250"/>
            <w:vAlign w:val="top"/>
          </w:tcPr>
          <w:p>
            <w:pPr>
              <w:spacing w:after="0"/>
            </w:pPr>
            <w:r>
              <w:rPr>
                <w:rFonts w:ascii="Calibri" w:hAnsi="Calibri"/>
                <w:color w:val="000000"/>
                <w:sz w:val="18"/>
              </w:rPr>
              <w:t>Provider/API change or missing credentials</w:t>
            </w:r>
          </w:p>
        </w:tc>
        <w:tc>
          <w:tcPr>
            <w:tcW w:type="dxa" w:w="3650"/>
            <w:vAlign w:val="top"/>
          </w:tcPr>
          <w:p>
            <w:pPr>
              <w:spacing w:after="0"/>
            </w:pPr>
            <w:r>
              <w:rPr>
                <w:rFonts w:ascii="Calibri" w:hAnsi="Calibri"/>
                <w:color w:val="000000"/>
                <w:sz w:val="18"/>
              </w:rPr>
              <w:t>Adapters, fixed origins, mocks, durable sync records</w:t>
            </w:r>
          </w:p>
        </w:tc>
        <w:tc>
          <w:tcPr>
            <w:tcW w:type="dxa" w:w="3460"/>
            <w:vAlign w:val="top"/>
          </w:tcPr>
          <w:p>
            <w:pPr>
              <w:spacing w:after="0"/>
            </w:pPr>
            <w:r>
              <w:rPr>
                <w:rFonts w:ascii="Calibri" w:hAnsi="Calibri"/>
                <w:color w:val="000000"/>
                <w:sz w:val="18"/>
              </w:rPr>
              <w:t>Keep integration disabled; import CSV/XLSX</w:t>
            </w:r>
          </w:p>
        </w:tc>
      </w:tr>
      <w:tr>
        <w:trPr>
          <w:cantSplit w:val="true"/>
        </w:trPr>
        <w:tc>
          <w:tcPr>
            <w:tcW w:type="dxa" w:w="2250"/>
            <w:vAlign w:val="top"/>
          </w:tcPr>
          <w:p>
            <w:pPr>
              <w:spacing w:after="0"/>
            </w:pPr>
            <w:r>
              <w:rPr>
                <w:rFonts w:ascii="Calibri" w:hAnsi="Calibri"/>
                <w:color w:val="000000"/>
                <w:sz w:val="18"/>
              </w:rPr>
              <w:t>Uncertain campaign effect</w:t>
            </w:r>
          </w:p>
        </w:tc>
        <w:tc>
          <w:tcPr>
            <w:tcW w:type="dxa" w:w="3650"/>
            <w:vAlign w:val="top"/>
          </w:tcPr>
          <w:p>
            <w:pPr>
              <w:spacing w:after="0"/>
            </w:pPr>
            <w:r>
              <w:rPr>
                <w:rFonts w:ascii="Calibri" w:hAnsi="Calibri"/>
                <w:color w:val="000000"/>
                <w:sz w:val="18"/>
              </w:rPr>
              <w:t>Separate prediction from causal measurement</w:t>
            </w:r>
          </w:p>
        </w:tc>
        <w:tc>
          <w:tcPr>
            <w:tcW w:type="dxa" w:w="3460"/>
            <w:vAlign w:val="top"/>
          </w:tcPr>
          <w:p>
            <w:pPr>
              <w:spacing w:after="0"/>
            </w:pPr>
            <w:r>
              <w:rPr>
                <w:rFonts w:ascii="Calibri" w:hAnsi="Calibri"/>
                <w:color w:val="000000"/>
                <w:sz w:val="18"/>
              </w:rPr>
              <w:t>Use no-send planning mode until approved experiment</w:t>
            </w:r>
          </w:p>
        </w:tc>
      </w:tr>
      <w:tr>
        <w:trPr>
          <w:cantSplit w:val="true"/>
        </w:trPr>
        <w:tc>
          <w:tcPr>
            <w:tcW w:type="dxa" w:w="2250"/>
            <w:vAlign w:val="top"/>
          </w:tcPr>
          <w:p>
            <w:pPr>
              <w:spacing w:after="0"/>
            </w:pPr>
            <w:r>
              <w:rPr>
                <w:rFonts w:ascii="Calibri" w:hAnsi="Calibri"/>
                <w:color w:val="000000"/>
                <w:sz w:val="18"/>
              </w:rPr>
              <w:t>Unsafe generated content</w:t>
            </w:r>
          </w:p>
        </w:tc>
        <w:tc>
          <w:tcPr>
            <w:tcW w:type="dxa" w:w="3650"/>
            <w:vAlign w:val="top"/>
          </w:tcPr>
          <w:p>
            <w:pPr>
              <w:spacing w:after="0"/>
            </w:pPr>
            <w:r>
              <w:rPr>
                <w:rFonts w:ascii="Calibri" w:hAnsi="Calibri"/>
                <w:color w:val="000000"/>
                <w:sz w:val="18"/>
              </w:rPr>
              <w:t>Server-derived facts, forbidden-claim validation, human approval</w:t>
            </w:r>
          </w:p>
        </w:tc>
        <w:tc>
          <w:tcPr>
            <w:tcW w:type="dxa" w:w="3460"/>
            <w:vAlign w:val="top"/>
          </w:tcPr>
          <w:p>
            <w:pPr>
              <w:spacing w:after="0"/>
            </w:pPr>
            <w:r>
              <w:rPr>
                <w:rFonts w:ascii="Calibri" w:hAnsi="Calibri"/>
                <w:color w:val="000000"/>
                <w:sz w:val="18"/>
              </w:rPr>
              <w:t>Disabled provider; manual draft only</w:t>
            </w:r>
          </w:p>
        </w:tc>
      </w:tr>
      <w:tr>
        <w:trPr>
          <w:cantSplit w:val="true"/>
        </w:trPr>
        <w:tc>
          <w:tcPr>
            <w:tcW w:type="dxa" w:w="2250"/>
            <w:vAlign w:val="top"/>
          </w:tcPr>
          <w:p>
            <w:pPr>
              <w:spacing w:after="0"/>
            </w:pPr>
            <w:r>
              <w:rPr>
                <w:rFonts w:ascii="Calibri" w:hAnsi="Calibri"/>
                <w:color w:val="000000"/>
                <w:sz w:val="18"/>
              </w:rPr>
              <w:t>Operational outage/data loss</w:t>
            </w:r>
          </w:p>
        </w:tc>
        <w:tc>
          <w:tcPr>
            <w:tcW w:type="dxa" w:w="3650"/>
            <w:vAlign w:val="top"/>
          </w:tcPr>
          <w:p>
            <w:pPr>
              <w:spacing w:after="0"/>
            </w:pPr>
            <w:r>
              <w:rPr>
                <w:rFonts w:ascii="Calibri" w:hAnsi="Calibri"/>
                <w:color w:val="000000"/>
                <w:sz w:val="18"/>
              </w:rPr>
              <w:t>Health/metrics, backups/runbooks, durable jobs</w:t>
            </w:r>
          </w:p>
        </w:tc>
        <w:tc>
          <w:tcPr>
            <w:tcW w:type="dxa" w:w="3460"/>
            <w:vAlign w:val="top"/>
          </w:tcPr>
          <w:p>
            <w:pPr>
              <w:spacing w:after="0"/>
            </w:pPr>
            <w:r>
              <w:rPr>
                <w:rFonts w:ascii="Calibri" w:hAnsi="Calibri"/>
                <w:color w:val="000000"/>
                <w:sz w:val="18"/>
              </w:rPr>
              <w:t>RPO/RTO remain targets until restore drill</w:t>
            </w:r>
          </w:p>
        </w:tc>
      </w:tr>
    </w:tbl>
    <w:p>
      <w:pPr>
        <w:spacing w:after="40"/>
      </w:pPr>
    </w:p>
    <w:p>
      <w:pPr>
        <w:pStyle w:val="Heading2"/>
      </w:pPr>
      <w:r>
        <w:t>5. Ethics and responsible AI</w:t>
      </w:r>
    </w:p>
    <w:p>
      <w:pPr>
        <w:pStyle w:val="AcademicBullet"/>
      </w:pPr>
      <w:r>
        <w:t>Purpose limitation and minimization: customer-level outputs stay inside tenant scope; academic deliverables use aggregates.</w:t>
      </w:r>
    </w:p>
    <w:p>
      <w:pPr>
        <w:pStyle w:val="AcademicBullet"/>
      </w:pPr>
      <w:r>
        <w:t>Consent and human agency: scoring never authorizes an action; audience membership is rechecked; approvals are explicit.</w:t>
      </w:r>
    </w:p>
    <w:p>
      <w:pPr>
        <w:pStyle w:val="AcademicBullet"/>
      </w:pPr>
      <w:r>
        <w:t>Transparency: target, features, model, threshold and limitations are versioned; explanations are noncausal.</w:t>
      </w:r>
    </w:p>
    <w:p>
      <w:pPr>
        <w:pStyle w:val="AcademicBullet"/>
      </w:pPr>
      <w:r>
        <w:t>Fairness: country and other sensitive/proxy effects require lawful subgroup review before production. No fairness claim is made from this dataset.</w:t>
      </w:r>
    </w:p>
    <w:p>
      <w:pPr>
        <w:pStyle w:val="AcademicBullet"/>
      </w:pPr>
      <w:r>
        <w:t>Security: secret references, not secret values, are stored; provider requests use fixed HTTPS origins and no redirects.</w:t>
      </w:r>
    </w:p>
    <w:p>
      <w:pPr>
        <w:pStyle w:val="Heading2"/>
      </w:pPr>
      <w:r>
        <w:t>6. Current delivery boundary</w:t>
      </w:r>
    </w:p>
    <w:p>
      <w:r>
        <w:t>The local implementation and academic evidence are complete for review. Automated desktop/mobile Chromium and Axe checks pass; live Meta/Google/LLM/OIDC/cloud validation, production restore drills, manual multi-browser and assistive-technology testing, and any real campaign execution remain external. No push, paid deployment or advertising spend is authorized by this plan.</w:t>
      </w:r>
    </w:p>
    <w:p>
      <w:pPr>
        <w:pStyle w:val="Heading1"/>
      </w:pPr>
      <w:r>
        <w:t>References</w:t>
      </w:r>
    </w:p>
    <w:p>
      <w:r>
        <w:t>Chen, D. (2012). Online Retail II [Dataset]. UCI Machine Learning Repository. https://doi.org/10.24432/C5CG6D</w:t>
      </w:r>
    </w:p>
    <w:p>
      <w:r>
        <w:t>Jerath, K., Fader, P. S., &amp; Hardie, B. G. S. (2011). New perspectives on customer “death” using a generalization of the Pareto/NBD model. Marketing Science, 30(5), 866–880. https://doi.org/10.1287/mksc.1110.0654</w:t>
      </w:r>
    </w:p>
    <w:p>
      <w:r>
        <w:t>Batislam, E. P., Denizel, M., &amp; Filiztekin, A. (2007). Empirical validation and comparison of models for customer base analysis. International Journal of Research in Marketing, 24(3), 201–209. https://doi.org/10.1016/j.ijresmar.2006.12.005</w:t>
      </w:r>
    </w:p>
    <w:p>
      <w:r>
        <w:t>Project sources: docs/03_ARCHITECTURE_DECISIONS.md, docs/08_DELIVERY_PLAN.md, docs/07_SECURITY_PRIVACY_RESPONSIBLE_AI.md, artifacts/reports and artifacts/ml.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color w:val="547068"/>
        <w:sz w:val="17"/>
      </w:rPr>
      <w:t xml:space="preserve">Page </w:t>
    </w:r>
    <w:r>
      <w:rPr>
        <w:rFonts w:ascii="Calibri" w:hAnsi="Calibri"/>
        <w:color w:val="547068"/>
        <w:sz w:val="17"/>
      </w:rPr>
      <w:fldChar w:fldCharType="begin"/>
      <w:instrText xml:space="preserve">PAGE</w:instrText>
      <w:fldChar w:fldCharType="separate"/>
      <w:fldChar w:fldCharType="end"/>
    </w:r>
    <w:r>
      <w:rPr>
        <w:rFonts w:ascii="Calibri" w:hAnsi="Calibri"/>
        <w:color w:val="547068"/>
        <w:sz w:val="17"/>
      </w:rPr>
      <w:t xml:space="preserve"> of </w:t>
    </w:r>
    <w:r>
      <w:rPr>
        <w:rFonts w:ascii="Calibri" w:hAnsi="Calibri"/>
        <w:color w:val="547068"/>
        <w:sz w:val="17"/>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6" w:color="B8D2C8"/>
      </w:pBdr>
    </w:pPr>
    <w:r>
      <w:rPr>
        <w:rFonts w:ascii="Calibri" w:hAnsi="Calibri"/>
        <w:b/>
        <w:color w:val="547068"/>
        <w:sz w:val="17"/>
      </w:rPr>
      <w:t>GROWTHPILOT AI  |  CONCEPT NOTE AND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Code">
    <w:name w:val="Academic Code"/>
    <w:basedOn w:val="Normal"/>
    <w:pPr>
      <w:spacing w:before="80" w:after="160"/>
      <w:ind w:left="288" w:right="288"/>
    </w:pPr>
    <w:rPr>
      <w:rFonts w:ascii="Menlo" w:hAnsi="Menlo"/>
      <w:sz w:val="17"/>
    </w:rPr>
  </w:style>
  <w:style w:type="paragraph" w:customStyle="1" w:styleId="AcademicBullet">
    <w:name w:val="Academic Bullet"/>
    <w:basedOn w:val="Normal"/>
    <w:pPr>
      <w:numPr>
        <w:ilvl w:val="0"/>
        <w:numId w:val="10"/>
      </w:numPr>
    </w:pPr>
  </w:style>
  <w:style w:type="paragraph" w:customStyle="1" w:styleId="AcademicNumber">
    <w:name w:val="Academic Number"/>
    <w:basedOn w:val="Normal"/>
    <w:pPr>
      <w:numPr>
        <w:ilvl w:val="0"/>
        <w:numId w:val="11"/>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 Note and Implementation Plan</dc:title>
  <dc:subject>Samsung Innovation Campus — AI in Marketing Capstone</dc:subject>
  <dc:creator>Şahin Başcı; AI-assisted drafting disclosed</dc:creator>
  <cp:keywords>GrowthPilot, capstone, AI in marketing, Group 7</cp:keywords>
  <dc:description>generated by python-docx</dc:description>
  <cp:lastModifiedBy/>
  <cp:revision>1</cp:revision>
  <dcterms:created xsi:type="dcterms:W3CDTF">2013-12-23T23:15:00Z</dcterms:created>
  <dcterms:modified xsi:type="dcterms:W3CDTF">2013-12-23T23:15:00Z</dcterms:modified>
  <cp:category/>
</cp:coreProperties>
</file>