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73B32"/>
          <w:sz w:val="36"/>
        </w:rPr>
        <w:t>SHORT WEEKLY PROGRESS REPORT</w:t>
      </w:r>
    </w:p>
    <w:p>
      <w:pPr>
        <w:spacing w:after="120"/>
      </w:pPr>
      <w:r>
        <w:rPr>
          <w:rFonts w:ascii="Calibri" w:hAnsi="Calibri"/>
          <w:b/>
          <w:color w:val="547068"/>
          <w:sz w:val="21"/>
        </w:rPr>
        <w:t>Samsung Innovation Campus · Group 7 · GrowthPilot AI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2500"/>
        <w:gridCol w:w="4360"/>
      </w:tblGrid>
      <w:tr>
        <w:trPr>
          <w:tblHeader w:val="true"/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Date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Reporter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Overall status</w:t>
            </w:r>
          </w:p>
        </w:tc>
      </w:tr>
      <w:tr>
        <w:trPr>
          <w:cantSplit w:val="true"/>
        </w:trPr>
        <w:tc>
          <w:tcPr>
            <w:tcW w:type="dxa" w:w="2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9 September 2026</w:t>
            </w:r>
          </w:p>
        </w:tc>
        <w:tc>
          <w:tcPr>
            <w:tcW w:type="dxa" w:w="2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Şahin Başcı</w:t>
            </w:r>
          </w:p>
        </w:tc>
        <w:tc>
          <w:tcPr>
            <w:tcW w:type="dxa" w:w="43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GREEN — local scope complete; external validation open</w:t>
            </w:r>
          </w:p>
        </w:tc>
      </w:tr>
    </w:tbl>
    <w:p>
      <w:pPr>
        <w:spacing w:after="40"/>
      </w:pPr>
    </w:p>
    <w:p>
      <w:pPr>
        <w:spacing w:before="60" w:after="20"/>
      </w:pPr>
      <w:r>
        <w:rPr>
          <w:rFonts w:ascii="Calibri" w:hAnsi="Calibri"/>
          <w:b/>
          <w:color w:val="1E5A49"/>
          <w:sz w:val="20"/>
        </w:rPr>
        <w:t>1. Progress since the previous report</w:t>
      </w:r>
    </w:p>
    <w:p>
      <w:pPr>
        <w:spacing w:after="60" w:line="240" w:lineRule="auto"/>
      </w:pPr>
      <w:r>
        <w:rPr>
          <w:rFonts w:ascii="Calibri" w:hAnsi="Calibri"/>
          <w:color w:val="000000"/>
          <w:sz w:val="17"/>
        </w:rPr>
        <w:t>Completed the production-oriented local application, temporal churn-proxy data/ML pipeline, frozen final evaluation, model registry/inference, integrations, attribution, audiences/campaign approval, security boundaries and all academic submission artifacts. No fabricated business result or live provider result is included.</w:t>
      </w:r>
    </w:p>
    <w:p>
      <w:pPr>
        <w:spacing w:before="60" w:after="20"/>
      </w:pPr>
      <w:r>
        <w:rPr>
          <w:rFonts w:ascii="Calibri" w:hAnsi="Calibri"/>
          <w:b/>
          <w:color w:val="1E5A49"/>
          <w:sz w:val="20"/>
        </w:rPr>
        <w:t>2. Current focus</w:t>
      </w:r>
    </w:p>
    <w:p>
      <w:pPr>
        <w:spacing w:after="60" w:line="240" w:lineRule="auto"/>
      </w:pPr>
      <w:r>
        <w:rPr>
          <w:rFonts w:ascii="Calibri" w:hAnsi="Calibri"/>
          <w:color w:val="000000"/>
          <w:sz w:val="17"/>
        </w:rPr>
        <w:t>Final audit: rendered document/slide QA, clean full test suite, dependency/secret scans, evidence mapping and Phase 22–24 readiness documentation.</w:t>
      </w:r>
    </w:p>
    <w:p>
      <w:pPr>
        <w:spacing w:before="60" w:after="20"/>
      </w:pPr>
      <w:r>
        <w:rPr>
          <w:rFonts w:ascii="Calibri" w:hAnsi="Calibri"/>
          <w:b/>
          <w:color w:val="1E5A49"/>
          <w:sz w:val="20"/>
        </w:rPr>
        <w:t>3. Status and evidence</w:t>
      </w:r>
    </w:p>
    <w:p>
      <w:pPr>
        <w:spacing w:after="60" w:line="240" w:lineRule="auto"/>
      </w:pPr>
      <w:r>
        <w:rPr>
          <w:rFonts w:ascii="Calibri" w:hAnsi="Calibri"/>
          <w:color w:val="000000"/>
          <w:sz w:val="17"/>
        </w:rPr>
        <w:t>Green for authorized local delivery. Backend: 83 tests passing before final package audit; frontend typecheck/lint/Vitest/webpack build passing. Final test: PR-AUC 0.647525, ROC-AUC 0.765878, Brier 0.199854; model SHA-256 942d705d…52ad.</w:t>
      </w:r>
    </w:p>
    <w:p>
      <w:pPr>
        <w:spacing w:before="60" w:after="20"/>
      </w:pPr>
      <w:r>
        <w:rPr>
          <w:rFonts w:ascii="Calibri" w:hAnsi="Calibri"/>
          <w:b/>
          <w:color w:val="1E5A49"/>
          <w:sz w:val="20"/>
        </w:rPr>
        <w:t>4. Problems and risks</w:t>
      </w:r>
    </w:p>
    <w:p>
      <w:pPr>
        <w:spacing w:after="60" w:line="240" w:lineRule="auto"/>
      </w:pPr>
      <w:r>
        <w:rPr>
          <w:rFonts w:ascii="Calibri" w:hAnsi="Calibri"/>
          <w:color w:val="000000"/>
          <w:sz w:val="17"/>
        </w:rPr>
        <w:t>No live Meta, Google Ads, LLM, OIDC or cloud credentials; automated desktop/mobile Chromium and Axe checks pass, but manual multi-browser and assistive-technology review is outstanding; production backup/restore and load tests were not performed. Dataset is historical, single-retailer, UK-based; inactivity is a proxy, not contractual churn; predictive results are noncausal.</w:t>
      </w:r>
    </w:p>
    <w:p>
      <w:pPr>
        <w:spacing w:before="60" w:after="20"/>
      </w:pPr>
      <w:r>
        <w:rPr>
          <w:rFonts w:ascii="Calibri" w:hAnsi="Calibri"/>
          <w:b/>
          <w:color w:val="1E5A49"/>
          <w:sz w:val="20"/>
        </w:rPr>
        <w:t>5. Support or decision needed</w:t>
      </w:r>
    </w:p>
    <w:p>
      <w:pPr>
        <w:spacing w:after="60" w:line="240" w:lineRule="auto"/>
      </w:pPr>
      <w:r>
        <w:rPr>
          <w:rFonts w:ascii="Calibri" w:hAnsi="Calibri"/>
          <w:color w:val="000000"/>
          <w:sz w:val="17"/>
        </w:rPr>
        <w:t>Project Lead should audit deliverables and decide whether to authorize final squash/publication. Founder must provide sandbox credentials and approve any deployment or real campaign. Submission dates in instructor files have elapsed and require instructor confirmation.</w:t>
      </w:r>
    </w:p>
    <w:p>
      <w:pPr>
        <w:spacing w:before="60" w:after="20"/>
      </w:pPr>
      <w:r>
        <w:rPr>
          <w:rFonts w:ascii="Calibri" w:hAnsi="Calibri"/>
          <w:b/>
          <w:color w:val="1E5A49"/>
          <w:sz w:val="20"/>
        </w:rPr>
        <w:t>6. Tasks before next report</w:t>
      </w:r>
    </w:p>
    <w:p>
      <w:pPr>
        <w:spacing w:after="60" w:line="240" w:lineRule="auto"/>
      </w:pPr>
      <w:r>
        <w:rPr>
          <w:rFonts w:ascii="Calibri" w:hAnsi="Calibri"/>
          <w:color w:val="000000"/>
          <w:sz w:val="17"/>
        </w:rPr>
        <w:t>Address audit findings; run credentialed sandbox and manual browser/assistive-technology validation; rehearse backup/restore; define pilot eligibility and randomized holdout; only then request separate deployment/publication authorization.</w:t>
      </w:r>
    </w:p>
    <w:p>
      <w:pPr>
        <w:spacing w:before="60" w:after="0"/>
        <w:shd w:fill="E8F1ED"/>
      </w:pPr>
      <w:r>
        <w:rPr>
          <w:rFonts w:ascii="Calibri" w:hAnsi="Calibri"/>
          <w:b/>
          <w:color w:val="173B32"/>
          <w:sz w:val="16"/>
        </w:rPr>
        <w:t>AI disclosure: drafted with OpenAI Codex/ChatGPT assistance and verified against repository evidence; human review required.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1440" w:bottom="720" w:left="144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right"/>
    </w:pPr>
    <w:r>
      <w:rPr>
        <w:rFonts w:ascii="Calibri" w:hAnsi="Calibri"/>
        <w:color w:val="547068"/>
        <w:sz w:val="17"/>
      </w:rPr>
      <w:t xml:space="preserve">Page </w:t>
    </w:r>
    <w:r>
      <w:rPr>
        <w:rFonts w:ascii="Calibri" w:hAnsi="Calibri"/>
        <w:color w:val="547068"/>
        <w:sz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/>
        <w:color w:val="547068"/>
        <w:sz w:val="17"/>
      </w:rPr>
      <w:t xml:space="preserve"> of </w:t>
    </w:r>
    <w:r>
      <w:rPr>
        <w:rFonts w:ascii="Calibri" w:hAnsi="Calibri"/>
        <w:color w:val="547068"/>
        <w:sz w:val="17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6" w:color="B8D2C8"/>
      </w:pBdr>
    </w:pPr>
    <w:r>
      <w:rPr>
        <w:rFonts w:ascii="Calibri" w:hAnsi="Calibri"/>
        <w:b/>
        <w:color w:val="547068"/>
        <w:sz w:val="17"/>
      </w:rPr>
      <w:t>GROWTHPILOT AI  |  WEEKLY PROGRESS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after="16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16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ademicCode">
    <w:name w:val="Academic Code"/>
    <w:basedOn w:val="Normal"/>
    <w:pPr>
      <w:spacing w:before="80" w:after="160"/>
      <w:ind w:left="288" w:right="288"/>
    </w:pPr>
    <w:rPr>
      <w:rFonts w:ascii="Menlo" w:hAnsi="Menlo"/>
      <w:sz w:val="17"/>
    </w:rPr>
  </w:style>
  <w:style w:type="paragraph" w:customStyle="1" w:styleId="AcademicBullet">
    <w:name w:val="Academic Bullet"/>
    <w:basedOn w:val="Normal"/>
    <w:pPr>
      <w:numPr>
        <w:ilvl w:val="0"/>
        <w:numId w:val="10"/>
      </w:numPr>
    </w:pPr>
  </w:style>
  <w:style w:type="paragraph" w:customStyle="1" w:styleId="AcademicNumber">
    <w:name w:val="Academic Number"/>
    <w:basedOn w:val="Normal"/>
    <w:pPr>
      <w:numPr>
        <w:ilvl w:val="0"/>
        <w:numId w:val="11"/>
      </w:numPr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GrowthPilot AI Weekly Progress Report — 2026-09-09</dc:title>
  <dc:subject/>
  <dc:creator>Şahin Başcı; AI-assisted drafting disclosed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