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spacing w:after="40"/>
      </w:pPr>
      <w:r>
        <w:t>CSCI 3495 (Natural Language Processing and Large Language Models)</w:t>
      </w:r>
    </w:p>
    <w:p>
      <w:pPr>
        <w:spacing w:after="120"/>
        <w:jc w:val="center"/>
      </w:pPr>
      <w:r>
        <w:t>Fall 2026 · 3 credits · Trinity University, Department of Computer Science</w:t>
      </w:r>
    </w:p>
    <w:p>
      <w:pPr>
        <w:spacing w:after="120"/>
        <w:jc w:val="center"/>
      </w:pPr>
      <w:r>
        <w:t xml:space="preserve">&gt; </w:t>
      </w:r>
      <w:r>
        <w:rPr>
          <w:b/>
        </w:rPr>
        <w:t>Fall 2026 edition.</w:t>
      </w:r>
      <w:r>
        <w:t xml:space="preserve"> Generated from </w:t>
      </w:r>
      <w:r>
        <w:rPr>
          <w:rFonts w:ascii="Courier New" w:hAnsi="Courier New"/>
        </w:rPr>
        <w:t>syllabus/SYLLABUS.md</w:t>
      </w:r>
      <w:r>
        <w:t xml:space="preserve"> and Trinity's Fall 2026 academic calendar by </w:t>
      </w:r>
      <w:r>
        <w:rPr>
          <w:rFonts w:ascii="Courier New" w:hAnsi="Courier New"/>
        </w:rPr>
        <w:t>python scripts/build_fall2026.py</w:t>
      </w:r>
      <w:r>
        <w:t>. Edit the policies there, not here.</w:t>
      </w:r>
    </w:p>
    <w:p>
      <w:pPr>
        <w:pStyle w:val="Heading1"/>
        <w:keepNext/>
        <w:spacing w:before="320" w:after="80"/>
      </w:pPr>
      <w:r>
        <w:t>Course Description</w:t>
      </w:r>
    </w:p>
    <w:p>
      <w:pPr>
        <w:spacing w:after="120"/>
      </w:pPr>
      <w:r>
        <w:t>This course introduces the foundations of Natural Language Processing (NLP) and traces the field's evolution into modern Large Language Models (LLMs) and agentic systems. Students begin with classical NLP (text processing, language models, vector semantics, sequence models), progress through the architectural breakthroughs that enabled LLMs (attention, the Transformer, pretraining), and study how contemporary LLMs are trained, adapted, prompted, evaluated, and deployed. The final third of the course covers building LLM agents and agentic workflows, and closes with the societal and ethical implications of these technologies.</w:t>
      </w:r>
    </w:p>
    <w:p>
      <w:pPr>
        <w:spacing w:after="120"/>
      </w:pPr>
      <w:r>
        <w:t>The course is hands-on. Every 75-minute session pairs concept delivery with in-class Python work, and every tool we use is free and open source: Python, PyTorch, Hugging Face, and Ollama for local LLM inference. No paid API keys and no GPU are required; everything runs on a laptop CPU inside a course-provided Docker image.</w:t>
      </w:r>
    </w:p>
    <w:p>
      <w:pPr>
        <w:pStyle w:val="Heading2"/>
        <w:keepNext/>
        <w:spacing w:before="200" w:after="80"/>
      </w:pPr>
      <w:r>
        <w:t>Learning objectives</w:t>
      </w:r>
    </w:p>
    <w:p>
      <w:pPr>
        <w:numPr>
          <w:ilvl w:val="0"/>
          <w:numId w:val="8"/>
        </w:numPr>
        <w:spacing w:after="60"/>
        <w:ind w:left="504" w:hanging="360"/>
      </w:pPr>
      <w:r>
        <w:rPr>
          <w:b/>
        </w:rPr>
        <w:t>Classical NLP.</w:t>
      </w:r>
      <w:r>
        <w:t xml:space="preserve"> Students will implement the classical NLP pipeline, including tokenization, n-gram language models, TF-IDF and vector semantics, word embeddings, and text classification, and will explain what each component does and where it breaks.</w:t>
      </w:r>
    </w:p>
    <w:p>
      <w:pPr>
        <w:numPr>
          <w:ilvl w:val="0"/>
          <w:numId w:val="8"/>
        </w:numPr>
        <w:spacing w:after="60"/>
        <w:ind w:left="504" w:hanging="360"/>
      </w:pPr>
      <w:r>
        <w:rPr>
          <w:b/>
        </w:rPr>
        <w:t>Attention and the Transformer.</w:t>
      </w:r>
      <w:r>
        <w:t xml:space="preserve"> Students will explain and implement the attention mechanism and the Transformer architecture from scratch, including multi-head attention and positional encoding.</w:t>
      </w:r>
    </w:p>
    <w:p>
      <w:pPr>
        <w:numPr>
          <w:ilvl w:val="0"/>
          <w:numId w:val="8"/>
        </w:numPr>
        <w:spacing w:after="60"/>
        <w:ind w:left="504" w:hanging="360"/>
      </w:pPr>
      <w:r>
        <w:rPr>
          <w:b/>
        </w:rPr>
        <w:t>How LLMs are made.</w:t>
      </w:r>
      <w:r>
        <w:t xml:space="preserve"> Students will describe how large language models are pretrained, instruction-tuned, aligned (RLHF and DPO), and evaluated, and will reason about scaling laws and emergent abilities.</w:t>
      </w:r>
    </w:p>
    <w:p>
      <w:pPr>
        <w:numPr>
          <w:ilvl w:val="0"/>
          <w:numId w:val="8"/>
        </w:numPr>
        <w:spacing w:after="60"/>
        <w:ind w:left="504" w:hanging="360"/>
      </w:pPr>
      <w:r>
        <w:rPr>
          <w:b/>
        </w:rPr>
        <w:t>Adaptation and local inference.</w:t>
      </w:r>
      <w:r>
        <w:t xml:space="preserve"> Students will adapt models efficiently using LoRA/PEFT and quantization, and will run and serve models locally with Ollama.</w:t>
      </w:r>
    </w:p>
    <w:p>
      <w:pPr>
        <w:numPr>
          <w:ilvl w:val="0"/>
          <w:numId w:val="8"/>
        </w:numPr>
        <w:spacing w:after="60"/>
        <w:ind w:left="504" w:hanging="360"/>
      </w:pPr>
      <w:r>
        <w:rPr>
          <w:b/>
        </w:rPr>
        <w:t>Prompt engineering.</w:t>
      </w:r>
      <w:r>
        <w:t xml:space="preserve"> Students will apply and compare prompting techniques including zero-shot and few-shot prompting, chain-of-thought, self-consistency, structured output, and Retrieval-Augmented Generation.</w:t>
      </w:r>
    </w:p>
    <w:p>
      <w:pPr>
        <w:numPr>
          <w:ilvl w:val="0"/>
          <w:numId w:val="8"/>
        </w:numPr>
        <w:spacing w:after="60"/>
        <w:ind w:left="504" w:hanging="360"/>
      </w:pPr>
      <w:r>
        <w:rPr>
          <w:b/>
        </w:rPr>
        <w:t>Agents and agentic workflows.</w:t>
      </w:r>
      <w:r>
        <w:t xml:space="preserve"> Students will design, build, and evaluate LLM agents with tool use, and will select appropriate orchestration patterns (chaining, routing, parallelization, reflection) and recognize when an agent is the wrong tool.</w:t>
      </w:r>
    </w:p>
    <w:p>
      <w:pPr>
        <w:numPr>
          <w:ilvl w:val="0"/>
          <w:numId w:val="8"/>
        </w:numPr>
        <w:spacing w:after="60"/>
        <w:ind w:left="504" w:hanging="360"/>
      </w:pPr>
      <w:r>
        <w:rPr>
          <w:b/>
        </w:rPr>
        <w:t>Evaluation.</w:t>
      </w:r>
      <w:r>
        <w:t xml:space="preserve"> Students will evaluate LLM outputs rigorously, including hallucination and factuality, abstention, benchmark contamination, and the uses and biases of LLM-as-a-judge.</w:t>
      </w:r>
    </w:p>
    <w:p>
      <w:pPr>
        <w:numPr>
          <w:ilvl w:val="0"/>
          <w:numId w:val="8"/>
        </w:numPr>
        <w:spacing w:after="60"/>
        <w:ind w:left="504" w:hanging="360"/>
      </w:pPr>
      <w:r>
        <w:rPr>
          <w:b/>
        </w:rPr>
        <w:t>Security.</w:t>
      </w:r>
      <w:r>
        <w:t xml:space="preserve"> Students will identify and defend against LLM security risks, including prompt injection, jailbreaks, tool-call abuse, and RAG context poisoning.</w:t>
      </w:r>
    </w:p>
    <w:p>
      <w:pPr>
        <w:numPr>
          <w:ilvl w:val="0"/>
          <w:numId w:val="8"/>
        </w:numPr>
        <w:spacing w:after="60"/>
        <w:ind w:left="504" w:hanging="360"/>
      </w:pPr>
      <w:r>
        <w:rPr>
          <w:b/>
        </w:rPr>
        <w:t>Societal impacts.</w:t>
      </w:r>
      <w:r>
        <w:t xml:space="preserve"> Students will critically analyze the ethical, societal, and environmental impacts of NLP and LLM systems, and will apply structured methods (pre-mortems, model cards, data statements) during design rather than after deployment.</w:t>
      </w:r>
    </w:p>
    <w:p>
      <w:pPr>
        <w:numPr>
          <w:ilvl w:val="0"/>
          <w:numId w:val="8"/>
        </w:numPr>
        <w:spacing w:after="60"/>
        <w:ind w:left="504" w:hanging="360"/>
      </w:pPr>
      <w:r>
        <w:rPr>
          <w:b/>
        </w:rPr>
        <w:t>Research literacy.</w:t>
      </w:r>
      <w:r>
        <w:t xml:space="preserve"> Students will read and critique landmark research papers and will conduct, write up, and present an original semester-long project.</w:t>
      </w:r>
    </w:p>
    <w:p>
      <w:pPr>
        <w:pStyle w:val="Heading1"/>
        <w:keepNext/>
        <w:spacing w:before="320" w:after="80"/>
      </w:pPr>
      <w:r>
        <w:t>Meeting and Contact Information</w:t>
      </w:r>
    </w:p>
    <w:p>
      <w:pPr>
        <w:pStyle w:val="Heading2"/>
        <w:keepNext/>
        <w:spacing w:before="200" w:after="80"/>
      </w:pPr>
      <w:r>
        <w:t>Class meeting time and location</w:t>
      </w:r>
    </w:p>
    <w:p>
      <w:pPr>
        <w:spacing w:after="120"/>
      </w:pPr>
      <w:r>
        <w:rPr>
          <w:b/>
        </w:rPr>
        <w:t>Mondays and Wednesdays, 2:30 to 3:45 PM</w:t>
      </w:r>
      <w:r>
        <w:t xml:space="preserve"> · Center for the Sciences and Innovation, Room 388 (CSI 388)</w:t>
      </w:r>
    </w:p>
    <w:p>
      <w:pPr>
        <w:spacing w:after="120"/>
      </w:pPr>
      <w:r>
        <w:t xml:space="preserve">Two 75-minute meetings per week for 15 weeks. First class Monday, August 24, 2026; last class Monday, December 7, 2026. Three meetings fall on university holidays (Mon Sep 7 Labor Day; Mon Nov 23 Thanksgiving Break; Wed Nov 25 Thanksgiving Break), leaving 28 class sessions, so </w:t>
      </w:r>
      <w:r>
        <w:rPr>
          <w:b/>
        </w:rPr>
        <w:t>Weeks 15 each run as a single combined session</w:t>
      </w:r>
      <w:r>
        <w:t>. Every week through Week 12 keeps both of its meetings. The dated schedule shows exactly which days these are.</w:t>
      </w:r>
    </w:p>
    <w:p>
      <w:pPr>
        <w:pStyle w:val="Heading2"/>
        <w:keepNext/>
        <w:spacing w:before="200" w:after="80"/>
      </w:pPr>
      <w:r>
        <w:t>Prerequisites</w:t>
      </w:r>
    </w:p>
    <w:p>
      <w:pPr>
        <w:numPr>
          <w:ilvl w:val="0"/>
          <w:numId w:val="8"/>
        </w:numPr>
        <w:spacing w:after="60"/>
        <w:ind w:left="504" w:hanging="360"/>
      </w:pPr>
      <w:r>
        <w:rPr>
          <w:b/>
        </w:rPr>
        <w:t>Programming:</w:t>
      </w:r>
      <w:r>
        <w:t xml:space="preserve"> proficiency in </w:t>
      </w:r>
      <w:r>
        <w:rPr>
          <w:b/>
        </w:rPr>
        <w:t>Python</w:t>
      </w:r>
      <w:r>
        <w:t xml:space="preserve"> (functions, classes, file I/O, NumPy). You should be comfortable reading and debugging a few hundred lines of someone else's code.</w:t>
      </w:r>
    </w:p>
    <w:p>
      <w:pPr>
        <w:numPr>
          <w:ilvl w:val="0"/>
          <w:numId w:val="8"/>
        </w:numPr>
        <w:spacing w:after="60"/>
        <w:ind w:left="504" w:hanging="360"/>
      </w:pPr>
      <w:r>
        <w:rPr>
          <w:b/>
        </w:rPr>
        <w:t>Math:</w:t>
      </w:r>
      <w:r>
        <w:t xml:space="preserve"> introductory </w:t>
      </w:r>
      <w:r>
        <w:rPr>
          <w:b/>
        </w:rPr>
        <w:t>linear algebra</w:t>
      </w:r>
      <w:r>
        <w:t xml:space="preserve"> (vectors, matrices, dot products), </w:t>
      </w:r>
      <w:r>
        <w:rPr>
          <w:b/>
        </w:rPr>
        <w:t>probability</w:t>
      </w:r>
      <w:r>
        <w:t xml:space="preserve">, and </w:t>
      </w:r>
      <w:r>
        <w:rPr>
          <w:b/>
        </w:rPr>
        <w:t>calculus</w:t>
      </w:r>
      <w:r>
        <w:t xml:space="preserve"> (derivatives and the chain rule).</w:t>
      </w:r>
    </w:p>
    <w:p>
      <w:pPr>
        <w:numPr>
          <w:ilvl w:val="0"/>
          <w:numId w:val="8"/>
        </w:numPr>
        <w:spacing w:after="60"/>
        <w:ind w:left="504" w:hanging="360"/>
      </w:pPr>
      <w:r>
        <w:rPr>
          <w:b/>
        </w:rPr>
        <w:t>Recommended:</w:t>
      </w:r>
      <w:r>
        <w:t xml:space="preserve"> an introductory machine learning or data science course. It is not required, and the neural-network material is built up from scratch, but students who have seen gradient descent before will have an easier first month.</w:t>
      </w:r>
    </w:p>
    <w:p>
      <w:pPr>
        <w:numPr>
          <w:ilvl w:val="0"/>
          <w:numId w:val="8"/>
        </w:numPr>
        <w:spacing w:after="60"/>
        <w:ind w:left="504" w:hanging="360"/>
      </w:pPr>
      <w:r>
        <w:rPr>
          <w:b/>
        </w:rPr>
        <w:t>Official prerequisite of record:</w:t>
      </w:r>
      <w:r>
        <w:t xml:space="preserve"> </w:t>
      </w:r>
      <w:r>
        <w:rPr>
          <w:b/>
          <w:highlight w:val="yellow"/>
        </w:rPr>
        <w:t>[TBD: confirm against the Courses of Study Bulletin]</w:t>
      </w:r>
    </w:p>
    <w:p>
      <w:pPr>
        <w:pStyle w:val="Heading2"/>
        <w:keepNext/>
        <w:spacing w:before="200" w:after="80"/>
      </w:pPr>
      <w:r>
        <w:t>Instructor contact information</w:t>
      </w:r>
    </w:p>
    <w:p>
      <w:pPr>
        <w:spacing w:after="120"/>
      </w:pPr>
      <w:r>
        <w:t>Dr. Eduardo Davalos Anaya</w:t>
      </w:r>
    </w:p>
    <w:p>
      <w:pPr>
        <w:numPr>
          <w:ilvl w:val="0"/>
          <w:numId w:val="8"/>
        </w:numPr>
        <w:spacing w:after="60"/>
        <w:ind w:left="504" w:hanging="360"/>
      </w:pPr>
      <w:r>
        <w:rPr>
          <w:b/>
        </w:rPr>
        <w:t>Office:</w:t>
      </w:r>
      <w:r>
        <w:t xml:space="preserve"> CSI 270B</w:t>
      </w:r>
    </w:p>
    <w:p>
      <w:pPr>
        <w:numPr>
          <w:ilvl w:val="0"/>
          <w:numId w:val="8"/>
        </w:numPr>
        <w:spacing w:after="60"/>
        <w:ind w:left="504" w:hanging="360"/>
      </w:pPr>
      <w:r>
        <w:rPr>
          <w:b/>
        </w:rPr>
        <w:t>Office hours:</w:t>
      </w:r>
      <w:r>
        <w:t xml:space="preserve"> </w:t>
      </w:r>
      <w:r>
        <w:rPr>
          <w:b/>
          <w:highlight w:val="yellow"/>
        </w:rPr>
        <w:t>[TBD: days and times]</w:t>
      </w:r>
      <w:r>
        <w:t>, held in my office and by video on request</w:t>
      </w:r>
    </w:p>
    <w:p>
      <w:pPr>
        <w:numPr>
          <w:ilvl w:val="0"/>
          <w:numId w:val="8"/>
        </w:numPr>
        <w:spacing w:after="60"/>
        <w:ind w:left="504" w:hanging="360"/>
      </w:pPr>
      <w:r>
        <w:rPr>
          <w:b/>
        </w:rPr>
        <w:t>Email:</w:t>
      </w:r>
      <w:r>
        <w:t xml:space="preserve"> davalosedu515@trinity.edu</w:t>
      </w:r>
    </w:p>
    <w:p>
      <w:pPr>
        <w:numPr>
          <w:ilvl w:val="0"/>
          <w:numId w:val="8"/>
        </w:numPr>
        <w:spacing w:after="60"/>
        <w:ind w:left="504" w:hanging="360"/>
      </w:pPr>
      <w:r>
        <w:rPr>
          <w:b/>
        </w:rPr>
        <w:t>Phone:</w:t>
      </w:r>
      <w:r>
        <w:t xml:space="preserve"> </w:t>
      </w:r>
      <w:r>
        <w:rPr>
          <w:b/>
          <w:highlight w:val="yellow"/>
        </w:rPr>
        <w:t>[TBD]</w:t>
      </w:r>
    </w:p>
    <w:p>
      <w:pPr>
        <w:spacing w:after="120"/>
      </w:pPr>
      <w:r>
        <w:t>Email is the best way to reach me. I try to reply promptly, but I am not always available and may take a day to respond, so do not send a question about an assignment the night it is due and expect an answer. If my regular office hours do not work for your schedule, email me and we will find a time. Generally, if my door is open and I am in my office, I am available.</w:t>
      </w:r>
    </w:p>
    <w:p>
      <w:pPr>
        <w:spacing w:after="120"/>
      </w:pPr>
      <w:r>
        <w:t>If something disrupts my regular office hours, I will do my best to update the course page in advance.</w:t>
      </w:r>
    </w:p>
    <w:p>
      <w:pPr>
        <w:pStyle w:val="Heading2"/>
        <w:keepNext/>
        <w:spacing w:before="200" w:after="80"/>
      </w:pPr>
      <w:r>
        <w:t>Student contact information</w:t>
      </w:r>
    </w:p>
    <w:p>
      <w:pPr>
        <w:spacing w:after="120"/>
      </w:pPr>
      <w:r>
        <w:t xml:space="preserve">I use email as a primary form of communication with the class, including announcements about changes to assignments or due dates, additional explanations of course material, and grade postings. </w:t>
      </w:r>
      <w:r>
        <w:rPr>
          <w:b/>
        </w:rPr>
        <w:t>Check your Trinity email.</w:t>
      </w:r>
      <w:r>
        <w:t xml:space="preserve"> You are responsible for information sent there.</w:t>
      </w:r>
    </w:p>
    <w:p>
      <w:pPr>
        <w:pStyle w:val="Heading1"/>
        <w:keepNext/>
        <w:spacing w:before="320" w:after="80"/>
      </w:pPr>
      <w:r>
        <w:t>Course Materials</w:t>
      </w:r>
    </w:p>
    <w:p>
      <w:pPr>
        <w:pStyle w:val="Heading2"/>
        <w:keepNext/>
        <w:spacing w:before="200" w:after="80"/>
      </w:pPr>
      <w:r>
        <w:t>Class schedule and agenda</w:t>
      </w:r>
    </w:p>
    <w:p>
      <w:pPr>
        <w:spacing w:after="120"/>
      </w:pPr>
      <w:r>
        <w:t xml:space="preserve">The week-by-week schedule of topics, readings, quizzes, homework, and project milestones is published at </w:t>
      </w:r>
      <w:r>
        <w:rPr>
          <w:b/>
          <w:highlight w:val="yellow"/>
        </w:rPr>
        <w:t>[TBD: link to the shared course schedule]</w:t>
      </w:r>
      <w:r>
        <w:t xml:space="preserve"> and is summarized at the end of this syllabus. Use it to manage your time. I will remind you of upcoming deadlines in class, but the schedule is the authoritative calendar. </w:t>
      </w:r>
      <w:r>
        <w:rPr>
          <w:b/>
        </w:rPr>
        <w:t>If I change a date for a major assignment or exam, I will give at least one week of advance notice</w:t>
      </w:r>
      <w:r>
        <w:t>, in class and by email.</w:t>
      </w:r>
    </w:p>
    <w:p>
      <w:pPr>
        <w:pStyle w:val="Heading2"/>
        <w:keepNext/>
        <w:spacing w:before="200" w:after="80"/>
      </w:pPr>
      <w:r>
        <w:t>Textbook</w:t>
      </w:r>
    </w:p>
    <w:p>
      <w:pPr>
        <w:spacing w:after="120"/>
      </w:pPr>
      <w:r>
        <w:rPr>
          <w:b/>
        </w:rPr>
        <w:t>Speech and Language Processing (3rd edition draft)</w:t>
      </w:r>
      <w:r>
        <w:t xml:space="preserve"> by Dan Jurafsky and James H. Martin, available free from the authors at </w:t>
      </w:r>
      <w:hyperlink r:id="rId19">
        <w:r>
          <w:rPr>
            <w:color w:val="1155CC"/>
            <w:u w:val="single"/>
          </w:rPr>
          <w:t xml:space="preserve">web.stanford.edu/~jurafsky/slp3</w:t>
        </w:r>
      </w:hyperlink>
      <w:r>
        <w:t>. There is nothing to buy for this course. We will not follow the book rigidly, but it is the reference for the first half of the semester, and specific chapters are assigned on the schedule.</w:t>
      </w:r>
    </w:p>
    <w:p>
      <w:pPr>
        <w:pStyle w:val="Heading2"/>
        <w:keepNext/>
        <w:spacing w:before="200" w:after="80"/>
      </w:pPr>
      <w:r>
        <w:t>Assigned papers</w:t>
      </w:r>
    </w:p>
    <w:p>
      <w:pPr>
        <w:spacing w:after="120"/>
      </w:pPr>
      <w:r>
        <w:t xml:space="preserve">Roughly half of the weeks assign </w:t>
      </w:r>
      <w:r>
        <w:rPr>
          <w:b/>
        </w:rPr>
        <w:t>one required research paper</w:t>
      </w:r>
      <w:r>
        <w:t>, a landmark of the field (word2vec, Attention Is All You Need, BERT, GPT-3, InstructGPT, LoRA, chain-of-thought, RAG, ReAct, Reflexion, Stochastic Parrots). All are freely available.</w:t>
      </w:r>
    </w:p>
    <w:p>
      <w:pPr>
        <w:numPr>
          <w:ilvl w:val="0"/>
          <w:numId w:val="8"/>
        </w:numPr>
        <w:spacing w:after="60"/>
        <w:ind w:left="504" w:hanging="360"/>
      </w:pPr>
      <w:r>
        <w:rPr>
          <w:b/>
        </w:rPr>
        <w:t>At most one required paper per week.</w:t>
      </w:r>
      <w:r>
        <w:t xml:space="preserve"> Additional papers listed on the schedule are optional enrichment and are </w:t>
      </w:r>
      <w:r>
        <w:rPr>
          <w:b/>
        </w:rPr>
        <w:t>never quizzed and never on an exam</w:t>
      </w:r>
      <w:r>
        <w:t>.</w:t>
      </w:r>
    </w:p>
    <w:p>
      <w:pPr>
        <w:numPr>
          <w:ilvl w:val="0"/>
          <w:numId w:val="8"/>
        </w:numPr>
        <w:spacing w:after="60"/>
        <w:ind w:left="504" w:hanging="360"/>
      </w:pPr>
      <w:r>
        <w:t xml:space="preserve">Every required reading has a </w:t>
      </w:r>
      <w:r>
        <w:rPr>
          <w:b/>
        </w:rPr>
        <w:t>verified video alternative</w:t>
      </w:r>
      <w:r>
        <w:t xml:space="preserve"> listed on the schedule. Watching it covers the same quiz-relevant ground as reading the paper. Read the paper if you can; watch if you must; do one of the two.</w:t>
      </w:r>
    </w:p>
    <w:p>
      <w:pPr>
        <w:pStyle w:val="Heading2"/>
        <w:keepNext/>
        <w:spacing w:before="200" w:after="80"/>
      </w:pPr>
      <w:r>
        <w:t>Software and course environment</w:t>
      </w:r>
    </w:p>
    <w:p>
      <w:pPr>
        <w:spacing w:after="120"/>
      </w:pPr>
      <w:r>
        <w:t xml:space="preserve">The course ships a </w:t>
      </w:r>
      <w:r>
        <w:rPr>
          <w:b/>
        </w:rPr>
        <w:t>Docker image</w:t>
      </w:r>
      <w:r>
        <w:t xml:space="preserve"> that pins every dependency, so every student runs an identical environment and "it works on my machine" stops being a conversation we have to have.</w:t>
      </w:r>
    </w:p>
    <w:p>
      <w:pPr>
        <w:numPr>
          <w:ilvl w:val="0"/>
          <w:numId w:val="8"/>
        </w:numPr>
        <w:spacing w:after="60"/>
        <w:ind w:left="504" w:hanging="360"/>
      </w:pPr>
      <w:r>
        <w:rPr>
          <w:b/>
        </w:rPr>
        <w:t>Docker Desktop</w:t>
      </w:r>
      <w:r>
        <w:t xml:space="preserve"> (free), </w:t>
      </w:r>
      <w:r>
        <w:rPr>
          <w:b/>
        </w:rPr>
        <w:t>Python 3.12</w:t>
      </w:r>
      <w:r>
        <w:t xml:space="preserve">, and </w:t>
      </w:r>
      <w:r>
        <w:rPr>
          <w:b/>
        </w:rPr>
        <w:t>Ollama</w:t>
      </w:r>
      <w:r>
        <w:t xml:space="preserve"> for local model inference.</w:t>
      </w:r>
    </w:p>
    <w:p>
      <w:pPr>
        <w:numPr>
          <w:ilvl w:val="0"/>
          <w:numId w:val="8"/>
        </w:numPr>
        <w:spacing w:after="60"/>
        <w:ind w:left="504" w:hanging="360"/>
      </w:pPr>
      <w:r>
        <w:t>No paid APIs, no API keys, no GPU. Every assignment is designed to finish in under two minutes on a laptop CPU using small models (roughly 3B parameters or fewer).</w:t>
      </w:r>
    </w:p>
    <w:p>
      <w:pPr>
        <w:numPr>
          <w:ilvl w:val="0"/>
          <w:numId w:val="8"/>
        </w:numPr>
        <w:spacing w:after="60"/>
        <w:ind w:left="504" w:hanging="360"/>
      </w:pPr>
      <w:r>
        <w:t xml:space="preserve">Setup instructions are in the course repository under </w:t>
      </w:r>
      <w:r>
        <w:rPr>
          <w:rFonts w:ascii="Courier New" w:hAnsi="Courier New"/>
        </w:rPr>
        <w:t>docker/README.md</w:t>
      </w:r>
      <w:r>
        <w:t>, and we install everything together in the first week.</w:t>
      </w:r>
    </w:p>
    <w:p>
      <w:pPr>
        <w:numPr>
          <w:ilvl w:val="0"/>
          <w:numId w:val="8"/>
        </w:numPr>
        <w:spacing w:after="60"/>
        <w:ind w:left="504" w:hanging="360"/>
      </w:pPr>
      <w:r>
        <w:rPr>
          <w:b/>
        </w:rPr>
        <w:t>Bring a laptop to every class.</w:t>
      </w:r>
      <w:r>
        <w:t xml:space="preserve"> If you do not have one available, tell me in the first week and we will arrange a machine.</w:t>
      </w:r>
    </w:p>
    <w:p>
      <w:pPr>
        <w:pStyle w:val="Heading2"/>
        <w:keepNext/>
        <w:spacing w:before="200" w:after="80"/>
      </w:pPr>
      <w:r>
        <w:t>Web page</w:t>
      </w:r>
    </w:p>
    <w:p>
      <w:pPr>
        <w:spacing w:after="120"/>
      </w:pPr>
      <w:r>
        <w:t xml:space="preserve">Most course material (this syllabus, the schedule, slides, assignments, and announcements) is distributed through </w:t>
      </w:r>
      <w:r>
        <w:rPr>
          <w:b/>
          <w:highlight w:val="yellow"/>
        </w:rPr>
        <w:t>[TBD: Canvas or Google Classroom]</w:t>
      </w:r>
      <w:r>
        <w:t>. Visit it frequently.</w:t>
      </w:r>
    </w:p>
    <w:p>
      <w:pPr>
        <w:pStyle w:val="Heading2"/>
        <w:keepNext/>
        <w:spacing w:before="200" w:after="80"/>
      </w:pPr>
      <w:r>
        <w:t>Other references</w:t>
      </w:r>
    </w:p>
    <w:p>
      <w:pPr>
        <w:spacing w:after="120"/>
      </w:pPr>
      <w:r>
        <w:t>These are optional, free, and good:</w:t>
      </w:r>
    </w:p>
    <w:p>
      <w:pPr>
        <w:numPr>
          <w:ilvl w:val="0"/>
          <w:numId w:val="8"/>
        </w:numPr>
        <w:spacing w:after="60"/>
        <w:ind w:left="504" w:hanging="360"/>
      </w:pPr>
      <w:r>
        <w:rPr>
          <w:b/>
        </w:rPr>
        <w:t>Dive into Deep Learning</w:t>
      </w:r>
      <w:r>
        <w:t xml:space="preserve">, </w:t>
      </w:r>
      <w:hyperlink r:id="rId20">
        <w:r>
          <w:rPr>
            <w:color w:val="1155CC"/>
            <w:u w:val="single"/>
          </w:rPr>
          <w:t xml:space="preserve">d2l.ai</w:t>
        </w:r>
      </w:hyperlink>
      <w:r>
        <w:t>, runnable code for attention and Transformers.</w:t>
      </w:r>
    </w:p>
    <w:p>
      <w:pPr>
        <w:numPr>
          <w:ilvl w:val="0"/>
          <w:numId w:val="8"/>
        </w:numPr>
        <w:spacing w:after="60"/>
        <w:ind w:left="504" w:hanging="360"/>
      </w:pPr>
      <w:r>
        <w:rPr>
          <w:b/>
        </w:rPr>
        <w:t>Hugging Face LLM Course</w:t>
      </w:r>
      <w:r>
        <w:t xml:space="preserve">, </w:t>
      </w:r>
      <w:hyperlink r:id="rId21">
        <w:r>
          <w:rPr>
            <w:color w:val="1155CC"/>
            <w:u w:val="single"/>
          </w:rPr>
          <w:t xml:space="preserve">huggingface.co/learn/llm-course</w:t>
        </w:r>
      </w:hyperlink>
      <w:r>
        <w:t>, hands-on tokenizers, fine-tuning, and the library APIs used in the homeworks.</w:t>
      </w:r>
    </w:p>
    <w:p>
      <w:pPr>
        <w:numPr>
          <w:ilvl w:val="0"/>
          <w:numId w:val="8"/>
        </w:numPr>
        <w:spacing w:after="60"/>
        <w:ind w:left="504" w:hanging="360"/>
      </w:pPr>
      <w:r>
        <w:rPr>
          <w:b/>
        </w:rPr>
        <w:t>Introduction to Natural Language Processing</w:t>
      </w:r>
      <w:r>
        <w:t xml:space="preserve"> by Jacob Eisenstein, a more mathematical treatment.</w:t>
      </w:r>
    </w:p>
    <w:p>
      <w:pPr>
        <w:numPr>
          <w:ilvl w:val="0"/>
          <w:numId w:val="8"/>
        </w:numPr>
        <w:spacing w:after="60"/>
        <w:ind w:left="504" w:hanging="360"/>
      </w:pPr>
      <w:r>
        <w:rPr>
          <w:b/>
        </w:rPr>
        <w:t>Building Effective Agents</w:t>
      </w:r>
      <w:r>
        <w:t xml:space="preserve"> (Anthropic), the practical agentic-workflow patterns behind Week 14.</w:t>
      </w:r>
    </w:p>
    <w:p>
      <w:pPr>
        <w:spacing w:after="120"/>
      </w:pPr>
      <w:r>
        <w:t>The Internet is an extraordinary resource for this field, and also full of confident nonsense about it. Treat what you read with the same skepticism we will apply to model outputs.</w:t>
      </w:r>
    </w:p>
    <w:p>
      <w:pPr>
        <w:pStyle w:val="Heading1"/>
        <w:keepNext/>
        <w:spacing w:before="320" w:after="80"/>
      </w:pPr>
      <w:r>
        <w:t>Course Format and Expectations</w:t>
      </w:r>
    </w:p>
    <w:p>
      <w:pPr>
        <w:spacing w:after="120"/>
      </w:pPr>
      <w:r>
        <w:t>Each 75-minute class comes in one of two shapes:</w:t>
      </w:r>
    </w:p>
    <w:p>
      <w:pPr>
        <w:numPr>
          <w:ilvl w:val="0"/>
          <w:numId w:val="8"/>
        </w:numPr>
        <w:spacing w:after="60"/>
        <w:ind w:left="504" w:hanging="360"/>
      </w:pPr>
      <w:r>
        <w:rPr>
          <w:b/>
        </w:rPr>
        <w:t>First class of the week:</w:t>
      </w:r>
      <w:r>
        <w:t xml:space="preserve"> about 35 minutes of content delivery, a </w:t>
      </w:r>
      <w:r>
        <w:rPr>
          <w:b/>
        </w:rPr>
        <w:t>5-minute break</w:t>
      </w:r>
      <w:r>
        <w:t>, then about 35 minutes of in-class activity.</w:t>
      </w:r>
    </w:p>
    <w:p>
      <w:pPr>
        <w:numPr>
          <w:ilvl w:val="0"/>
          <w:numId w:val="8"/>
        </w:numPr>
        <w:spacing w:after="60"/>
        <w:ind w:left="504" w:hanging="360"/>
      </w:pPr>
      <w:r>
        <w:rPr>
          <w:b/>
        </w:rPr>
        <w:t>Second class of the week:</w:t>
      </w:r>
      <w:r>
        <w:t xml:space="preserve"> about 25 to 30 minutes of content, a </w:t>
      </w:r>
      <w:r>
        <w:rPr>
          <w:b/>
        </w:rPr>
        <w:t>10-minute paper quiz</w:t>
      </w:r>
      <w:r>
        <w:t>, the 5-minute break, then about 30 minutes of activity. The quiz sits immediately before the break, so finishing early means your break starts early, and needing extra time comes out of your break rather than the lecture.</w:t>
      </w:r>
    </w:p>
    <w:p>
      <w:pPr>
        <w:spacing w:after="120"/>
      </w:pPr>
      <w:r>
        <w:t xml:space="preserve">In-class activities deliberately vary in </w:t>
      </w:r>
      <w:r>
        <w:rPr>
          <w:b/>
        </w:rPr>
        <w:t>mode</w:t>
      </w:r>
      <w:r>
        <w:t xml:space="preserve"> (programming, whiteboard, discussion, debate, jigsaw, gallery walk, role-play, peer review, team competition) and in </w:t>
      </w:r>
      <w:r>
        <w:rPr>
          <w:b/>
        </w:rPr>
        <w:t>grouping</w:t>
      </w:r>
      <w:r>
        <w:t xml:space="preserve"> (individual, pair, team). A few sessions are full-period coding labs. Activities are graded for participation and completion, not correctness.</w:t>
      </w:r>
    </w:p>
    <w:p>
      <w:pPr>
        <w:spacing w:after="120"/>
      </w:pPr>
      <w:r>
        <w:rPr>
          <w:b/>
        </w:rPr>
        <w:t>Work outside of class.</w:t>
      </w:r>
      <w:r>
        <w:t xml:space="preserve"> Expect roughly </w:t>
      </w:r>
      <w:r>
        <w:rPr>
          <w:b/>
        </w:rPr>
        <w:t>6 to 9 hours per week</w:t>
      </w:r>
      <w:r>
        <w:t xml:space="preserve"> outside of class: the weekly reading or its video alternative, a homework assignment in most weeks, and steady project work after Week 6. The project is 35% of your grade and cannot be done in the last two weeks. Students who start each homework the day it is released consistently do better than students who start it the day before it is due, and the difference is not subtle.</w:t>
      </w:r>
    </w:p>
    <w:p>
      <w:pPr>
        <w:pStyle w:val="Heading1"/>
        <w:keepNext/>
        <w:spacing w:before="320" w:after="80"/>
      </w:pPr>
      <w:r>
        <w:t>Course Requirements</w:t>
      </w:r>
    </w:p>
    <w:p>
      <w:pPr>
        <w:pStyle w:val="Heading2"/>
        <w:keepNext/>
        <w:spacing w:before="200" w:after="80"/>
      </w:pPr>
      <w:r>
        <w:t>Grade overview</w:t>
      </w:r>
    </w:p>
    <w:p>
      <w:pPr>
        <w:spacing w:after="120"/>
      </w:pPr>
      <w:r>
        <w:t xml:space="preserve">Your grade is composed of the six components below. </w:t>
      </w:r>
      <w:r>
        <w:rPr>
          <w:b/>
        </w:rPr>
        <w:t>All work turned in for a grade in this course is pledged.</w:t>
      </w:r>
      <w:r>
        <w:t xml:space="preserve"> For code, put the pledge in a comment at the top of the file.</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7885"/>
        <w:gridCol w:w="1474"/>
      </w:tblGrid>
      <w:tr>
        <w:trPr>
          <w:cantSplit/>
          <w:tblHeader/>
        </w:trPr>
        <w:tc>
          <w:tcPr>
            <w:tcW w:type="dxa" w:w="7886"/>
          </w:tcPr>
          <w:p>
            <w:pPr>
              <w:spacing w:before="40" w:after="40"/>
            </w:pPr>
            <w:r>
              <w:rPr>
                <w:b/>
                <w:sz w:val="22"/>
              </w:rPr>
              <w:t>Component</w:t>
            </w:r>
          </w:p>
        </w:tc>
        <w:tc>
          <w:tcPr>
            <w:tcW w:type="dxa" w:w="1474"/>
          </w:tcPr>
          <w:p>
            <w:pPr>
              <w:spacing w:before="40" w:after="40"/>
              <w:jc w:val="right"/>
            </w:pPr>
            <w:r>
              <w:rPr>
                <w:b/>
                <w:sz w:val="22"/>
              </w:rPr>
              <w:t>Weight</w:t>
            </w:r>
          </w:p>
        </w:tc>
      </w:tr>
      <w:tr>
        <w:trPr>
          <w:cantSplit/>
        </w:trPr>
        <w:tc>
          <w:tcPr>
            <w:tcW w:type="dxa" w:w="7886"/>
          </w:tcPr>
          <w:p>
            <w:pPr>
              <w:spacing w:before="40" w:after="40"/>
            </w:pPr>
            <w:r>
              <w:rPr>
                <w:sz w:val="22"/>
              </w:rPr>
              <w:t>Semester project (proposal 5%, checkpoint 10%, final 20%)</w:t>
            </w:r>
          </w:p>
        </w:tc>
        <w:tc>
          <w:tcPr>
            <w:tcW w:type="dxa" w:w="1474"/>
          </w:tcPr>
          <w:p>
            <w:pPr>
              <w:spacing w:before="40" w:after="40"/>
              <w:jc w:val="right"/>
            </w:pPr>
            <w:r>
              <w:rPr>
                <w:sz w:val="22"/>
              </w:rPr>
              <w:t>35%</w:t>
            </w:r>
          </w:p>
        </w:tc>
      </w:tr>
      <w:tr>
        <w:trPr>
          <w:cantSplit/>
        </w:trPr>
        <w:tc>
          <w:tcPr>
            <w:tcW w:type="dxa" w:w="7886"/>
          </w:tcPr>
          <w:p>
            <w:pPr>
              <w:spacing w:before="40" w:after="40"/>
            </w:pPr>
            <w:r>
              <w:rPr>
                <w:sz w:val="22"/>
              </w:rPr>
              <w:t>Quizzes (7, lowest dropped)</w:t>
            </w:r>
          </w:p>
        </w:tc>
        <w:tc>
          <w:tcPr>
            <w:tcW w:type="dxa" w:w="1474"/>
          </w:tcPr>
          <w:p>
            <w:pPr>
              <w:spacing w:before="40" w:after="40"/>
              <w:jc w:val="right"/>
            </w:pPr>
            <w:r>
              <w:rPr>
                <w:sz w:val="22"/>
              </w:rPr>
              <w:t>27%</w:t>
            </w:r>
          </w:p>
        </w:tc>
      </w:tr>
      <w:tr>
        <w:trPr>
          <w:cantSplit/>
        </w:trPr>
        <w:tc>
          <w:tcPr>
            <w:tcW w:type="dxa" w:w="7886"/>
          </w:tcPr>
          <w:p>
            <w:pPr>
              <w:spacing w:before="40" w:after="40"/>
            </w:pPr>
            <w:r>
              <w:rPr>
                <w:sz w:val="22"/>
              </w:rPr>
              <w:t>Homework assignments (6)</w:t>
            </w:r>
          </w:p>
        </w:tc>
        <w:tc>
          <w:tcPr>
            <w:tcW w:type="dxa" w:w="1474"/>
          </w:tcPr>
          <w:p>
            <w:pPr>
              <w:spacing w:before="40" w:after="40"/>
              <w:jc w:val="right"/>
            </w:pPr>
            <w:r>
              <w:rPr>
                <w:sz w:val="22"/>
              </w:rPr>
              <w:t>15%</w:t>
            </w:r>
          </w:p>
        </w:tc>
      </w:tr>
      <w:tr>
        <w:trPr>
          <w:cantSplit/>
        </w:trPr>
        <w:tc>
          <w:tcPr>
            <w:tcW w:type="dxa" w:w="7886"/>
          </w:tcPr>
          <w:p>
            <w:pPr>
              <w:spacing w:before="40" w:after="40"/>
            </w:pPr>
            <w:r>
              <w:rPr>
                <w:sz w:val="22"/>
              </w:rPr>
              <w:t>Final exam</w:t>
            </w:r>
          </w:p>
        </w:tc>
        <w:tc>
          <w:tcPr>
            <w:tcW w:type="dxa" w:w="1474"/>
          </w:tcPr>
          <w:p>
            <w:pPr>
              <w:spacing w:before="40" w:after="40"/>
              <w:jc w:val="right"/>
            </w:pPr>
            <w:r>
              <w:rPr>
                <w:sz w:val="22"/>
              </w:rPr>
              <w:t>8%</w:t>
            </w:r>
          </w:p>
        </w:tc>
      </w:tr>
      <w:tr>
        <w:trPr>
          <w:cantSplit/>
        </w:trPr>
        <w:tc>
          <w:tcPr>
            <w:tcW w:type="dxa" w:w="7886"/>
          </w:tcPr>
          <w:p>
            <w:pPr>
              <w:spacing w:before="40" w:after="40"/>
            </w:pPr>
            <w:r>
              <w:rPr>
                <w:sz w:val="22"/>
              </w:rPr>
              <w:t>Participation and in-class exercises</w:t>
            </w:r>
          </w:p>
        </w:tc>
        <w:tc>
          <w:tcPr>
            <w:tcW w:type="dxa" w:w="1474"/>
          </w:tcPr>
          <w:p>
            <w:pPr>
              <w:spacing w:before="40" w:after="40"/>
              <w:jc w:val="right"/>
            </w:pPr>
            <w:r>
              <w:rPr>
                <w:sz w:val="22"/>
              </w:rPr>
              <w:t>8%</w:t>
            </w:r>
          </w:p>
        </w:tc>
      </w:tr>
      <w:tr>
        <w:trPr>
          <w:cantSplit/>
        </w:trPr>
        <w:tc>
          <w:tcPr>
            <w:tcW w:type="dxa" w:w="7886"/>
          </w:tcPr>
          <w:p>
            <w:pPr>
              <w:spacing w:before="40" w:after="40"/>
            </w:pPr>
            <w:r>
              <w:rPr>
                <w:sz w:val="22"/>
              </w:rPr>
              <w:t>Midterm exam</w:t>
            </w:r>
          </w:p>
        </w:tc>
        <w:tc>
          <w:tcPr>
            <w:tcW w:type="dxa" w:w="1474"/>
          </w:tcPr>
          <w:p>
            <w:pPr>
              <w:spacing w:before="40" w:after="40"/>
              <w:jc w:val="right"/>
            </w:pPr>
            <w:r>
              <w:rPr>
                <w:sz w:val="22"/>
              </w:rPr>
              <w:t>7%</w:t>
            </w:r>
          </w:p>
        </w:tc>
      </w:tr>
    </w:tbl>
    <w:p>
      <w:pPr>
        <w:spacing w:after="80"/>
      </w:pPr>
    </w:p>
    <w:p>
      <w:pPr>
        <w:spacing w:after="120"/>
      </w:pPr>
      <w:r>
        <w:rPr>
          <w:b/>
        </w:rPr>
        <w:t>Grading scale.</w:t>
      </w:r>
      <w:r>
        <w:t xml:space="preserve"> A ≥ 93, A- ≥ 90, B+ ≥ 87, B ≥ 83, B- ≥ 80, C+ ≥ 77, C ≥ 73, C- ≥ 70, D ≥ 60, F &lt; 60. I do not curve down; if a curve is applied it can only help.</w:t>
      </w:r>
    </w:p>
    <w:p>
      <w:pPr>
        <w:spacing w:after="120"/>
      </w:pPr>
      <w:r>
        <w:rPr>
          <w:b/>
        </w:rPr>
        <w:t>Required to pass.</w:t>
      </w:r>
      <w:r>
        <w:t xml:space="preserve"> You must submit the </w:t>
      </w:r>
      <w:r>
        <w:rPr>
          <w:b/>
        </w:rPr>
        <w:t>final project report and give the final presentation</w:t>
      </w:r>
      <w:r>
        <w:t xml:space="preserve"> to pass this course. A missing final project cannot be offset by other work.</w:t>
      </w:r>
    </w:p>
    <w:p>
      <w:pPr>
        <w:pStyle w:val="Heading2"/>
        <w:keepNext/>
        <w:spacing w:before="200" w:after="80"/>
      </w:pPr>
      <w:r>
        <w:t>Homework assignments</w:t>
      </w:r>
    </w:p>
    <w:p>
      <w:pPr>
        <w:spacing w:after="120"/>
      </w:pPr>
      <w:r>
        <w:t>Six programming assignments, 2.5% each, each isolating one core concept so you master it before it gets integrated into something larger:</w:t>
      </w:r>
    </w:p>
    <w:p>
      <w:pPr>
        <w:spacing w:after="60"/>
        <w:ind w:left="864" w:hanging="360"/>
      </w:pPr>
      <w:r>
        <w:t xml:space="preserve">1. </w:t>
      </w:r>
      <w:r>
        <w:rPr>
          <w:b/>
        </w:rPr>
        <w:t>HW1:</w:t>
      </w:r>
      <w:r>
        <w:t xml:space="preserve"> text processing and n-gram language models</w:t>
      </w:r>
    </w:p>
    <w:p>
      <w:pPr>
        <w:spacing w:after="60"/>
        <w:ind w:left="864" w:hanging="360"/>
      </w:pPr>
      <w:r>
        <w:t xml:space="preserve">2. </w:t>
      </w:r>
      <w:r>
        <w:rPr>
          <w:b/>
        </w:rPr>
        <w:t>HW2:</w:t>
      </w:r>
      <w:r>
        <w:t xml:space="preserve"> text classification and word embeddings</w:t>
      </w:r>
    </w:p>
    <w:p>
      <w:pPr>
        <w:spacing w:after="60"/>
        <w:ind w:left="864" w:hanging="360"/>
      </w:pPr>
      <w:r>
        <w:t xml:space="preserve">3. </w:t>
      </w:r>
      <w:r>
        <w:rPr>
          <w:b/>
        </w:rPr>
        <w:t>HW3:</w:t>
      </w:r>
      <w:r>
        <w:t xml:space="preserve"> attention and the Transformer, implemented from scratch</w:t>
      </w:r>
    </w:p>
    <w:p>
      <w:pPr>
        <w:spacing w:after="60"/>
        <w:ind w:left="864" w:hanging="360"/>
      </w:pPr>
      <w:r>
        <w:t xml:space="preserve">4. </w:t>
      </w:r>
      <w:r>
        <w:rPr>
          <w:b/>
        </w:rPr>
        <w:t>HW4:</w:t>
      </w:r>
      <w:r>
        <w:t xml:space="preserve"> fine-tuning and adapting LLMs (LoRA/PEFT)</w:t>
      </w:r>
    </w:p>
    <w:p>
      <w:pPr>
        <w:spacing w:after="60"/>
        <w:ind w:left="864" w:hanging="360"/>
      </w:pPr>
      <w:r>
        <w:t xml:space="preserve">5. </w:t>
      </w:r>
      <w:r>
        <w:rPr>
          <w:b/>
        </w:rPr>
        <w:t>HW5:</w:t>
      </w:r>
      <w:r>
        <w:t xml:space="preserve"> prompt engineering and Retrieval-Augmented Generation</w:t>
      </w:r>
    </w:p>
    <w:p>
      <w:pPr>
        <w:spacing w:after="60"/>
        <w:ind w:left="864" w:hanging="360"/>
      </w:pPr>
      <w:r>
        <w:t xml:space="preserve">6. </w:t>
      </w:r>
      <w:r>
        <w:rPr>
          <w:b/>
        </w:rPr>
        <w:t>HW6:</w:t>
      </w:r>
      <w:r>
        <w:t xml:space="preserve"> building an LLM agent with tool use</w:t>
      </w:r>
    </w:p>
    <w:p>
      <w:pPr>
        <w:spacing w:after="120"/>
      </w:pPr>
      <w:r>
        <w:t xml:space="preserve">Homeworks are </w:t>
      </w:r>
      <w:r>
        <w:rPr>
          <w:b/>
        </w:rPr>
        <w:t>individual work</w:t>
      </w:r>
      <w:r>
        <w:t>. Detailed requirements ship with each assignment; release and due dates are on the course schedule and are subject to change as we move through material, with a week's notice.</w:t>
      </w:r>
    </w:p>
    <w:p>
      <w:pPr>
        <w:spacing w:after="120"/>
      </w:pPr>
      <w:r>
        <w:rPr>
          <w:b/>
        </w:rPr>
        <w:t>Code must run to receive credit.</w:t>
      </w:r>
      <w:r>
        <w:t xml:space="preserve"> Every homework ships with tests and must run inside the course Docker image. If you submit code that crashes on import or fails to run at all, you will receive no more than 25% credit until it is fixed and resubmitted.</w:t>
      </w:r>
    </w:p>
    <w:p>
      <w:pPr>
        <w:pStyle w:val="Heading2"/>
        <w:keepNext/>
        <w:spacing w:before="200" w:after="80"/>
      </w:pPr>
      <w:r>
        <w:t>Quizzes</w:t>
      </w:r>
    </w:p>
    <w:p>
      <w:pPr>
        <w:spacing w:after="120"/>
      </w:pPr>
      <w:r>
        <w:t xml:space="preserve">A short </w:t>
      </w:r>
      <w:r>
        <w:rPr>
          <w:b/>
        </w:rPr>
        <w:t>paper quiz</w:t>
      </w:r>
      <w:r>
        <w:t xml:space="preserve"> is given seven times across the term (see the schedule for the dates), always in the second class of its week and immediately before the break. Each is 10 points and takes about 10 minutes, with 5 to 8 questions mixing recall, reading comprehension, and short reasoning. </w:t>
      </w:r>
      <w:r>
        <w:rPr>
          <w:b/>
        </w:rPr>
        <w:t>A quiz covers everything since the previous quiz</w:t>
      </w:r>
      <w:r>
        <w:t>, so expect a two- to three-week span rather than a single week.</w:t>
      </w:r>
    </w:p>
    <w:p>
      <w:pPr>
        <w:numPr>
          <w:ilvl w:val="0"/>
          <w:numId w:val="8"/>
        </w:numPr>
        <w:spacing w:after="60"/>
        <w:ind w:left="504" w:hanging="360"/>
      </w:pPr>
      <w:r>
        <w:t xml:space="preserve">A quiz may only test </w:t>
      </w:r>
      <w:r>
        <w:rPr>
          <w:b/>
        </w:rPr>
        <w:t>that week's lectures plus that week's single required reading</w:t>
      </w:r>
      <w:r>
        <w:t>. Optional readings are never quizzed.</w:t>
      </w:r>
    </w:p>
    <w:p>
      <w:pPr>
        <w:numPr>
          <w:ilvl w:val="0"/>
          <w:numId w:val="8"/>
        </w:numPr>
        <w:spacing w:after="60"/>
        <w:ind w:left="504" w:hanging="360"/>
      </w:pPr>
      <w:r>
        <w:rPr>
          <w:b/>
        </w:rPr>
        <w:t>Your lowest quiz score is dropped</w:t>
      </w:r>
      <w:r>
        <w:t>, automatically, at the end of the semester.</w:t>
      </w:r>
    </w:p>
    <w:p>
      <w:pPr>
        <w:numPr>
          <w:ilvl w:val="0"/>
          <w:numId w:val="8"/>
        </w:numPr>
        <w:spacing w:after="60"/>
        <w:ind w:left="504" w:hanging="360"/>
      </w:pPr>
      <w:r>
        <w:rPr>
          <w:b/>
        </w:rPr>
        <w:t>A missed quiz can be made up, and scheduling it is your job.</w:t>
      </w:r>
      <w:r>
        <w:t xml:space="preserve"> Email me within a week of the quiz you missed and we will find a time in office hours. I do not track down students who missed a quiz, and an unscheduled make-up simply stays a zero.</w:t>
      </w:r>
    </w:p>
    <w:p>
      <w:pPr>
        <w:pStyle w:val="Heading2"/>
        <w:keepNext/>
        <w:spacing w:before="200" w:after="80"/>
      </w:pPr>
      <w:r>
        <w:t>Point recovery on quizzes and the midterm</w:t>
      </w:r>
    </w:p>
    <w:p>
      <w:pPr>
        <w:spacing w:after="120"/>
      </w:pPr>
      <w:r>
        <w:t xml:space="preserve">Half of the points you lose on a </w:t>
      </w:r>
      <w:r>
        <w:rPr>
          <w:b/>
        </w:rPr>
        <w:t>quiz or the midterm</w:t>
      </w:r>
      <w:r>
        <w:t xml:space="preserve"> can be earned back. Bring the corrected work to office hours, show me the fix, and explain it to me out loud. If the explanation holds up, </w:t>
      </w:r>
      <w:r>
        <w:rPr>
          <w:b/>
        </w:rPr>
        <w:t>half the points you lost on that question come back</w:t>
      </w:r>
      <w:r>
        <w:t>.</w:t>
      </w:r>
    </w:p>
    <w:p>
      <w:pPr>
        <w:numPr>
          <w:ilvl w:val="0"/>
          <w:numId w:val="8"/>
        </w:numPr>
        <w:spacing w:after="60"/>
        <w:ind w:left="504" w:hanging="360"/>
      </w:pPr>
      <w:r>
        <w:rPr>
          <w:b/>
        </w:rPr>
        <w:t>In person, out loud, in office hours.</w:t>
      </w:r>
      <w:r>
        <w:t xml:space="preserve"> This is not something you email me. The explaining is the whole mechanism: recovery is for understanding the material late, not for finding the answer late.</w:t>
      </w:r>
    </w:p>
    <w:p>
      <w:pPr>
        <w:numPr>
          <w:ilvl w:val="0"/>
          <w:numId w:val="8"/>
        </w:numPr>
        <w:spacing w:after="60"/>
        <w:ind w:left="504" w:hanging="360"/>
      </w:pPr>
      <w:r>
        <w:rPr>
          <w:b/>
        </w:rPr>
        <w:t>Arrive with the correction already written.</w:t>
      </w:r>
      <w:r>
        <w:t xml:space="preserve"> Come with the work done, not with the graded page and a question.</w:t>
      </w:r>
    </w:p>
    <w:p>
      <w:pPr>
        <w:numPr>
          <w:ilvl w:val="0"/>
          <w:numId w:val="8"/>
        </w:numPr>
        <w:spacing w:after="60"/>
        <w:ind w:left="504" w:hanging="360"/>
      </w:pPr>
      <w:r>
        <w:rPr>
          <w:b/>
        </w:rPr>
        <w:t>Deadline: two weeks</w:t>
      </w:r>
      <w:r>
        <w:t xml:space="preserve"> from the day the quiz or exam is handed back, and in every case before our last class meeting.</w:t>
      </w:r>
    </w:p>
    <w:p>
      <w:pPr>
        <w:numPr>
          <w:ilvl w:val="0"/>
          <w:numId w:val="8"/>
        </w:numPr>
        <w:spacing w:after="60"/>
        <w:ind w:left="504" w:hanging="360"/>
      </w:pPr>
      <w:r>
        <w:t xml:space="preserve">The </w:t>
      </w:r>
      <w:r>
        <w:rPr>
          <w:b/>
        </w:rPr>
        <w:t>final exam is not eligible</w:t>
      </w:r>
      <w:r>
        <w:t>, because the semester ends before you could come explain it.</w:t>
      </w:r>
    </w:p>
    <w:p>
      <w:pPr>
        <w:numPr>
          <w:ilvl w:val="0"/>
          <w:numId w:val="8"/>
        </w:numPr>
        <w:spacing w:after="60"/>
        <w:ind w:left="504" w:hanging="360"/>
      </w:pPr>
      <w:r>
        <w:t xml:space="preserve">The lowest quiz score is dropped </w:t>
      </w:r>
      <w:r>
        <w:rPr>
          <w:b/>
        </w:rPr>
        <w:t>after</w:t>
      </w:r>
      <w:r>
        <w:t xml:space="preserve"> recovery is applied, so recovering points on a bad quiz can never hurt you.</w:t>
      </w:r>
    </w:p>
    <w:p>
      <w:pPr>
        <w:spacing w:after="120"/>
      </w:pPr>
      <w:r>
        <w:t>This exists because a wrong answer you later understand is worth something, and because the fastest way for me to find out what a class actually missed is to have people come explain it to me.</w:t>
      </w:r>
    </w:p>
    <w:p>
      <w:pPr>
        <w:pStyle w:val="Heading2"/>
        <w:keepNext/>
        <w:spacing w:before="200" w:after="80"/>
      </w:pPr>
      <w:r>
        <w:t>Midterm and final exams</w:t>
      </w:r>
    </w:p>
    <w:p>
      <w:pPr>
        <w:spacing w:after="120"/>
      </w:pPr>
      <w:r>
        <w:t xml:space="preserve">Both exams are </w:t>
      </w:r>
      <w:r>
        <w:rPr>
          <w:b/>
        </w:rPr>
        <w:t>on paper</w:t>
      </w:r>
      <w:r>
        <w:t xml:space="preserve">, and neither involves coding at a computer. They emphasize conceptual understanding, hand-worked mechanics (small computations and labeled diagrams: count BPE merges, mask and softmax an attention row, label a pipeline), and reasoning about model behavior. A printed </w:t>
      </w:r>
      <w:r>
        <w:rPr>
          <w:b/>
        </w:rPr>
        <w:t>study guide with a full-length practice exam and its answers</w:t>
      </w:r>
      <w:r>
        <w:t xml:space="preserve"> is handed out well before each.</w:t>
      </w:r>
    </w:p>
    <w:p>
      <w:pPr>
        <w:numPr>
          <w:ilvl w:val="0"/>
          <w:numId w:val="8"/>
        </w:numPr>
        <w:spacing w:after="60"/>
        <w:ind w:left="504" w:hanging="360"/>
      </w:pPr>
      <w:r>
        <w:rPr>
          <w:b/>
        </w:rPr>
        <w:t>Midterm</w:t>
      </w:r>
      <w:r>
        <w:t xml:space="preserve"> (Week 13, Class 1, in class, about 70 minutes, 100 points): covers Weeks 1 through 12. Date: </w:t>
      </w:r>
      <w:r>
        <w:rPr>
          <w:b/>
        </w:rPr>
        <w:t>Monday, November 16, 2026</w:t>
      </w:r>
    </w:p>
    <w:p>
      <w:pPr>
        <w:numPr>
          <w:ilvl w:val="0"/>
          <w:numId w:val="8"/>
        </w:numPr>
        <w:spacing w:after="60"/>
        <w:ind w:left="504" w:hanging="360"/>
      </w:pPr>
      <w:r>
        <w:rPr>
          <w:b/>
        </w:rPr>
        <w:t>Final</w:t>
      </w:r>
      <w:r>
        <w:t xml:space="preserve"> (registrar's final-exam period, about 2 hours, 100 points): cumulative across all fifteen weeks. Held in the registrar's final examination period, December 11 to 17, 2026; the exact slot is </w:t>
      </w:r>
      <w:r>
        <w:rPr>
          <w:b/>
          <w:highlight w:val="yellow"/>
        </w:rPr>
        <w:t>[TBD: confirm against the published Class Schedule]</w:t>
      </w:r>
    </w:p>
    <w:p>
      <w:pPr>
        <w:spacing w:after="120"/>
      </w:pPr>
      <w:r>
        <w:rPr>
          <w:b/>
        </w:rPr>
        <w:t>Note-sheet policy.</w:t>
      </w:r>
      <w:r>
        <w:t xml:space="preserve"> On the </w:t>
      </w:r>
      <w:r>
        <w:rPr>
          <w:b/>
        </w:rPr>
        <w:t>midterm</w:t>
      </w:r>
      <w:r>
        <w:t xml:space="preserve"> you may bring </w:t>
      </w:r>
      <w:r>
        <w:rPr>
          <w:b/>
        </w:rPr>
        <w:t>one standard 8.5 x 11 sheet of handwritten notes, both sides</w:t>
      </w:r>
      <w:r>
        <w:t xml:space="preserve">. No printouts, no photocopies, no textbook, no computer, no phone. Put your name on the sheet; it is collected with the exam. </w:t>
      </w:r>
      <w:r>
        <w:rPr>
          <w:b/>
        </w:rPr>
        <w:t>The final exam is closed book with no note sheet.</w:t>
      </w:r>
    </w:p>
    <w:p>
      <w:pPr>
        <w:spacing w:after="120"/>
      </w:pPr>
      <w:r>
        <w:rPr>
          <w:b/>
        </w:rPr>
        <w:t>Electronic devices during assessments.</w:t>
      </w:r>
      <w:r>
        <w:t xml:space="preserve"> Phones, smart watches, tablets, laptops, and headphones must be </w:t>
      </w:r>
      <w:r>
        <w:rPr>
          <w:b/>
        </w:rPr>
        <w:t>powered off and stored away</w:t>
      </w:r>
      <w:r>
        <w:t xml:space="preserve"> during all quizzes and exams. Failure to follow this instruction is an Honor Code violation, whether or not the device was used.</w:t>
      </w:r>
    </w:p>
    <w:p>
      <w:pPr>
        <w:pStyle w:val="Heading2"/>
        <w:keepNext/>
        <w:spacing w:before="200" w:after="80"/>
      </w:pPr>
      <w:r>
        <w:t>Semester project</w:t>
      </w:r>
    </w:p>
    <w:p>
      <w:pPr>
        <w:spacing w:after="120"/>
      </w:pPr>
      <w:r>
        <w:t xml:space="preserve">An original project in NLP or LLMs, worth </w:t>
      </w:r>
      <w:r>
        <w:rPr>
          <w:b/>
        </w:rPr>
        <w:t>35%</w:t>
      </w:r>
      <w:r>
        <w:t xml:space="preserve"> of your grade. Pick one of three tracks: a </w:t>
      </w:r>
      <w:r>
        <w:rPr>
          <w:b/>
        </w:rPr>
        <w:t>new method</w:t>
      </w:r>
      <w:r>
        <w:t xml:space="preserve">, a </w:t>
      </w:r>
      <w:r>
        <w:rPr>
          <w:b/>
        </w:rPr>
        <w:t>reproduction</w:t>
      </w:r>
      <w:r>
        <w:t xml:space="preserve"> of published results, or a </w:t>
      </w:r>
      <w:r>
        <w:rPr>
          <w:b/>
        </w:rPr>
        <w:t>benchmark or analysis</w:t>
      </w:r>
      <w:r>
        <w:t xml:space="preserve"> study. Projects are done individually or in </w:t>
      </w:r>
      <w:r>
        <w:rPr>
          <w:b/>
        </w:rPr>
        <w:t>teams of up to 3</w:t>
      </w:r>
      <w:r>
        <w:t>, with scope scaling to team size. Everything must run on free tools on a laptop CPU; scientific rigor matters far more than scale.</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691"/>
        <w:gridCol w:w="1155"/>
        <w:gridCol w:w="920"/>
        <w:gridCol w:w="3700"/>
        <w:gridCol w:w="1892"/>
      </w:tblGrid>
      <w:tr>
        <w:trPr>
          <w:cantSplit/>
          <w:tblHeader/>
        </w:trPr>
        <w:tc>
          <w:tcPr>
            <w:tcW w:type="dxa" w:w="1691"/>
          </w:tcPr>
          <w:p>
            <w:pPr>
              <w:spacing w:before="40" w:after="40"/>
            </w:pPr>
            <w:r>
              <w:rPr>
                <w:b/>
                <w:sz w:val="22"/>
              </w:rPr>
              <w:t>Milestone</w:t>
            </w:r>
          </w:p>
        </w:tc>
        <w:tc>
          <w:tcPr>
            <w:tcW w:type="dxa" w:w="1155"/>
          </w:tcPr>
          <w:p>
            <w:pPr>
              <w:spacing w:before="40" w:after="40"/>
            </w:pPr>
            <w:r>
              <w:rPr>
                <w:b/>
                <w:sz w:val="22"/>
              </w:rPr>
              <w:t>Week</w:t>
            </w:r>
          </w:p>
        </w:tc>
        <w:tc>
          <w:tcPr>
            <w:tcW w:type="dxa" w:w="921"/>
          </w:tcPr>
          <w:p>
            <w:pPr>
              <w:spacing w:before="40" w:after="40"/>
              <w:jc w:val="right"/>
            </w:pPr>
            <w:r>
              <w:rPr>
                <w:b/>
                <w:sz w:val="22"/>
              </w:rPr>
              <w:t>Weight</w:t>
            </w:r>
          </w:p>
        </w:tc>
        <w:tc>
          <w:tcPr>
            <w:tcW w:type="dxa" w:w="3700"/>
          </w:tcPr>
          <w:p>
            <w:pPr>
              <w:spacing w:before="40" w:after="40"/>
            </w:pPr>
            <w:r>
              <w:rPr>
                <w:b/>
                <w:sz w:val="22"/>
              </w:rPr>
              <w:t>Deliverable</w:t>
            </w:r>
          </w:p>
        </w:tc>
        <w:tc>
          <w:tcPr>
            <w:tcW w:type="dxa" w:w="1892"/>
          </w:tcPr>
          <w:p>
            <w:pPr>
              <w:spacing w:before="40" w:after="40"/>
            </w:pPr>
            <w:r>
              <w:rPr>
                <w:b/>
                <w:sz w:val="22"/>
              </w:rPr>
              <w:t>Due</w:t>
            </w:r>
          </w:p>
        </w:tc>
      </w:tr>
      <w:tr>
        <w:trPr>
          <w:cantSplit/>
        </w:trPr>
        <w:tc>
          <w:tcPr>
            <w:tcW w:type="dxa" w:w="1691"/>
          </w:tcPr>
          <w:p>
            <w:pPr>
              <w:spacing w:before="40" w:after="40"/>
            </w:pPr>
            <w:r>
              <w:rPr>
                <w:sz w:val="22"/>
              </w:rPr>
              <w:t>Proposal</w:t>
            </w:r>
          </w:p>
        </w:tc>
        <w:tc>
          <w:tcPr>
            <w:tcW w:type="dxa" w:w="1155"/>
          </w:tcPr>
          <w:p>
            <w:pPr>
              <w:spacing w:before="40" w:after="40"/>
            </w:pPr>
            <w:r>
              <w:rPr>
                <w:sz w:val="22"/>
              </w:rPr>
              <w:t>5</w:t>
            </w:r>
          </w:p>
        </w:tc>
        <w:tc>
          <w:tcPr>
            <w:tcW w:type="dxa" w:w="921"/>
          </w:tcPr>
          <w:p>
            <w:pPr>
              <w:spacing w:before="40" w:after="40"/>
              <w:jc w:val="right"/>
            </w:pPr>
            <w:r>
              <w:rPr>
                <w:sz w:val="22"/>
              </w:rPr>
              <w:t>5%</w:t>
            </w:r>
          </w:p>
        </w:tc>
        <w:tc>
          <w:tcPr>
            <w:tcW w:type="dxa" w:w="3700"/>
          </w:tcPr>
          <w:p>
            <w:pPr>
              <w:spacing w:before="40" w:after="40"/>
            </w:pPr>
            <w:r>
              <w:rPr>
                <w:sz w:val="22"/>
              </w:rPr>
              <w:t>1-page written plan, submitted (no in-class pitch)</w:t>
            </w:r>
          </w:p>
        </w:tc>
        <w:tc>
          <w:tcPr>
            <w:tcW w:type="dxa" w:w="1892"/>
          </w:tcPr>
          <w:p>
            <w:pPr>
              <w:spacing w:before="40" w:after="40"/>
            </w:pPr>
            <w:r>
              <w:rPr>
                <w:sz w:val="22"/>
              </w:rPr>
              <w:t>Wed Oct 7</w:t>
            </w:r>
          </w:p>
        </w:tc>
      </w:tr>
      <w:tr>
        <w:trPr>
          <w:cantSplit/>
        </w:trPr>
        <w:tc>
          <w:tcPr>
            <w:tcW w:type="dxa" w:w="1691"/>
          </w:tcPr>
          <w:p>
            <w:pPr>
              <w:spacing w:before="40" w:after="40"/>
            </w:pPr>
            <w:r>
              <w:rPr>
                <w:sz w:val="22"/>
              </w:rPr>
              <w:t>Checkpoint</w:t>
            </w:r>
          </w:p>
        </w:tc>
        <w:tc>
          <w:tcPr>
            <w:tcW w:type="dxa" w:w="1155"/>
          </w:tcPr>
          <w:p>
            <w:pPr>
              <w:spacing w:before="40" w:after="40"/>
            </w:pPr>
            <w:r>
              <w:rPr>
                <w:sz w:val="22"/>
              </w:rPr>
              <w:t>10</w:t>
            </w:r>
          </w:p>
        </w:tc>
        <w:tc>
          <w:tcPr>
            <w:tcW w:type="dxa" w:w="921"/>
          </w:tcPr>
          <w:p>
            <w:pPr>
              <w:spacing w:before="40" w:after="40"/>
              <w:jc w:val="right"/>
            </w:pPr>
            <w:r>
              <w:rPr>
                <w:sz w:val="22"/>
              </w:rPr>
              <w:t>10%</w:t>
            </w:r>
          </w:p>
        </w:tc>
        <w:tc>
          <w:tcPr>
            <w:tcW w:type="dxa" w:w="3700"/>
          </w:tcPr>
          <w:p>
            <w:pPr>
              <w:spacing w:before="40" w:after="40"/>
            </w:pPr>
            <w:r>
              <w:rPr>
                <w:sz w:val="22"/>
              </w:rPr>
              <w:t>1-page summary (abstract, method, preliminary results) plus an in-class peer-review round</w:t>
            </w:r>
          </w:p>
        </w:tc>
        <w:tc>
          <w:tcPr>
            <w:tcW w:type="dxa" w:w="1892"/>
          </w:tcPr>
          <w:p>
            <w:pPr>
              <w:spacing w:before="40" w:after="40"/>
            </w:pPr>
            <w:r>
              <w:rPr>
                <w:sz w:val="22"/>
              </w:rPr>
              <w:t>Mon Nov 9</w:t>
            </w:r>
          </w:p>
        </w:tc>
      </w:tr>
      <w:tr>
        <w:trPr>
          <w:cantSplit/>
        </w:trPr>
        <w:tc>
          <w:tcPr>
            <w:tcW w:type="dxa" w:w="1691"/>
          </w:tcPr>
          <w:p>
            <w:pPr>
              <w:spacing w:before="40" w:after="40"/>
            </w:pPr>
            <w:r>
              <w:rPr>
                <w:sz w:val="22"/>
              </w:rPr>
              <w:t>Final report and presentation</w:t>
            </w:r>
          </w:p>
        </w:tc>
        <w:tc>
          <w:tcPr>
            <w:tcW w:type="dxa" w:w="1155"/>
          </w:tcPr>
          <w:p>
            <w:pPr>
              <w:spacing w:before="40" w:after="40"/>
            </w:pPr>
            <w:r>
              <w:rPr>
                <w:sz w:val="22"/>
              </w:rPr>
              <w:t>15 and finals</w:t>
            </w:r>
          </w:p>
        </w:tc>
        <w:tc>
          <w:tcPr>
            <w:tcW w:type="dxa" w:w="921"/>
          </w:tcPr>
          <w:p>
            <w:pPr>
              <w:spacing w:before="40" w:after="40"/>
              <w:jc w:val="right"/>
            </w:pPr>
            <w:r>
              <w:rPr>
                <w:sz w:val="22"/>
              </w:rPr>
              <w:t>20%</w:t>
            </w:r>
          </w:p>
        </w:tc>
        <w:tc>
          <w:tcPr>
            <w:tcW w:type="dxa" w:w="3700"/>
          </w:tcPr>
          <w:p>
            <w:pPr>
              <w:spacing w:before="40" w:after="40"/>
            </w:pPr>
            <w:r>
              <w:rPr>
                <w:sz w:val="22"/>
              </w:rPr>
              <w:t>6 to 8 page report plus a 5 to 8 minute talk or demo and 2 minutes of Q&amp;A</w:t>
            </w:r>
          </w:p>
        </w:tc>
        <w:tc>
          <w:tcPr>
            <w:tcW w:type="dxa" w:w="1892"/>
          </w:tcPr>
          <w:p>
            <w:pPr>
              <w:spacing w:before="40" w:after="40"/>
            </w:pPr>
            <w:r>
              <w:rPr>
                <w:sz w:val="22"/>
              </w:rPr>
              <w:t>talks from Mon Dec 7, report Dec 11</w:t>
            </w:r>
          </w:p>
        </w:tc>
      </w:tr>
    </w:tbl>
    <w:p>
      <w:pPr>
        <w:spacing w:after="80"/>
      </w:pPr>
    </w:p>
    <w:p>
      <w:pPr>
        <w:numPr>
          <w:ilvl w:val="0"/>
          <w:numId w:val="8"/>
        </w:numPr>
        <w:spacing w:after="60"/>
        <w:ind w:left="504" w:hanging="360"/>
      </w:pPr>
      <w:r>
        <w:t xml:space="preserve">The </w:t>
      </w:r>
      <w:r>
        <w:rPr>
          <w:b/>
        </w:rPr>
        <w:t>final report is written in LaTeX using the NeurIPS template</w:t>
      </w:r>
      <w:r>
        <w:t xml:space="preserve"> (</w:t>
      </w:r>
      <w:hyperlink r:id="rId22">
        <w:r>
          <w:rPr>
            <w:color w:val="1155CC"/>
            <w:u w:val="single"/>
          </w:rPr>
          <w:t xml:space="preserve">Overleaf template</w:t>
        </w:r>
      </w:hyperlink>
      <w:r>
        <w:t>). No LaTeX experience is assumed; Overleaf runs in a browser and is free.</w:t>
      </w:r>
    </w:p>
    <w:p>
      <w:pPr>
        <w:numPr>
          <w:ilvl w:val="0"/>
          <w:numId w:val="8"/>
        </w:numPr>
        <w:spacing w:after="60"/>
        <w:ind w:left="504" w:hanging="360"/>
      </w:pPr>
      <w:r>
        <w:t xml:space="preserve">The </w:t>
      </w:r>
      <w:r>
        <w:rPr>
          <w:b/>
        </w:rPr>
        <w:t>checkpoint is a peer-review round, not a presentation</w:t>
      </w:r>
      <w:r>
        <w:t>: you sit in a group of four drawn from different projects, and each person gets 3 minutes to present their page and 4 minutes of critique from the other three. I join one group per round. Every student leaves having been critiqued by three peers and the instructor.</w:t>
      </w:r>
    </w:p>
    <w:p>
      <w:pPr>
        <w:numPr>
          <w:ilvl w:val="0"/>
          <w:numId w:val="8"/>
        </w:numPr>
        <w:spacing w:after="60"/>
        <w:ind w:left="504" w:hanging="360"/>
      </w:pPr>
      <w:r>
        <w:t xml:space="preserve">Dedicated </w:t>
      </w:r>
      <w:r>
        <w:rPr>
          <w:b/>
        </w:rPr>
        <w:t>project work and instructor feedback time</w:t>
      </w:r>
      <w:r>
        <w:t xml:space="preserve"> is built into Week 10 and Week 14, Class 2.</w:t>
      </w:r>
    </w:p>
    <w:p>
      <w:pPr>
        <w:numPr>
          <w:ilvl w:val="0"/>
          <w:numId w:val="8"/>
        </w:numPr>
        <w:spacing w:after="60"/>
        <w:ind w:left="504" w:hanging="360"/>
      </w:pPr>
      <w:r>
        <w:rPr>
          <w:b/>
        </w:rPr>
        <w:t>Team work is expected to be shared work.</w:t>
      </w:r>
      <w:r>
        <w:t xml:space="preserve"> Each final report includes a per-member contribution statement, and a </w:t>
      </w:r>
      <w:r>
        <w:rPr>
          <w:b/>
        </w:rPr>
        <w:t>confidential peer evaluation</w:t>
      </w:r>
      <w:r>
        <w:t xml:space="preserve"> adjusts each member's individual project grade by up to </w:t>
      </w:r>
      <w:r>
        <w:rPr>
          <w:b/>
        </w:rPr>
        <w:t>±15%</w:t>
      </w:r>
      <w:r>
        <w:t>. A member who contributed a roughly equal share is unaffected. Every member must be able to explain the entire project, not only their part.</w:t>
      </w:r>
    </w:p>
    <w:p>
      <w:pPr>
        <w:spacing w:after="120"/>
      </w:pPr>
      <w:r>
        <w:t>Full guidelines and rubrics are in the project handout.</w:t>
      </w:r>
    </w:p>
    <w:p>
      <w:pPr>
        <w:pStyle w:val="Heading2"/>
        <w:keepNext/>
        <w:spacing w:before="200" w:after="80"/>
      </w:pPr>
      <w:r>
        <w:t>Attendance and class participation</w:t>
      </w:r>
    </w:p>
    <w:p>
      <w:pPr>
        <w:spacing w:after="120"/>
      </w:pPr>
      <w:r>
        <w:rPr>
          <w:b/>
        </w:rPr>
        <w:t>Regular attendance is expected</w:t>
      </w:r>
      <w:r>
        <w:t>, and this course is built so that skipping is costly: quizzes are taken on paper in class and cannot be made up, and roughly half of every session is hands-on work with your classmates that has no take-home equivalent.</w:t>
      </w:r>
    </w:p>
    <w:p>
      <w:pPr>
        <w:spacing w:after="120"/>
      </w:pPr>
      <w:r>
        <w:t>Your participation grade (8%) is based on attendance, engagement, and completion of in-class activities. Attendance is taken every session. Repeated texting, social media, or other off-task device use during class will detract from your participation grade even if your attendance is perfect.</w:t>
      </w:r>
    </w:p>
    <w:p>
      <w:pPr>
        <w:spacing w:after="120"/>
      </w:pPr>
      <w:r>
        <w:rPr>
          <w:b/>
        </w:rPr>
        <w:t>Excessive absences.</w:t>
      </w:r>
      <w:r>
        <w:t xml:space="preserve"> More than </w:t>
      </w:r>
      <w:r>
        <w:rPr>
          <w:b/>
        </w:rPr>
        <w:t>six absences</w:t>
      </w:r>
      <w:r>
        <w:t xml:space="preserve"> (three weeks of class) is excessive. At that point I will contact you and may, per the Faculty Handbook, remove you from the course. If circumstances are pushing you toward that line, talk to me before you cross it, not after.</w:t>
      </w:r>
    </w:p>
    <w:p>
      <w:pPr>
        <w:spacing w:after="120"/>
      </w:pPr>
      <w:r>
        <w:rPr>
          <w:b/>
        </w:rPr>
        <w:t>University-sponsored events.</w:t>
      </w:r>
      <w:r>
        <w:t xml:space="preserve"> You will not be penalized for missing class for a University-sponsored event such as a debate tournament, choral performance, or Division III athletic match. You must notify me </w:t>
      </w:r>
      <w:r>
        <w:rPr>
          <w:b/>
        </w:rPr>
        <w:t>in advance</w:t>
      </w:r>
      <w:r>
        <w:t xml:space="preserve"> with the official letter, and you are responsible for arranging to take any missed quiz before you leave.</w:t>
      </w:r>
    </w:p>
    <w:p>
      <w:pPr>
        <w:spacing w:after="120"/>
      </w:pPr>
      <w:r>
        <w:rPr>
          <w:b/>
        </w:rPr>
        <w:t>Extenuating circumstances.</w:t>
      </w:r>
      <w:r>
        <w:t xml:space="preserve"> If you are dealing with an extended medical situation, a family emergency, or another serious disruption, work with the </w:t>
      </w:r>
      <w:hyperlink r:id="rId23">
        <w:r>
          <w:rPr>
            <w:color w:val="1155CC"/>
            <w:u w:val="single"/>
          </w:rPr>
          <w:t xml:space="preserve">Office of the Dean of Students</w:t>
        </w:r>
      </w:hyperlink>
      <w:r>
        <w:t>, who will communicate with your instructors on your behalf. I would much rather adjust with you early than reconstruct a semester at the end of it.</w:t>
      </w:r>
    </w:p>
    <w:p>
      <w:pPr>
        <w:spacing w:after="120"/>
      </w:pPr>
      <w:r>
        <w:rPr>
          <w:b/>
        </w:rPr>
        <w:t>Accommodations.</w:t>
      </w:r>
      <w:r>
        <w:t xml:space="preserve"> Students with attendance or testing accommodations approved by </w:t>
      </w:r>
      <w:hyperlink r:id="rId16">
        <w:r>
          <w:rPr>
            <w:color w:val="1155CC"/>
            <w:u w:val="single"/>
          </w:rPr>
          <w:t xml:space="preserve">Student Accessibility Services</w:t>
        </w:r>
      </w:hyperlink>
      <w:r>
        <w:t xml:space="preserve"> should meet with me early in the semester so we can agree on an implementation plan for this course.</w:t>
      </w:r>
    </w:p>
    <w:p>
      <w:pPr>
        <w:pStyle w:val="Heading2"/>
        <w:keepNext/>
        <w:spacing w:before="200" w:after="80"/>
      </w:pPr>
      <w:r>
        <w:t>Late and missed work</w:t>
      </w:r>
    </w:p>
    <w:p>
      <w:pPr>
        <w:numPr>
          <w:ilvl w:val="0"/>
          <w:numId w:val="8"/>
        </w:numPr>
        <w:spacing w:after="60"/>
        <w:ind w:left="504" w:hanging="360"/>
      </w:pPr>
      <w:r>
        <w:rPr>
          <w:b/>
        </w:rPr>
        <w:t>Homework is accepted late with no penalty.</w:t>
      </w:r>
      <w:r>
        <w:t xml:space="preserve"> There is no per-day deduction. The dates on the schedule are still real dates and you should still hit them, because the material compounds and HW4 is a great deal harder while HW2 is still open, but nothing is deducted for turning work in after them.</w:t>
      </w:r>
    </w:p>
    <w:p>
      <w:pPr>
        <w:numPr>
          <w:ilvl w:val="0"/>
          <w:numId w:val="8"/>
        </w:numPr>
        <w:spacing w:after="60"/>
        <w:ind w:left="504" w:hanging="360"/>
      </w:pPr>
      <w:r>
        <w:rPr>
          <w:b/>
        </w:rPr>
        <w:t>One hard cutoff: no homework is accepted after Monday, December 7, 2026</w:t>
      </w:r>
      <w:r>
        <w:t>, the day of the first final project presentations and our last class meeting. That deadline does not move, for anyone, because grades are due to the registrar shortly after it. Homework not submitted by then is a zero.</w:t>
      </w:r>
    </w:p>
    <w:p>
      <w:pPr>
        <w:numPr>
          <w:ilvl w:val="0"/>
          <w:numId w:val="8"/>
        </w:numPr>
        <w:spacing w:after="60"/>
        <w:ind w:left="504" w:hanging="360"/>
      </w:pPr>
      <w:r>
        <w:rPr>
          <w:b/>
        </w:rPr>
        <w:t>Quizzes</w:t>
      </w:r>
      <w:r>
        <w:t xml:space="preserve"> can be made up; </w:t>
      </w:r>
      <w:r>
        <w:rPr>
          <w:b/>
        </w:rPr>
        <w:t>you</w:t>
      </w:r>
      <w:r>
        <w:t xml:space="preserve"> schedule them (see Quizzes above).</w:t>
      </w:r>
    </w:p>
    <w:p>
      <w:pPr>
        <w:numPr>
          <w:ilvl w:val="0"/>
          <w:numId w:val="8"/>
        </w:numPr>
        <w:spacing w:after="60"/>
        <w:ind w:left="504" w:hanging="360"/>
      </w:pPr>
      <w:r>
        <w:rPr>
          <w:b/>
        </w:rPr>
        <w:t>Exams</w:t>
      </w:r>
      <w:r>
        <w:t xml:space="preserve"> can be made up only for a documented conflict with a University-sponsored activity, a medical emergency, a religious holiday, or with </w:t>
      </w:r>
      <w:r>
        <w:rPr>
          <w:b/>
        </w:rPr>
        <w:t>prior approval</w:t>
      </w:r>
      <w:r>
        <w:t xml:space="preserve"> from me.</w:t>
      </w:r>
    </w:p>
    <w:p>
      <w:pPr>
        <w:numPr>
          <w:ilvl w:val="0"/>
          <w:numId w:val="8"/>
        </w:numPr>
        <w:spacing w:after="60"/>
        <w:ind w:left="504" w:hanging="360"/>
      </w:pPr>
      <w:r>
        <w:rPr>
          <w:b/>
        </w:rPr>
        <w:t>Project milestones</w:t>
      </w:r>
      <w:r>
        <w:t xml:space="preserve"> are hard deadlines, because each one feeds the next and the feedback is worth more than the points.</w:t>
      </w:r>
    </w:p>
    <w:p>
      <w:pPr>
        <w:spacing w:after="120"/>
      </w:pPr>
      <w:r>
        <w:t>If you have unusual or extenuating circumstances, discuss them with me as far in advance as you can.</w:t>
      </w:r>
    </w:p>
    <w:p>
      <w:pPr>
        <w:pStyle w:val="Heading1"/>
        <w:keepNext/>
        <w:spacing w:before="320" w:after="80"/>
      </w:pPr>
      <w:r>
        <w:t>Key Dates</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5360"/>
        <w:gridCol w:w="4000"/>
      </w:tblGrid>
      <w:tr>
        <w:trPr>
          <w:cantSplit/>
          <w:tblHeader/>
        </w:trPr>
        <w:tc>
          <w:tcPr>
            <w:tcW w:type="dxa" w:w="5360"/>
          </w:tcPr>
          <w:p>
            <w:pPr>
              <w:spacing w:before="40" w:after="40"/>
            </w:pPr>
            <w:r>
              <w:rPr>
                <w:b/>
                <w:sz w:val="22"/>
              </w:rPr>
              <w:t>Item</w:t>
            </w:r>
          </w:p>
        </w:tc>
        <w:tc>
          <w:tcPr>
            <w:tcW w:type="dxa" w:w="4000"/>
          </w:tcPr>
          <w:p>
            <w:pPr>
              <w:spacing w:before="40" w:after="40"/>
            </w:pPr>
            <w:r>
              <w:rPr>
                <w:b/>
                <w:sz w:val="22"/>
              </w:rPr>
              <w:t>Date</w:t>
            </w:r>
          </w:p>
        </w:tc>
      </w:tr>
      <w:tr>
        <w:trPr>
          <w:cantSplit/>
        </w:trPr>
        <w:tc>
          <w:tcPr>
            <w:tcW w:type="dxa" w:w="5360"/>
          </w:tcPr>
          <w:p>
            <w:pPr>
              <w:spacing w:before="40" w:after="40"/>
            </w:pPr>
            <w:r>
              <w:rPr>
                <w:sz w:val="22"/>
              </w:rPr>
              <w:t>First day of class</w:t>
            </w:r>
          </w:p>
        </w:tc>
        <w:tc>
          <w:tcPr>
            <w:tcW w:type="dxa" w:w="4000"/>
          </w:tcPr>
          <w:p>
            <w:pPr>
              <w:spacing w:before="40" w:after="40"/>
            </w:pPr>
            <w:r>
              <w:rPr>
                <w:sz w:val="22"/>
              </w:rPr>
              <w:t>Monday, August 24, 2026</w:t>
            </w:r>
          </w:p>
        </w:tc>
      </w:tr>
      <w:tr>
        <w:trPr>
          <w:cantSplit/>
        </w:trPr>
        <w:tc>
          <w:tcPr>
            <w:tcW w:type="dxa" w:w="5360"/>
          </w:tcPr>
          <w:p>
            <w:pPr>
              <w:spacing w:before="40" w:after="40"/>
            </w:pPr>
            <w:r>
              <w:rPr>
                <w:sz w:val="22"/>
              </w:rPr>
              <w:t>Project proposal due (Week 7)</w:t>
            </w:r>
          </w:p>
        </w:tc>
        <w:tc>
          <w:tcPr>
            <w:tcW w:type="dxa" w:w="4000"/>
          </w:tcPr>
          <w:p>
            <w:pPr>
              <w:spacing w:before="40" w:after="40"/>
            </w:pPr>
            <w:r>
              <w:rPr>
                <w:sz w:val="22"/>
              </w:rPr>
              <w:t>Wednesday, October 7, 2026</w:t>
            </w:r>
          </w:p>
        </w:tc>
      </w:tr>
      <w:tr>
        <w:trPr>
          <w:cantSplit/>
        </w:trPr>
        <w:tc>
          <w:tcPr>
            <w:tcW w:type="dxa" w:w="5360"/>
          </w:tcPr>
          <w:p>
            <w:pPr>
              <w:spacing w:before="40" w:after="40"/>
            </w:pPr>
            <w:r>
              <w:rPr>
                <w:sz w:val="22"/>
              </w:rPr>
              <w:t>Project checkpoint due (Week 12)</w:t>
            </w:r>
          </w:p>
        </w:tc>
        <w:tc>
          <w:tcPr>
            <w:tcW w:type="dxa" w:w="4000"/>
          </w:tcPr>
          <w:p>
            <w:pPr>
              <w:spacing w:before="40" w:after="40"/>
            </w:pPr>
            <w:r>
              <w:rPr>
                <w:sz w:val="22"/>
              </w:rPr>
              <w:t>Monday, November 9, 2026</w:t>
            </w:r>
          </w:p>
        </w:tc>
      </w:tr>
      <w:tr>
        <w:trPr>
          <w:cantSplit/>
        </w:trPr>
        <w:tc>
          <w:tcPr>
            <w:tcW w:type="dxa" w:w="5360"/>
          </w:tcPr>
          <w:p>
            <w:pPr>
              <w:spacing w:before="40" w:after="40"/>
            </w:pPr>
            <w:r>
              <w:rPr>
                <w:sz w:val="22"/>
              </w:rPr>
              <w:t>Midterm exam (Week 13, Class 1, in class)</w:t>
            </w:r>
          </w:p>
        </w:tc>
        <w:tc>
          <w:tcPr>
            <w:tcW w:type="dxa" w:w="4000"/>
          </w:tcPr>
          <w:p>
            <w:pPr>
              <w:spacing w:before="40" w:after="40"/>
            </w:pPr>
            <w:r>
              <w:rPr>
                <w:sz w:val="22"/>
              </w:rPr>
              <w:t>Monday, November 16, 2026</w:t>
            </w:r>
          </w:p>
        </w:tc>
      </w:tr>
      <w:tr>
        <w:trPr>
          <w:cantSplit/>
        </w:trPr>
        <w:tc>
          <w:tcPr>
            <w:tcW w:type="dxa" w:w="5360"/>
          </w:tcPr>
          <w:p>
            <w:pPr>
              <w:spacing w:before="40" w:after="40"/>
            </w:pPr>
            <w:r>
              <w:rPr>
                <w:sz w:val="22"/>
              </w:rPr>
              <w:t>Final project presentations begin (our last class meeting)</w:t>
            </w:r>
          </w:p>
        </w:tc>
        <w:tc>
          <w:tcPr>
            <w:tcW w:type="dxa" w:w="4000"/>
          </w:tcPr>
          <w:p>
            <w:pPr>
              <w:spacing w:before="40" w:after="40"/>
            </w:pPr>
            <w:r>
              <w:rPr>
                <w:sz w:val="22"/>
              </w:rPr>
              <w:t>Monday, December 7, 2026</w:t>
            </w:r>
          </w:p>
        </w:tc>
      </w:tr>
      <w:tr>
        <w:trPr>
          <w:cantSplit/>
        </w:trPr>
        <w:tc>
          <w:tcPr>
            <w:tcW w:type="dxa" w:w="5360"/>
          </w:tcPr>
          <w:p>
            <w:pPr>
              <w:spacing w:before="40" w:after="40"/>
            </w:pPr>
            <w:r>
              <w:rPr>
                <w:b/>
                <w:sz w:val="22"/>
              </w:rPr>
              <w:t>Last day homework is accepted, no exceptions</w:t>
            </w:r>
          </w:p>
        </w:tc>
        <w:tc>
          <w:tcPr>
            <w:tcW w:type="dxa" w:w="4000"/>
          </w:tcPr>
          <w:p>
            <w:pPr>
              <w:spacing w:before="40" w:after="40"/>
            </w:pPr>
            <w:r>
              <w:rPr>
                <w:b/>
                <w:sz w:val="22"/>
              </w:rPr>
              <w:t>Monday, December 7, 2026</w:t>
            </w:r>
          </w:p>
        </w:tc>
      </w:tr>
      <w:tr>
        <w:trPr>
          <w:cantSplit/>
        </w:trPr>
        <w:tc>
          <w:tcPr>
            <w:tcW w:type="dxa" w:w="5360"/>
          </w:tcPr>
          <w:p>
            <w:pPr>
              <w:spacing w:before="40" w:after="40"/>
            </w:pPr>
            <w:r>
              <w:rPr>
                <w:sz w:val="22"/>
              </w:rPr>
              <w:t>Final project report due</w:t>
            </w:r>
          </w:p>
        </w:tc>
        <w:tc>
          <w:tcPr>
            <w:tcW w:type="dxa" w:w="4000"/>
          </w:tcPr>
          <w:p>
            <w:pPr>
              <w:spacing w:before="40" w:after="40"/>
            </w:pPr>
            <w:r>
              <w:rPr>
                <w:sz w:val="22"/>
              </w:rPr>
              <w:t>Friday, December 11, 2026</w:t>
            </w:r>
          </w:p>
        </w:tc>
      </w:tr>
      <w:tr>
        <w:trPr>
          <w:cantSplit/>
        </w:trPr>
        <w:tc>
          <w:tcPr>
            <w:tcW w:type="dxa" w:w="5360"/>
          </w:tcPr>
          <w:p>
            <w:pPr>
              <w:spacing w:before="40" w:after="40"/>
            </w:pPr>
            <w:r>
              <w:rPr>
                <w:sz w:val="22"/>
              </w:rPr>
              <w:t>Reading Days</w:t>
            </w:r>
          </w:p>
        </w:tc>
        <w:tc>
          <w:tcPr>
            <w:tcW w:type="dxa" w:w="4000"/>
          </w:tcPr>
          <w:p>
            <w:pPr>
              <w:spacing w:before="40" w:after="40"/>
            </w:pPr>
            <w:r>
              <w:rPr>
                <w:sz w:val="22"/>
              </w:rPr>
              <w:t>December 9 to 10, 2026</w:t>
            </w:r>
          </w:p>
        </w:tc>
      </w:tr>
      <w:tr>
        <w:trPr>
          <w:cantSplit/>
        </w:trPr>
        <w:tc>
          <w:tcPr>
            <w:tcW w:type="dxa" w:w="5360"/>
          </w:tcPr>
          <w:p>
            <w:pPr>
              <w:spacing w:before="40" w:after="40"/>
            </w:pPr>
            <w:r>
              <w:rPr>
                <w:sz w:val="22"/>
              </w:rPr>
              <w:t>Final exam (registrar's scheduled period)</w:t>
            </w:r>
          </w:p>
        </w:tc>
        <w:tc>
          <w:tcPr>
            <w:tcW w:type="dxa" w:w="4000"/>
          </w:tcPr>
          <w:p>
            <w:pPr>
              <w:spacing w:before="40" w:after="40"/>
            </w:pPr>
            <w:r>
              <w:rPr>
                <w:sz w:val="22"/>
              </w:rPr>
              <w:t xml:space="preserve">December 11 to 17, 2026, exact slot </w:t>
            </w:r>
            <w:r>
              <w:rPr>
                <w:b/>
                <w:sz w:val="22"/>
                <w:highlight w:val="yellow"/>
              </w:rPr>
              <w:t>[TBD]</w:t>
            </w:r>
          </w:p>
        </w:tc>
      </w:tr>
    </w:tbl>
    <w:p>
      <w:pPr>
        <w:spacing w:after="80"/>
      </w:pPr>
    </w:p>
    <w:p>
      <w:pPr>
        <w:spacing w:after="120"/>
      </w:pPr>
      <w:r>
        <w:t xml:space="preserve">Quiz dates and homework release and due dates are on the course schedule. Per the Faculty Handbook, </w:t>
      </w:r>
      <w:r>
        <w:rPr>
          <w:b/>
        </w:rPr>
        <w:t>any change to the date of a major assignment or examination will be announced at least one week in advance.</w:t>
      </w:r>
    </w:p>
    <w:p>
      <w:pPr>
        <w:pStyle w:val="Heading1"/>
        <w:keepNext/>
        <w:spacing w:before="320" w:after="80"/>
      </w:pPr>
      <w:r>
        <w:t>Academic Integrity at Trinity</w:t>
      </w:r>
    </w:p>
    <w:p>
      <w:pPr>
        <w:spacing w:after="120"/>
      </w:pPr>
      <w:r>
        <w:t>All students are covered by a policy that prohibits dishonesty in academic work. Under the Honor Code, a faculty member will (or a student may) report an alleged violation to the Academic Honor Council. It is the task of the Council to investigate, adjudicate, and assign a punishment within certain guidelines if a violation has been verified. Students are required to pledge all written work that is submitted for a grade: "On my honor, I have neither given nor received any unauthorized assistance on this work" and their signature. The pledge may be abbreviated "pledged" with a signature.</w:t>
      </w:r>
    </w:p>
    <w:p>
      <w:pPr>
        <w:pStyle w:val="Heading2"/>
        <w:keepNext/>
        <w:spacing w:before="200" w:after="80"/>
      </w:pPr>
      <w:r>
        <w:t>Collaboration in this course</w:t>
      </w:r>
    </w:p>
    <w:p>
      <w:pPr>
        <w:spacing w:after="120"/>
      </w:pPr>
      <w:r>
        <w:t xml:space="preserve">All work submitted for a grade (homework, quizzes, and exams) must represent your own individual effort, </w:t>
      </w:r>
      <w:r>
        <w:rPr>
          <w:b/>
        </w:rPr>
        <w:t>except</w:t>
      </w:r>
      <w:r>
        <w:t xml:space="preserve"> for the semester project, which is graded team work, and in-class activities explicitly designated as pair or team work. All graded work is pledged work.</w:t>
      </w:r>
    </w:p>
    <w:p>
      <w:pPr>
        <w:spacing w:after="120"/>
      </w:pPr>
      <w:r>
        <w:t xml:space="preserve">Discussing homework with other students is allowed and encouraged, up to the point where specific answers start being written collectively. </w:t>
      </w:r>
      <w:r>
        <w:rPr>
          <w:b/>
        </w:rPr>
        <w:t>Do not share answers, in person or electronically.</w:t>
      </w:r>
    </w:p>
    <w:p>
      <w:pPr>
        <w:spacing w:after="120"/>
      </w:pPr>
      <w:r>
        <w:t>Acceptable collaboration includes:</w:t>
      </w:r>
    </w:p>
    <w:p>
      <w:pPr>
        <w:numPr>
          <w:ilvl w:val="0"/>
          <w:numId w:val="8"/>
        </w:numPr>
        <w:spacing w:after="60"/>
        <w:ind w:left="504" w:hanging="360"/>
      </w:pPr>
      <w:r>
        <w:t>Discussing a general approach with a classmate, such as whether a problem calls for a dictionary or a counter.</w:t>
      </w:r>
    </w:p>
    <w:p>
      <w:pPr>
        <w:numPr>
          <w:ilvl w:val="0"/>
          <w:numId w:val="8"/>
        </w:numPr>
        <w:spacing w:after="60"/>
        <w:ind w:left="504" w:hanging="360"/>
      </w:pPr>
      <w:r>
        <w:t>Working closely with your project teammates on the shared project codebase.</w:t>
      </w:r>
    </w:p>
    <w:p>
      <w:pPr>
        <w:numPr>
          <w:ilvl w:val="0"/>
          <w:numId w:val="8"/>
        </w:numPr>
        <w:spacing w:after="60"/>
        <w:ind w:left="504" w:hanging="360"/>
      </w:pPr>
      <w:r>
        <w:t>Asking a tutor about specific syntax or a library API.</w:t>
      </w:r>
    </w:p>
    <w:p>
      <w:pPr>
        <w:numPr>
          <w:ilvl w:val="0"/>
          <w:numId w:val="8"/>
        </w:numPr>
        <w:spacing w:after="60"/>
        <w:ind w:left="504" w:hanging="360"/>
      </w:pPr>
      <w:r>
        <w:t>Comparing program outputs with a classmate to decide whether you are getting correct results.</w:t>
      </w:r>
    </w:p>
    <w:p>
      <w:pPr>
        <w:numPr>
          <w:ilvl w:val="0"/>
          <w:numId w:val="8"/>
        </w:numPr>
        <w:spacing w:after="60"/>
        <w:ind w:left="504" w:hanging="360"/>
      </w:pPr>
      <w:r>
        <w:t xml:space="preserve">Comparing your code with a classmate's </w:t>
      </w:r>
      <w:r>
        <w:rPr>
          <w:b/>
        </w:rPr>
        <w:t>after</w:t>
      </w:r>
      <w:r>
        <w:t xml:space="preserve"> the assignment has been submitted, to discuss alternative solutions.</w:t>
      </w:r>
    </w:p>
    <w:p>
      <w:pPr>
        <w:spacing w:after="120"/>
      </w:pPr>
      <w:r>
        <w:t>Unacceptable collaboration includes:</w:t>
      </w:r>
    </w:p>
    <w:p>
      <w:pPr>
        <w:numPr>
          <w:ilvl w:val="0"/>
          <w:numId w:val="8"/>
        </w:numPr>
        <w:spacing w:after="60"/>
        <w:ind w:left="504" w:hanging="360"/>
      </w:pPr>
      <w:r>
        <w:t>Pasting any portion of your homework code into a message to another student.</w:t>
      </w:r>
    </w:p>
    <w:p>
      <w:pPr>
        <w:numPr>
          <w:ilvl w:val="0"/>
          <w:numId w:val="8"/>
        </w:numPr>
        <w:spacing w:after="60"/>
        <w:ind w:left="504" w:hanging="360"/>
      </w:pPr>
      <w:r>
        <w:t>Writing the same code as another student while screen sharing.</w:t>
      </w:r>
    </w:p>
    <w:p>
      <w:pPr>
        <w:numPr>
          <w:ilvl w:val="0"/>
          <w:numId w:val="8"/>
        </w:numPr>
        <w:spacing w:after="60"/>
        <w:ind w:left="504" w:hanging="360"/>
      </w:pPr>
      <w:r>
        <w:t>Using an approach given to you by a tutor or classmate without understanding the reasoning behind it.</w:t>
      </w:r>
    </w:p>
    <w:p>
      <w:pPr>
        <w:numPr>
          <w:ilvl w:val="0"/>
          <w:numId w:val="8"/>
        </w:numPr>
        <w:spacing w:after="60"/>
        <w:ind w:left="504" w:hanging="360"/>
      </w:pPr>
      <w:r>
        <w:t xml:space="preserve">Comparing code with a classmate </w:t>
      </w:r>
      <w:r>
        <w:rPr>
          <w:b/>
        </w:rPr>
        <w:t>before</w:t>
      </w:r>
      <w:r>
        <w:t xml:space="preserve"> the assignment has been submitted.</w:t>
      </w:r>
    </w:p>
    <w:p>
      <w:pPr>
        <w:numPr>
          <w:ilvl w:val="0"/>
          <w:numId w:val="8"/>
        </w:numPr>
        <w:spacing w:after="60"/>
        <w:ind w:left="504" w:hanging="360"/>
      </w:pPr>
      <w:r>
        <w:t>Submitting work generated by an AI tool without understanding it or disclosing it (see below).</w:t>
      </w:r>
    </w:p>
    <w:p>
      <w:pPr>
        <w:spacing w:after="120"/>
      </w:pPr>
      <w:r>
        <w:t xml:space="preserve">When you turn in an assignment, note where you got help ("J. Random and I worked through the approach together", "I got help from a tutor with the regex"). Answers that are identical beyond coincidence, whether to another student's work or to a previous semester's solutions, will be treated as an Honor Code violation. You are responsible for the security of your own work, electronic and printed. When in doubt, ask; the axiom is </w:t>
      </w:r>
      <w:r>
        <w:rPr>
          <w:b/>
        </w:rPr>
        <w:t>"when in doubt, don't."</w:t>
      </w:r>
    </w:p>
    <w:p>
      <w:pPr>
        <w:pStyle w:val="Heading2"/>
        <w:keepNext/>
        <w:spacing w:before="200" w:after="80"/>
      </w:pPr>
      <w:r>
        <w:t>Generative AI in this course</w:t>
      </w:r>
    </w:p>
    <w:p>
      <w:pPr>
        <w:spacing w:after="120"/>
      </w:pPr>
      <w:r>
        <w:t xml:space="preserve">This is a course </w:t>
      </w:r>
      <w:r>
        <w:rPr>
          <w:b/>
        </w:rPr>
        <w:t>about</w:t>
      </w:r>
      <w:r>
        <w:t xml:space="preserve"> large language models, so pretending they do not exist would be absurd. You are permitted to use conversational agents such as ChatGPT, Claude, and Copilot on homework and the project, under three conditions:</w:t>
      </w:r>
    </w:p>
    <w:p>
      <w:pPr>
        <w:spacing w:after="60"/>
        <w:ind w:left="864" w:hanging="360"/>
      </w:pPr>
      <w:r>
        <w:t xml:space="preserve">1. </w:t>
      </w:r>
      <w:r>
        <w:rPr>
          <w:b/>
        </w:rPr>
        <w:t>Disclose it.</w:t>
      </w:r>
      <w:r>
        <w:t xml:space="preserve"> Every submission includes a short note stating which tool you used and for what (brainstorming, debugging, drafting, explaining an error). Any text written by a model and kept in a report must be quoted and attributed.</w:t>
      </w:r>
    </w:p>
    <w:p>
      <w:pPr>
        <w:spacing w:after="60"/>
        <w:ind w:left="864" w:hanging="360"/>
      </w:pPr>
      <w:r>
        <w:t xml:space="preserve">2. </w:t>
      </w:r>
      <w:r>
        <w:rPr>
          <w:b/>
        </w:rPr>
        <w:t>Own every line.</w:t>
      </w:r>
      <w:r>
        <w:t xml:space="preserve"> You must be able to explain any line of code or sentence of prose you submit, on the spot, without the tool. If you cannot, it is not your work and submitting it is unauthorized assistance.</w:t>
      </w:r>
    </w:p>
    <w:p>
      <w:pPr>
        <w:spacing w:after="60"/>
        <w:ind w:left="864" w:hanging="360"/>
      </w:pPr>
      <w:r>
        <w:t xml:space="preserve">3. </w:t>
      </w:r>
      <w:r>
        <w:rPr>
          <w:b/>
        </w:rPr>
        <w:t>Not on paper assessments.</w:t>
      </w:r>
      <w:r>
        <w:t xml:space="preserve"> All quizzes and both exams are completed on paper with no AI access. Use of a generative AI tool during an assessment is a serious Honor Code violation and will be reported to the Academic Honor Council.</w:t>
      </w:r>
    </w:p>
    <w:p>
      <w:pPr>
        <w:spacing w:after="120"/>
      </w:pPr>
      <w:r>
        <w:rPr>
          <w:b/>
        </w:rPr>
        <w:t>Failure to disclose AI use is itself a violation</w:t>
      </w:r>
      <w:r>
        <w:t>, and it is the easy one to avoid: a single honest sentence costs you nothing.</w:t>
      </w:r>
    </w:p>
    <w:p>
      <w:pPr>
        <w:spacing w:after="120"/>
      </w:pPr>
      <w:r>
        <w:t>A warning worth stating plainly: overreliance on AI will leave you unprepared for the quizzes, the exams, and, more importantly, for the moment a model confidently hands you something wrong. Learning to recognize that moment is a substantial part of what this course is for. We will discuss the responsible and ethical use of these tools in the first week, and return to it in Week 15.</w:t>
      </w:r>
    </w:p>
    <w:p>
      <w:pPr>
        <w:pStyle w:val="Heading1"/>
        <w:keepNext/>
        <w:spacing w:before="320" w:after="80"/>
      </w:pPr>
      <w:r>
        <w:t>Electronic Recordings of Course Instruction</w:t>
      </w:r>
    </w:p>
    <w:p>
      <w:pPr>
        <w:spacing w:after="120"/>
      </w:pPr>
      <w:r>
        <w:t>Please be aware that all classroom instruction, including student participation in classroom activities, is subject to recording and dissemination on the University's secure course management systems (Canvas). The recordings will be made available only to students enrolled in the course to facilitate online learning and review. Students are expressly prohibited from capturing or copying classroom recordings by any means; violations will be subject to disciplinary action. Instructors who wish to use a recording outside of class must obtain the written consent of any students who are personally identifiable in the recording.</w:t>
      </w:r>
    </w:p>
    <w:p>
      <w:pPr>
        <w:pStyle w:val="Heading1"/>
        <w:keepNext/>
        <w:spacing w:before="320" w:after="80"/>
      </w:pPr>
      <w:r>
        <w:t>Title IX and Sexual Misconduct Reporting</w:t>
      </w:r>
    </w:p>
    <w:p>
      <w:pPr>
        <w:spacing w:after="120"/>
      </w:pPr>
      <w:r>
        <w:t>As a faculty member, I am considered a Responsible Employee under federal and University policy. This means that if I learn about an incident of sexual harassment or sexual misconduct, either by witnessing it or by receiving information in the course of my work, I am required to share that information with the Title IX Coordinator. This applies when: (1) I receive or witness the information in my role as a faculty member, (2) I reasonably believe the incident may constitute Sexual Harassment or Sexual Misconduct, and (3) the incident involves someone who was a Trinity University student, employee, or contractor at the time. This reporting requirement applies regardless of where the incident took place, on or off campus, and regardless of whether those involved are still affiliated with Trinity.</w:t>
      </w:r>
    </w:p>
    <w:p>
      <w:pPr>
        <w:spacing w:after="120"/>
      </w:pPr>
      <w:r>
        <w:t>If you choose to share information with me related to sexual misconduct or harassment, I am required to report it to the Title IX Coordinator. My report is meant to ensure that you have access to resources, supportive measures, and options for resolution. It does not mean that a formal complaint process will begin. You remain in control of how you choose to engage with the Title IX process.</w:t>
      </w:r>
    </w:p>
    <w:p>
      <w:pPr>
        <w:spacing w:after="120"/>
      </w:pPr>
      <w:r>
        <w:t xml:space="preserve">If you or someone you know has experienced sexual misconduct, including sexual harassment, I encourage you to reach out directly to the Title IX Coordinator or to one of our designated confidential resources on campus. A </w:t>
      </w:r>
      <w:hyperlink r:id="rId10">
        <w:r>
          <w:rPr>
            <w:color w:val="1155CC"/>
            <w:u w:val="single"/>
          </w:rPr>
          <w:t xml:space="preserve">reporting form is available here</w:t>
        </w:r>
      </w:hyperlink>
      <w:r>
        <w:t xml:space="preserve">, and information about </w:t>
      </w:r>
      <w:hyperlink r:id="rId11">
        <w:r>
          <w:rPr>
            <w:color w:val="1155CC"/>
            <w:u w:val="single"/>
          </w:rPr>
          <w:t xml:space="preserve">supportive measures and resources can be found here</w:t>
        </w:r>
      </w:hyperlink>
      <w:r>
        <w:t>.</w:t>
      </w:r>
    </w:p>
    <w:p>
      <w:pPr>
        <w:spacing w:after="120"/>
      </w:pPr>
      <w:r>
        <w:t>Title IX of the Education Amendments of 1972 also prohibits discrimination and harassment on the basis of sex, including pregnancy and parental status. Resources are available for pregnant and parenting students through the Title IX Coordinator.</w:t>
      </w:r>
    </w:p>
    <w:p>
      <w:pPr>
        <w:pStyle w:val="Heading1"/>
        <w:keepNext/>
        <w:spacing w:before="320" w:after="80"/>
      </w:pPr>
      <w:r>
        <w:t>Academic Support Resources</w:t>
      </w:r>
    </w:p>
    <w:p>
      <w:pPr>
        <w:spacing w:after="120"/>
      </w:pPr>
      <w:r>
        <w:t>Trinity faculty hold students to the highest academic standards and also know that the best students seek out help when necessary. The following resources are in place to support your academic success:</w:t>
      </w:r>
    </w:p>
    <w:p>
      <w:pPr>
        <w:numPr>
          <w:ilvl w:val="0"/>
          <w:numId w:val="8"/>
        </w:numPr>
        <w:spacing w:after="60"/>
        <w:ind w:left="504" w:hanging="360"/>
      </w:pPr>
      <w:hyperlink r:id="rId24">
        <w:r>
          <w:rPr>
            <w:color w:val="1155CC"/>
            <w:u w:val="single"/>
          </w:rPr>
          <w:t xml:space="preserve">Office of Academic Advising</w:t>
        </w:r>
      </w:hyperlink>
      <w:r>
        <w:t>: exploring academic opportunities, identifying goals, planning your degree, registration</w:t>
      </w:r>
    </w:p>
    <w:p>
      <w:pPr>
        <w:numPr>
          <w:ilvl w:val="0"/>
          <w:numId w:val="8"/>
        </w:numPr>
        <w:spacing w:after="60"/>
        <w:ind w:left="504" w:hanging="360"/>
      </w:pPr>
      <w:hyperlink r:id="rId25">
        <w:r>
          <w:rPr>
            <w:color w:val="1155CC"/>
            <w:u w:val="single"/>
          </w:rPr>
          <w:t xml:space="preserve">Academic Support</w:t>
        </w:r>
      </w:hyperlink>
      <w:r>
        <w:t>: time management, study skills, test anxiety, note taking, supplemental 1:1 tutoring</w:t>
      </w:r>
    </w:p>
    <w:p>
      <w:pPr>
        <w:numPr>
          <w:ilvl w:val="0"/>
          <w:numId w:val="8"/>
        </w:numPr>
        <w:spacing w:after="60"/>
        <w:ind w:left="504" w:hanging="360"/>
      </w:pPr>
      <w:hyperlink r:id="rId23">
        <w:r>
          <w:rPr>
            <w:color w:val="1155CC"/>
            <w:u w:val="single"/>
          </w:rPr>
          <w:t xml:space="preserve">Office of the Dean of Students</w:t>
        </w:r>
      </w:hyperlink>
      <w:r>
        <w:t>: student care referrals and case management, student conduct, leadership development</w:t>
      </w:r>
    </w:p>
    <w:p>
      <w:pPr>
        <w:numPr>
          <w:ilvl w:val="0"/>
          <w:numId w:val="8"/>
        </w:numPr>
        <w:spacing w:after="60"/>
        <w:ind w:left="504" w:hanging="360"/>
      </w:pPr>
      <w:hyperlink r:id="rId26">
        <w:r>
          <w:rPr>
            <w:color w:val="1155CC"/>
            <w:u w:val="single"/>
          </w:rPr>
          <w:t xml:space="preserve">Center for Experiential Learning and Career Success</w:t>
        </w:r>
      </w:hyperlink>
      <w:r>
        <w:t>: major exploration, career guidance</w:t>
      </w:r>
    </w:p>
    <w:p>
      <w:pPr>
        <w:numPr>
          <w:ilvl w:val="0"/>
          <w:numId w:val="8"/>
        </w:numPr>
        <w:spacing w:after="60"/>
        <w:ind w:left="504" w:hanging="360"/>
      </w:pPr>
      <w:hyperlink r:id="rId14">
        <w:r>
          <w:rPr>
            <w:color w:val="1155CC"/>
            <w:u w:val="single"/>
          </w:rPr>
          <w:t xml:space="preserve">Counseling Services</w:t>
        </w:r>
      </w:hyperlink>
      <w:r>
        <w:t>: mental health concerns, interpersonal challenges, identity development</w:t>
      </w:r>
    </w:p>
    <w:p>
      <w:pPr>
        <w:numPr>
          <w:ilvl w:val="0"/>
          <w:numId w:val="8"/>
        </w:numPr>
        <w:spacing w:after="60"/>
        <w:ind w:left="504" w:hanging="360"/>
      </w:pPr>
      <w:hyperlink r:id="rId27">
        <w:r>
          <w:rPr>
            <w:color w:val="1155CC"/>
            <w:u w:val="single"/>
          </w:rPr>
          <w:t xml:space="preserve">Health Services</w:t>
        </w:r>
      </w:hyperlink>
      <w:r>
        <w:t>: physical health concerns and care</w:t>
      </w:r>
    </w:p>
    <w:p>
      <w:pPr>
        <w:numPr>
          <w:ilvl w:val="0"/>
          <w:numId w:val="8"/>
        </w:numPr>
        <w:spacing w:after="60"/>
        <w:ind w:left="504" w:hanging="360"/>
      </w:pPr>
      <w:hyperlink r:id="rId15">
        <w:r>
          <w:rPr>
            <w:color w:val="1155CC"/>
            <w:u w:val="single"/>
          </w:rPr>
          <w:t xml:space="preserve">Quantitative Reasoning and Skills Center</w:t>
        </w:r>
      </w:hyperlink>
      <w:r>
        <w:t>: tutoring for quantitatively demanding coursework</w:t>
      </w:r>
    </w:p>
    <w:p>
      <w:pPr>
        <w:numPr>
          <w:ilvl w:val="0"/>
          <w:numId w:val="8"/>
        </w:numPr>
        <w:spacing w:after="60"/>
        <w:ind w:left="504" w:hanging="360"/>
      </w:pPr>
      <w:hyperlink r:id="rId16">
        <w:r>
          <w:rPr>
            <w:color w:val="1155CC"/>
            <w:u w:val="single"/>
          </w:rPr>
          <w:t xml:space="preserve">Student Accessibility Services</w:t>
        </w:r>
      </w:hyperlink>
      <w:r>
        <w:t>: accommodations for a diagnosed disability</w:t>
      </w:r>
    </w:p>
    <w:p>
      <w:pPr>
        <w:numPr>
          <w:ilvl w:val="0"/>
          <w:numId w:val="8"/>
        </w:numPr>
        <w:spacing w:after="60"/>
        <w:ind w:left="504" w:hanging="360"/>
      </w:pPr>
      <w:hyperlink r:id="rId17">
        <w:r>
          <w:rPr>
            <w:color w:val="1155CC"/>
            <w:u w:val="single"/>
          </w:rPr>
          <w:t xml:space="preserve">Wellness Programs</w:t>
        </w:r>
      </w:hyperlink>
      <w:r>
        <w:t>: nutrition, sleep, stress management</w:t>
      </w:r>
    </w:p>
    <w:p>
      <w:pPr>
        <w:numPr>
          <w:ilvl w:val="0"/>
          <w:numId w:val="8"/>
        </w:numPr>
        <w:spacing w:after="60"/>
        <w:ind w:left="504" w:hanging="360"/>
      </w:pPr>
      <w:hyperlink r:id="rId18">
        <w:r>
          <w:rPr>
            <w:color w:val="1155CC"/>
            <w:u w:val="single"/>
          </w:rPr>
          <w:t xml:space="preserve">Writing Center</w:t>
        </w:r>
      </w:hyperlink>
      <w:r>
        <w:t>: starting a paper, finding a thesis, drafting and editing</w:t>
      </w:r>
    </w:p>
    <w:p>
      <w:pPr>
        <w:spacing w:after="120"/>
      </w:pPr>
      <w:r>
        <w:t xml:space="preserve">All campus resources for students can be found in the </w:t>
      </w:r>
      <w:hyperlink r:id="rId28">
        <w:r>
          <w:rPr>
            <w:color w:val="1155CC"/>
            <w:u w:val="single"/>
          </w:rPr>
          <w:t xml:space="preserve">TigerHub</w:t>
        </w:r>
      </w:hyperlink>
      <w:r>
        <w:t>.</w:t>
      </w:r>
    </w:p>
    <w:p>
      <w:pPr>
        <w:spacing w:after="120"/>
      </w:pPr>
      <w:r>
        <w:rPr>
          <w:b/>
        </w:rPr>
        <w:t>Accessibility in this course.</w:t>
      </w:r>
      <w:r>
        <w:t xml:space="preserve"> If you have a documented disability and are registered with Student Accessibility Services, please meet with me in the first two weeks so we can put your accommodations in place. Course materials are designed to be screen-reader friendly: slides are authored in Markdown, readings are open-access PDFs, and every figure in the decks carries descriptive alt text.</w:t>
      </w:r>
    </w:p>
    <w:p>
      <w:pPr>
        <w:pStyle w:val="Heading1"/>
        <w:keepNext/>
        <w:spacing w:before="320" w:after="80"/>
      </w:pPr>
      <w:r>
        <w:t>Course Schedule</w:t>
      </w:r>
    </w:p>
    <w:p>
      <w:pPr>
        <w:spacing w:after="120"/>
      </w:pPr>
      <w:r>
        <w:t>The authoritative calendar, with dates, is the published course schedule. This is the arc:</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925"/>
        <w:gridCol w:w="5691"/>
        <w:gridCol w:w="2742"/>
      </w:tblGrid>
      <w:tr>
        <w:trPr>
          <w:cantSplit/>
          <w:tblHeader/>
        </w:trPr>
        <w:tc>
          <w:tcPr>
            <w:tcW w:type="dxa" w:w="926"/>
          </w:tcPr>
          <w:p>
            <w:pPr>
              <w:spacing w:before="20" w:after="20"/>
            </w:pPr>
            <w:r>
              <w:rPr>
                <w:b/>
                <w:sz w:val="20"/>
              </w:rPr>
              <w:t>Week</w:t>
            </w:r>
          </w:p>
        </w:tc>
        <w:tc>
          <w:tcPr>
            <w:tcW w:type="dxa" w:w="5691"/>
          </w:tcPr>
          <w:p>
            <w:pPr>
              <w:spacing w:before="20" w:after="20"/>
            </w:pPr>
            <w:r>
              <w:rPr>
                <w:b/>
                <w:sz w:val="20"/>
              </w:rPr>
              <w:t>Topics</w:t>
            </w:r>
          </w:p>
        </w:tc>
        <w:tc>
          <w:tcPr>
            <w:tcW w:type="dxa" w:w="2743"/>
          </w:tcPr>
          <w:p>
            <w:pPr>
              <w:spacing w:before="20" w:after="20"/>
            </w:pPr>
            <w:r>
              <w:rPr>
                <w:b/>
                <w:sz w:val="20"/>
              </w:rPr>
              <w:t>Milestones</w:t>
            </w:r>
          </w:p>
        </w:tc>
      </w:tr>
      <w:tr>
        <w:trPr>
          <w:cantSplit/>
        </w:trPr>
        <w:tc>
          <w:tcPr>
            <w:tcW w:type="dxa" w:w="926"/>
          </w:tcPr>
          <w:p>
            <w:pPr>
              <w:spacing w:before="20" w:after="20"/>
            </w:pPr>
            <w:r>
              <w:rPr>
                <w:sz w:val="20"/>
              </w:rPr>
              <w:t>1</w:t>
            </w:r>
          </w:p>
        </w:tc>
        <w:tc>
          <w:tcPr>
            <w:tcW w:type="dxa" w:w="5691"/>
          </w:tcPr>
          <w:p>
            <w:pPr>
              <w:spacing w:before="20" w:after="20"/>
            </w:pPr>
            <w:r>
              <w:rPr>
                <w:sz w:val="20"/>
              </w:rPr>
              <w:t>What is NLP? History and applications. Tooling setup (Python, Docker, Ollama). Text processing: tokenization, normalization, regex, edit distance</w:t>
            </w:r>
          </w:p>
        </w:tc>
        <w:tc>
          <w:tcPr>
            <w:tcW w:type="dxa" w:w="2743"/>
          </w:tcPr>
          <w:p>
            <w:pPr>
              <w:spacing w:before="20" w:after="20"/>
            </w:pPr>
            <w:r>
              <w:rPr>
                <w:sz w:val="20"/>
              </w:rPr>
              <w:t>Quiz 1</w:t>
            </w:r>
          </w:p>
        </w:tc>
      </w:tr>
      <w:tr>
        <w:trPr>
          <w:cantSplit/>
        </w:trPr>
        <w:tc>
          <w:tcPr>
            <w:tcW w:type="dxa" w:w="926"/>
          </w:tcPr>
          <w:p>
            <w:pPr>
              <w:spacing w:before="20" w:after="20"/>
            </w:pPr>
            <w:r>
              <w:rPr>
                <w:sz w:val="20"/>
              </w:rPr>
              <w:t>2</w:t>
            </w:r>
          </w:p>
        </w:tc>
        <w:tc>
          <w:tcPr>
            <w:tcW w:type="dxa" w:w="5691"/>
          </w:tcPr>
          <w:p>
            <w:pPr>
              <w:spacing w:before="20" w:after="20"/>
            </w:pPr>
            <w:r>
              <w:rPr>
                <w:sz w:val="20"/>
              </w:rPr>
              <w:t>N-gram language models, smoothing, perplexity. Text classification: Naive Bayes, logistic regression, precision/recall/F1</w:t>
            </w:r>
          </w:p>
        </w:tc>
        <w:tc>
          <w:tcPr>
            <w:tcW w:type="dxa" w:w="2743"/>
          </w:tcPr>
          <w:p>
            <w:pPr>
              <w:spacing w:before="20" w:after="20"/>
            </w:pPr>
            <w:r>
              <w:rPr>
                <w:sz w:val="20"/>
              </w:rPr>
              <w:t>Quiz 2 · HW1 out</w:t>
            </w:r>
          </w:p>
        </w:tc>
      </w:tr>
      <w:tr>
        <w:trPr>
          <w:cantSplit/>
        </w:trPr>
        <w:tc>
          <w:tcPr>
            <w:tcW w:type="dxa" w:w="926"/>
          </w:tcPr>
          <w:p>
            <w:pPr>
              <w:spacing w:before="20" w:after="20"/>
            </w:pPr>
            <w:r>
              <w:rPr>
                <w:sz w:val="20"/>
              </w:rPr>
              <w:t>3</w:t>
            </w:r>
          </w:p>
        </w:tc>
        <w:tc>
          <w:tcPr>
            <w:tcW w:type="dxa" w:w="5691"/>
          </w:tcPr>
          <w:p>
            <w:pPr>
              <w:spacing w:before="20" w:after="20"/>
            </w:pPr>
            <w:r>
              <w:rPr>
                <w:sz w:val="20"/>
              </w:rPr>
              <w:t>Vector semantics: TF-IDF, PPMI, cosine similarity. Word embeddings: word2vec, GloVe, analogies, embedding bias</w:t>
            </w:r>
          </w:p>
        </w:tc>
        <w:tc>
          <w:tcPr>
            <w:tcW w:type="dxa" w:w="2743"/>
          </w:tcPr>
          <w:p>
            <w:pPr>
              <w:spacing w:before="20" w:after="20"/>
            </w:pPr>
            <w:r>
              <w:rPr>
                <w:sz w:val="20"/>
              </w:rPr>
              <w:t>Quiz 3 · HW1 due</w:t>
            </w:r>
          </w:p>
        </w:tc>
      </w:tr>
      <w:tr>
        <w:trPr>
          <w:cantSplit/>
        </w:trPr>
        <w:tc>
          <w:tcPr>
            <w:tcW w:type="dxa" w:w="926"/>
          </w:tcPr>
          <w:p>
            <w:pPr>
              <w:spacing w:before="20" w:after="20"/>
            </w:pPr>
            <w:r>
              <w:rPr>
                <w:sz w:val="20"/>
              </w:rPr>
              <w:t>4</w:t>
            </w:r>
          </w:p>
        </w:tc>
        <w:tc>
          <w:tcPr>
            <w:tcW w:type="dxa" w:w="5691"/>
          </w:tcPr>
          <w:p>
            <w:pPr>
              <w:spacing w:before="20" w:after="20"/>
            </w:pPr>
            <w:r>
              <w:rPr>
                <w:sz w:val="20"/>
              </w:rPr>
              <w:t>Neural networks for NLP: feedforward nets, backprop. Sequence models: RNNs, LSTMs, vanishing gradients</w:t>
            </w:r>
          </w:p>
        </w:tc>
        <w:tc>
          <w:tcPr>
            <w:tcW w:type="dxa" w:w="2743"/>
          </w:tcPr>
          <w:p>
            <w:pPr>
              <w:spacing w:before="20" w:after="20"/>
            </w:pPr>
            <w:r>
              <w:rPr>
                <w:sz w:val="20"/>
              </w:rPr>
              <w:t>Quiz 4 · HW2 out</w:t>
            </w:r>
          </w:p>
        </w:tc>
      </w:tr>
      <w:tr>
        <w:trPr>
          <w:cantSplit/>
        </w:trPr>
        <w:tc>
          <w:tcPr>
            <w:tcW w:type="dxa" w:w="926"/>
          </w:tcPr>
          <w:p>
            <w:pPr>
              <w:spacing w:before="20" w:after="20"/>
            </w:pPr>
            <w:r>
              <w:rPr>
                <w:sz w:val="20"/>
              </w:rPr>
              <w:t>5</w:t>
            </w:r>
          </w:p>
        </w:tc>
        <w:tc>
          <w:tcPr>
            <w:tcW w:type="dxa" w:w="5691"/>
          </w:tcPr>
          <w:p>
            <w:pPr>
              <w:spacing w:before="20" w:after="20"/>
            </w:pPr>
            <w:r>
              <w:rPr>
                <w:sz w:val="20"/>
              </w:rPr>
              <w:t>Seq2seq and attention. The Transformer: self-attention, multi-head, positional encoding</w:t>
            </w:r>
          </w:p>
        </w:tc>
        <w:tc>
          <w:tcPr>
            <w:tcW w:type="dxa" w:w="2743"/>
          </w:tcPr>
          <w:p>
            <w:pPr>
              <w:spacing w:before="20" w:after="20"/>
            </w:pPr>
            <w:r>
              <w:rPr>
                <w:sz w:val="20"/>
              </w:rPr>
              <w:t xml:space="preserve">Quiz 5 · HW2 due · </w:t>
            </w:r>
            <w:r>
              <w:rPr>
                <w:b/>
                <w:sz w:val="20"/>
              </w:rPr>
              <w:t>Project proposal due</w:t>
            </w:r>
          </w:p>
        </w:tc>
      </w:tr>
      <w:tr>
        <w:trPr>
          <w:cantSplit/>
        </w:trPr>
        <w:tc>
          <w:tcPr>
            <w:tcW w:type="dxa" w:w="926"/>
          </w:tcPr>
          <w:p>
            <w:pPr>
              <w:spacing w:before="20" w:after="20"/>
            </w:pPr>
            <w:r>
              <w:rPr>
                <w:sz w:val="20"/>
              </w:rPr>
              <w:t>6</w:t>
            </w:r>
          </w:p>
        </w:tc>
        <w:tc>
          <w:tcPr>
            <w:tcW w:type="dxa" w:w="5691"/>
          </w:tcPr>
          <w:p>
            <w:pPr>
              <w:spacing w:before="20" w:after="20"/>
            </w:pPr>
            <w:r>
              <w:rPr>
                <w:sz w:val="20"/>
              </w:rPr>
              <w:t>BERT: contextual representations, the encoder stack, masked language modeling, fine-tuning</w:t>
            </w:r>
          </w:p>
        </w:tc>
        <w:tc>
          <w:tcPr>
            <w:tcW w:type="dxa" w:w="2743"/>
          </w:tcPr>
          <w:p>
            <w:pPr>
              <w:spacing w:before="20" w:after="20"/>
            </w:pPr>
            <w:r>
              <w:rPr>
                <w:sz w:val="20"/>
              </w:rPr>
              <w:t>Quiz 6 · HW3 out</w:t>
            </w:r>
          </w:p>
        </w:tc>
      </w:tr>
      <w:tr>
        <w:trPr>
          <w:cantSplit/>
        </w:trPr>
        <w:tc>
          <w:tcPr>
            <w:tcW w:type="dxa" w:w="926"/>
          </w:tcPr>
          <w:p>
            <w:pPr>
              <w:spacing w:before="20" w:after="20"/>
            </w:pPr>
            <w:r>
              <w:rPr>
                <w:sz w:val="20"/>
              </w:rPr>
              <w:t>7</w:t>
            </w:r>
          </w:p>
        </w:tc>
        <w:tc>
          <w:tcPr>
            <w:tcW w:type="dxa" w:w="5691"/>
          </w:tcPr>
          <w:p>
            <w:pPr>
              <w:spacing w:before="20" w:after="20"/>
            </w:pPr>
            <w:r>
              <w:rPr>
                <w:sz w:val="20"/>
              </w:rPr>
              <w:t>The GPT family and autoregressive decoding. Scaling laws and emergent abilities</w:t>
            </w:r>
          </w:p>
        </w:tc>
        <w:tc>
          <w:tcPr>
            <w:tcW w:type="dxa" w:w="2743"/>
          </w:tcPr>
          <w:p>
            <w:pPr>
              <w:spacing w:before="20" w:after="20"/>
            </w:pPr>
            <w:r>
              <w:rPr>
                <w:sz w:val="20"/>
              </w:rPr>
              <w:t>Quiz 7 · HW3 due</w:t>
            </w:r>
          </w:p>
        </w:tc>
      </w:tr>
      <w:tr>
        <w:trPr>
          <w:cantSplit/>
        </w:trPr>
        <w:tc>
          <w:tcPr>
            <w:tcW w:type="dxa" w:w="926"/>
          </w:tcPr>
          <w:p>
            <w:pPr>
              <w:spacing w:before="20" w:after="20"/>
            </w:pPr>
            <w:r>
              <w:rPr>
                <w:sz w:val="20"/>
              </w:rPr>
              <w:t>8</w:t>
            </w:r>
          </w:p>
        </w:tc>
        <w:tc>
          <w:tcPr>
            <w:tcW w:type="dxa" w:w="5691"/>
          </w:tcPr>
          <w:p>
            <w:pPr>
              <w:spacing w:before="20" w:after="20"/>
            </w:pPr>
            <w:r>
              <w:rPr>
                <w:sz w:val="20"/>
              </w:rPr>
              <w:t>Tokenization at scale (BPE), pretraining data and compute, instruction tuning. Alignment: RLHF, InstructGPT, DPO</w:t>
            </w:r>
          </w:p>
        </w:tc>
        <w:tc>
          <w:tcPr>
            <w:tcW w:type="dxa" w:w="2743"/>
          </w:tcPr>
          <w:p>
            <w:pPr>
              <w:spacing w:before="20" w:after="20"/>
            </w:pPr>
            <w:r>
              <w:rPr>
                <w:sz w:val="20"/>
              </w:rPr>
              <w:t>Quiz 8 · HW4 out</w:t>
            </w:r>
          </w:p>
        </w:tc>
      </w:tr>
      <w:tr>
        <w:trPr>
          <w:cantSplit/>
        </w:trPr>
        <w:tc>
          <w:tcPr>
            <w:tcW w:type="dxa" w:w="926"/>
          </w:tcPr>
          <w:p>
            <w:pPr>
              <w:spacing w:before="20" w:after="20"/>
            </w:pPr>
            <w:r>
              <w:rPr>
                <w:sz w:val="20"/>
              </w:rPr>
              <w:t>9</w:t>
            </w:r>
          </w:p>
        </w:tc>
        <w:tc>
          <w:tcPr>
            <w:tcW w:type="dxa" w:w="5691"/>
          </w:tcPr>
          <w:p>
            <w:pPr>
              <w:spacing w:before="20" w:after="20"/>
            </w:pPr>
            <w:r>
              <w:rPr>
                <w:sz w:val="20"/>
              </w:rPr>
              <w:t>Efficient LLMs: LoRA/PEFT, quantization, local inference. Evaluation and benchmarks, hallucination, LLM-as-a-judge</w:t>
            </w:r>
          </w:p>
        </w:tc>
        <w:tc>
          <w:tcPr>
            <w:tcW w:type="dxa" w:w="2743"/>
          </w:tcPr>
          <w:p>
            <w:pPr>
              <w:spacing w:before="20" w:after="20"/>
            </w:pPr>
            <w:r>
              <w:rPr>
                <w:sz w:val="20"/>
              </w:rPr>
              <w:t>Quiz 9 · HW4 due · project work session</w:t>
            </w:r>
          </w:p>
        </w:tc>
      </w:tr>
      <w:tr>
        <w:trPr>
          <w:cantSplit/>
        </w:trPr>
        <w:tc>
          <w:tcPr>
            <w:tcW w:type="dxa" w:w="926"/>
          </w:tcPr>
          <w:p>
            <w:pPr>
              <w:spacing w:before="20" w:after="20"/>
            </w:pPr>
            <w:r>
              <w:rPr>
                <w:sz w:val="20"/>
              </w:rPr>
              <w:t>10</w:t>
            </w:r>
          </w:p>
        </w:tc>
        <w:tc>
          <w:tcPr>
            <w:tcW w:type="dxa" w:w="5691"/>
          </w:tcPr>
          <w:p>
            <w:pPr>
              <w:spacing w:before="20" w:after="20"/>
            </w:pPr>
            <w:r>
              <w:rPr>
                <w:sz w:val="20"/>
              </w:rPr>
              <w:t>In-context learning and prompt engineering. Chain-of-thought, self-consistency, decomposition</w:t>
            </w:r>
          </w:p>
        </w:tc>
        <w:tc>
          <w:tcPr>
            <w:tcW w:type="dxa" w:w="2743"/>
          </w:tcPr>
          <w:p>
            <w:pPr>
              <w:spacing w:before="20" w:after="20"/>
            </w:pPr>
            <w:r>
              <w:rPr>
                <w:sz w:val="20"/>
              </w:rPr>
              <w:t xml:space="preserve">Quiz 10 · HW5 out · </w:t>
            </w:r>
            <w:r>
              <w:rPr>
                <w:b/>
                <w:sz w:val="20"/>
              </w:rPr>
              <w:t>Project checkpoint due</w:t>
            </w:r>
          </w:p>
        </w:tc>
      </w:tr>
      <w:tr>
        <w:trPr>
          <w:cantSplit/>
        </w:trPr>
        <w:tc>
          <w:tcPr>
            <w:tcW w:type="dxa" w:w="926"/>
          </w:tcPr>
          <w:p>
            <w:pPr>
              <w:spacing w:before="20" w:after="20"/>
            </w:pPr>
            <w:r>
              <w:rPr>
                <w:sz w:val="20"/>
              </w:rPr>
              <w:t>11</w:t>
            </w:r>
          </w:p>
        </w:tc>
        <w:tc>
          <w:tcPr>
            <w:tcW w:type="dxa" w:w="5691"/>
          </w:tcPr>
          <w:p>
            <w:pPr>
              <w:spacing w:before="20" w:after="20"/>
            </w:pPr>
            <w:r>
              <w:rPr>
                <w:b/>
                <w:sz w:val="20"/>
              </w:rPr>
              <w:t>Midterm exam</w:t>
            </w:r>
            <w:r>
              <w:rPr>
                <w:sz w:val="20"/>
              </w:rPr>
              <w:t xml:space="preserve"> (Class 1). Retrieval-Augmented Generation: embeddings, vector search, grounding, context poisoning</w:t>
            </w:r>
          </w:p>
        </w:tc>
        <w:tc>
          <w:tcPr>
            <w:tcW w:type="dxa" w:w="2743"/>
          </w:tcPr>
          <w:p>
            <w:pPr>
              <w:spacing w:before="20" w:after="20"/>
            </w:pPr>
            <w:r>
              <w:rPr>
                <w:sz w:val="20"/>
              </w:rPr>
              <w:t>Quiz 11 · HW5 due</w:t>
            </w:r>
          </w:p>
        </w:tc>
      </w:tr>
      <w:tr>
        <w:trPr>
          <w:cantSplit/>
        </w:trPr>
        <w:tc>
          <w:tcPr>
            <w:tcW w:type="dxa" w:w="926"/>
          </w:tcPr>
          <w:p>
            <w:pPr>
              <w:spacing w:before="20" w:after="20"/>
            </w:pPr>
            <w:r>
              <w:rPr>
                <w:sz w:val="20"/>
              </w:rPr>
              <w:t>12</w:t>
            </w:r>
          </w:p>
        </w:tc>
        <w:tc>
          <w:tcPr>
            <w:tcW w:type="dxa" w:w="5691"/>
          </w:tcPr>
          <w:p>
            <w:pPr>
              <w:spacing w:before="20" w:after="20"/>
            </w:pPr>
            <w:r>
              <w:rPr>
                <w:sz w:val="20"/>
              </w:rPr>
              <w:t>What is an LLM agent? ReAct, tool use, injection defense. Designing tools and the agent loop</w:t>
            </w:r>
          </w:p>
        </w:tc>
        <w:tc>
          <w:tcPr>
            <w:tcW w:type="dxa" w:w="2743"/>
          </w:tcPr>
          <w:p>
            <w:pPr>
              <w:spacing w:before="20" w:after="20"/>
            </w:pPr>
            <w:r>
              <w:rPr>
                <w:sz w:val="20"/>
              </w:rPr>
              <w:t>Quiz 12 · HW6 out</w:t>
            </w:r>
          </w:p>
        </w:tc>
      </w:tr>
      <w:tr>
        <w:trPr>
          <w:cantSplit/>
        </w:trPr>
        <w:tc>
          <w:tcPr>
            <w:tcW w:type="dxa" w:w="926"/>
          </w:tcPr>
          <w:p>
            <w:pPr>
              <w:spacing w:before="20" w:after="20"/>
            </w:pPr>
            <w:r>
              <w:rPr>
                <w:sz w:val="20"/>
              </w:rPr>
              <w:t>13</w:t>
            </w:r>
          </w:p>
        </w:tc>
        <w:tc>
          <w:tcPr>
            <w:tcW w:type="dxa" w:w="5691"/>
          </w:tcPr>
          <w:p>
            <w:pPr>
              <w:spacing w:before="20" w:after="20"/>
            </w:pPr>
            <w:r>
              <w:rPr>
                <w:sz w:val="20"/>
              </w:rPr>
              <w:t>Memory, planning, and reflection. Reasoning agents and agent evaluation</w:t>
            </w:r>
          </w:p>
        </w:tc>
        <w:tc>
          <w:tcPr>
            <w:tcW w:type="dxa" w:w="2743"/>
          </w:tcPr>
          <w:p>
            <w:pPr>
              <w:spacing w:before="20" w:after="20"/>
            </w:pPr>
            <w:r>
              <w:rPr>
                <w:sz w:val="20"/>
              </w:rPr>
              <w:t>Quiz 13 · HW6 due</w:t>
            </w:r>
          </w:p>
        </w:tc>
      </w:tr>
      <w:tr>
        <w:trPr>
          <w:cantSplit/>
        </w:trPr>
        <w:tc>
          <w:tcPr>
            <w:tcW w:type="dxa" w:w="926"/>
          </w:tcPr>
          <w:p>
            <w:pPr>
              <w:spacing w:before="20" w:after="20"/>
            </w:pPr>
            <w:r>
              <w:rPr>
                <w:sz w:val="20"/>
              </w:rPr>
              <w:t>14</w:t>
            </w:r>
          </w:p>
        </w:tc>
        <w:tc>
          <w:tcPr>
            <w:tcW w:type="dxa" w:w="5691"/>
          </w:tcPr>
          <w:p>
            <w:pPr>
              <w:spacing w:before="20" w:after="20"/>
            </w:pPr>
            <w:r>
              <w:rPr>
                <w:sz w:val="20"/>
              </w:rPr>
              <w:t>Agentic workflows and orchestration. Workflow patterns, and when not to use an agent</w:t>
            </w:r>
          </w:p>
        </w:tc>
        <w:tc>
          <w:tcPr>
            <w:tcW w:type="dxa" w:w="2743"/>
          </w:tcPr>
          <w:p>
            <w:pPr>
              <w:spacing w:before="20" w:after="20"/>
            </w:pPr>
            <w:r>
              <w:rPr>
                <w:sz w:val="20"/>
              </w:rPr>
              <w:t>Quiz 14 · project work and feedback session</w:t>
            </w:r>
          </w:p>
        </w:tc>
      </w:tr>
      <w:tr>
        <w:trPr>
          <w:cantSplit/>
        </w:trPr>
        <w:tc>
          <w:tcPr>
            <w:tcW w:type="dxa" w:w="926"/>
          </w:tcPr>
          <w:p>
            <w:pPr>
              <w:spacing w:before="20" w:after="20"/>
            </w:pPr>
            <w:r>
              <w:rPr>
                <w:sz w:val="20"/>
              </w:rPr>
              <w:t>15</w:t>
            </w:r>
          </w:p>
        </w:tc>
        <w:tc>
          <w:tcPr>
            <w:tcW w:type="dxa" w:w="5691"/>
          </w:tcPr>
          <w:p>
            <w:pPr>
              <w:spacing w:before="20" w:after="20"/>
            </w:pPr>
            <w:r>
              <w:rPr>
                <w:sz w:val="20"/>
              </w:rPr>
              <w:t>Ethics and society: bias, misinformation, environmental cost, copyright, labor, safety. The future of NLP, course synthesis</w:t>
            </w:r>
          </w:p>
        </w:tc>
        <w:tc>
          <w:tcPr>
            <w:tcW w:type="dxa" w:w="2743"/>
          </w:tcPr>
          <w:p>
            <w:pPr>
              <w:spacing w:before="20" w:after="20"/>
            </w:pPr>
            <w:r>
              <w:rPr>
                <w:b/>
                <w:sz w:val="20"/>
              </w:rPr>
              <w:t>Final project presentations begin</w:t>
            </w:r>
          </w:p>
        </w:tc>
      </w:tr>
      <w:tr>
        <w:trPr>
          <w:cantSplit/>
        </w:trPr>
        <w:tc>
          <w:tcPr>
            <w:tcW w:type="dxa" w:w="926"/>
          </w:tcPr>
          <w:p>
            <w:pPr>
              <w:spacing w:before="20" w:after="20"/>
            </w:pPr>
            <w:r>
              <w:rPr>
                <w:sz w:val="20"/>
              </w:rPr>
              <w:t>Finals</w:t>
            </w:r>
          </w:p>
        </w:tc>
        <w:tc>
          <w:tcPr>
            <w:tcW w:type="dxa" w:w="5691"/>
          </w:tcPr>
          <w:p>
            <w:pPr>
              <w:spacing w:before="20" w:after="20"/>
            </w:pPr>
            <w:r>
              <w:rPr>
                <w:sz w:val="20"/>
              </w:rPr>
              <w:t>Registrar's final-exam period</w:t>
            </w:r>
          </w:p>
        </w:tc>
        <w:tc>
          <w:tcPr>
            <w:tcW w:type="dxa" w:w="2743"/>
          </w:tcPr>
          <w:p>
            <w:pPr>
              <w:spacing w:before="20" w:after="20"/>
            </w:pPr>
            <w:r>
              <w:rPr>
                <w:b/>
                <w:sz w:val="20"/>
              </w:rPr>
              <w:t>Final presentations, paper final exam, final report due</w:t>
            </w:r>
          </w:p>
        </w:tc>
      </w:tr>
    </w:tbl>
    <w:p>
      <w:pPr>
        <w:spacing w:after="80"/>
      </w:pPr>
    </w:p>
    <w:sectPr>
      <w:footerReference w:type="default" r:id="rId29"/>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73"/>
        <w:sz w:val="18"/>
      </w:rPr>
      <w:t xml:space="preserve">CSCI 3495: Natural Language Processing and Large Language Models  |  page  </w:t>
    </w:r>
    <w:r>
      <w:rPr>
        <w:sz w:val="18"/>
      </w:rPr>
      <w:fldChar w:fldCharType="begin"/>
    </w:r>
    <w:r>
      <w:rPr>
        <w:sz w:val="18"/>
      </w:rPr>
      <w:instrText xml:space="preserve"> PAGE </w:instrText>
    </w:r>
    <w:r>
      <w:rPr>
        <w:sz w:val="18"/>
      </w:rPr>
      <w:fldChar w:fldCharType="end"/>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highlight w:val="white"/>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pPr>
    <w:rPr>
      <w:b w:val="1"/>
      <w:bCs w:val="1"/>
      <w:i w:val="1"/>
      <w:iCs w:val="1"/>
      <w:sz w:val="24"/>
      <w:szCs w:val="24"/>
      <w:highlight w:val="white"/>
      <w:u w:val="single"/>
    </w:rPr>
  </w:style>
  <w:style w:type="paragraph" w:styleId="Heading2">
    <w:name w:val="heading 2"/>
    <w:basedOn w:val="Normal"/>
    <w:next w:val="Normal"/>
    <w:pPr>
      <w:keepNext w:val="1"/>
      <w:keepLines w:val="1"/>
      <w:spacing w:line="240" w:lineRule="auto"/>
    </w:pPr>
    <w:rPr>
      <w:sz w:val="24"/>
      <w:szCs w:val="24"/>
      <w:highlight w:val="white"/>
      <w:u w:val="single"/>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240" w:lineRule="auto"/>
      <w:jc w:val="center"/>
    </w:pPr>
    <w:rPr>
      <w:sz w:val="46"/>
      <w:szCs w:val="4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trinity.edu/directory/departments-offices/equal-opportunity-services/resources" TargetMode="External"/><Relationship Id="rId10" Type="http://schemas.openxmlformats.org/officeDocument/2006/relationships/hyperlink" Target="https://cm.maxient.com/reportingform.php?TrinityUniv&amp;layout_id=5" TargetMode="External"/><Relationship Id="rId13" Type="http://schemas.openxmlformats.org/officeDocument/2006/relationships/hyperlink" Target="https://www.trinity.edu/directory/departments-offices/center-experiential-learning-and-career-success/career-services" TargetMode="External"/><Relationship Id="rId12" Type="http://schemas.openxmlformats.org/officeDocument/2006/relationships/hyperlink" Target="https://www.trinity.edu/directory/departments-offices/student-success-cent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m.maxient.com/reportingform.php?TrinityUniv&amp;layout_id=5" TargetMode="External"/><Relationship Id="rId15" Type="http://schemas.openxmlformats.org/officeDocument/2006/relationships/hyperlink" Target="https://www.trinity.edu/directory/departments-offices/quantitative-reasoning-skills-center" TargetMode="External"/><Relationship Id="rId14" Type="http://schemas.openxmlformats.org/officeDocument/2006/relationships/hyperlink" Target="https://www.trinity.edu/directory/departments-offices/counseling-services" TargetMode="External"/><Relationship Id="rId17" Type="http://schemas.openxmlformats.org/officeDocument/2006/relationships/hyperlink" Target="https://www.trinity.edu/directory/departments-offices/wellness" TargetMode="External"/><Relationship Id="rId16" Type="http://schemas.openxmlformats.org/officeDocument/2006/relationships/hyperlink" Target="https://www.trinity.edu/directory/departments-offices/student-accessibility-services" TargetMode="External"/><Relationship Id="rId5" Type="http://schemas.openxmlformats.org/officeDocument/2006/relationships/styles" Target="styles.xml"/><Relationship Id="rId6" Type="http://schemas.openxmlformats.org/officeDocument/2006/relationships/hyperlink" Target="https://docs.google.com/spreadsheets/d/1ZEkShe56KTvAyw0BuHO4WRXYQT1SeM-jTbKXFhz26lQ/edit?usp=sharing" TargetMode="External"/><Relationship Id="rId18" Type="http://schemas.openxmlformats.org/officeDocument/2006/relationships/hyperlink" Target="https://www.trinity.edu/directory/departments-offices/writing-center" TargetMode="External"/><Relationship Id="rId7" Type="http://schemas.openxmlformats.org/officeDocument/2006/relationships/hyperlink" Target="https://www.amazon.com/Python-Programming-Introduction-Computer-Science/dp/1887902996" TargetMode="External"/><Relationship Id="rId8" Type="http://schemas.openxmlformats.org/officeDocument/2006/relationships/hyperlink" Target="https://policies.trinity.edu/a8376318-ebd6-421f-be63-acf8c88376a1_18488f66-2f24-4a81-86a4-e3f27d7b4590.html" TargetMode="External"/><Relationship Id="rId19" Type="http://schemas.openxmlformats.org/officeDocument/2006/relationships/hyperlink" Target="https://web.stanford.edu/~jurafsky/slp3/" TargetMode="External"/><Relationship Id="rId20" Type="http://schemas.openxmlformats.org/officeDocument/2006/relationships/hyperlink" Target="https://d2l.ai/" TargetMode="External"/><Relationship Id="rId21" Type="http://schemas.openxmlformats.org/officeDocument/2006/relationships/hyperlink" Target="https://huggingface.co/learn/llm-course" TargetMode="External"/><Relationship Id="rId22" Type="http://schemas.openxmlformats.org/officeDocument/2006/relationships/hyperlink" Target="https://www.overleaf.com/latex/templates/formatting-instructions-for-neurips-2026/bjdwqfdkyftc" TargetMode="External"/><Relationship Id="rId23" Type="http://schemas.openxmlformats.org/officeDocument/2006/relationships/hyperlink" Target="https://www.trinity.edu/directory/departments-offices/dean-students" TargetMode="External"/><Relationship Id="rId24" Type="http://schemas.openxmlformats.org/officeDocument/2006/relationships/hyperlink" Target="https://www.trinity.edu/directory/departments-offices/academic-advising-office" TargetMode="External"/><Relationship Id="rId25" Type="http://schemas.openxmlformats.org/officeDocument/2006/relationships/hyperlink" Target="https://www.trinity.edu/directory/departments-offices/academic-support" TargetMode="External"/><Relationship Id="rId26" Type="http://schemas.openxmlformats.org/officeDocument/2006/relationships/hyperlink" Target="https://www.trinity.edu/directory/departments-offices/center-experiential-learning-and-career-success" TargetMode="External"/><Relationship Id="rId27" Type="http://schemas.openxmlformats.org/officeDocument/2006/relationships/hyperlink" Target="https://www.trinity.edu/directory/departments-offices/health-services" TargetMode="External"/><Relationship Id="rId28" Type="http://schemas.openxmlformats.org/officeDocument/2006/relationships/hyperlink" Target="https://sites.google.com/trinity.edu/tigerhub/home" TargetMode="External"/><Relationship Id="rId2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