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3AD975" w14:textId="77777777" w:rsidR="004B4610" w:rsidRDefault="00000000">
      <w:pPr>
        <w:jc w:val="center"/>
      </w:pPr>
      <w:r>
        <w:t>Republic of the Philippines</w:t>
      </w:r>
    </w:p>
    <w:p w14:paraId="4FB53E16" w14:textId="77777777" w:rsidR="004B4610" w:rsidRDefault="00000000">
      <w:pPr>
        <w:jc w:val="center"/>
      </w:pPr>
      <w:r>
        <w:t>Region X</w:t>
      </w:r>
    </w:p>
    <w:p w14:paraId="771BB100" w14:textId="77777777" w:rsidR="004B4610" w:rsidRDefault="00000000">
      <w:pPr>
        <w:jc w:val="center"/>
      </w:pPr>
      <w:r>
        <w:t>Division of Misamis Oriental</w:t>
      </w:r>
    </w:p>
    <w:p w14:paraId="7C623320" w14:textId="77777777" w:rsidR="004B4610" w:rsidRDefault="00000000">
      <w:pPr>
        <w:jc w:val="center"/>
      </w:pPr>
      <w:r>
        <w:rPr>
          <w:b/>
        </w:rPr>
        <w:t>MISAMIS ORIENTAL NATIONAL HIGH SCHOOL</w:t>
      </w:r>
    </w:p>
    <w:p w14:paraId="5E5042A4" w14:textId="77777777" w:rsidR="004B4610" w:rsidRDefault="00000000">
      <w:pPr>
        <w:jc w:val="center"/>
      </w:pPr>
      <w:r>
        <w:rPr>
          <w:b/>
        </w:rPr>
        <w:t>WIMSHURST ELECTROSTATIC GENERATOR</w:t>
      </w:r>
    </w:p>
    <w:p w14:paraId="48197CB2" w14:textId="77777777" w:rsidR="004B4610" w:rsidRDefault="00000000">
      <w:pPr>
        <w:jc w:val="center"/>
      </w:pPr>
      <w:r>
        <w:rPr>
          <w:b/>
        </w:rPr>
        <w:t>Investigatory Project Report</w:t>
      </w:r>
    </w:p>
    <w:p w14:paraId="14D1A0D1" w14:textId="77777777" w:rsidR="004B4610" w:rsidRDefault="00000000">
      <w:pPr>
        <w:jc w:val="center"/>
      </w:pPr>
      <w:r>
        <w:t>High Voltage, Electrostatic Force, Capacitance, Spark Discharge,</w:t>
      </w:r>
      <w:r>
        <w:br/>
        <w:t>Electromagnetic Emissions, and Usable-Power Conversion</w:t>
      </w:r>
    </w:p>
    <w:p w14:paraId="491337D5" w14:textId="77777777" w:rsidR="004B4610" w:rsidRDefault="00000000">
      <w:pPr>
        <w:jc w:val="center"/>
        <w:rPr>
          <w:b/>
        </w:rPr>
      </w:pPr>
      <w:r>
        <w:rPr>
          <w:b/>
        </w:rPr>
        <w:t xml:space="preserve">Emmanuel D. </w:t>
      </w:r>
      <w:proofErr w:type="spellStart"/>
      <w:r>
        <w:rPr>
          <w:b/>
        </w:rPr>
        <w:t>Bongcas</w:t>
      </w:r>
      <w:proofErr w:type="spellEnd"/>
    </w:p>
    <w:p w14:paraId="242948F8" w14:textId="1746CC6B" w:rsidR="00237F49" w:rsidRDefault="00237F49">
      <w:pPr>
        <w:jc w:val="center"/>
        <w:rPr>
          <w:b/>
        </w:rPr>
      </w:pPr>
      <w:r>
        <w:rPr>
          <w:b/>
        </w:rPr>
        <w:t xml:space="preserve">Vivian Mercia </w:t>
      </w:r>
      <w:proofErr w:type="spellStart"/>
      <w:r>
        <w:rPr>
          <w:b/>
        </w:rPr>
        <w:t>Sacay</w:t>
      </w:r>
      <w:proofErr w:type="spellEnd"/>
      <w:r>
        <w:rPr>
          <w:b/>
        </w:rPr>
        <w:t xml:space="preserve"> </w:t>
      </w:r>
      <w:proofErr w:type="spellStart"/>
      <w:r>
        <w:rPr>
          <w:b/>
        </w:rPr>
        <w:t>Aboc</w:t>
      </w:r>
      <w:proofErr w:type="spellEnd"/>
    </w:p>
    <w:p w14:paraId="7B47F619" w14:textId="1056586A" w:rsidR="00237F49" w:rsidRDefault="00237F49">
      <w:pPr>
        <w:jc w:val="center"/>
      </w:pPr>
      <w:r>
        <w:rPr>
          <w:b/>
        </w:rPr>
        <w:t>Dan De la Fuente</w:t>
      </w:r>
    </w:p>
    <w:p w14:paraId="3AFCB6D9" w14:textId="77777777" w:rsidR="004B4610" w:rsidRDefault="00000000">
      <w:pPr>
        <w:jc w:val="center"/>
      </w:pPr>
      <w:r>
        <w:t>A Science Investigatory Project</w:t>
      </w:r>
    </w:p>
    <w:p w14:paraId="0BFF807F" w14:textId="77777777" w:rsidR="004B4610" w:rsidRDefault="00000000">
      <w:pPr>
        <w:jc w:val="center"/>
      </w:pPr>
      <w:r>
        <w:rPr>
          <w:b/>
        </w:rPr>
        <w:t>Misamis Oriental National High School</w:t>
      </w:r>
    </w:p>
    <w:p w14:paraId="63F14906" w14:textId="77777777" w:rsidR="004B4610" w:rsidRDefault="00000000">
      <w:pPr>
        <w:jc w:val="center"/>
      </w:pPr>
      <w:r>
        <w:t>Science Fair 2026</w:t>
      </w:r>
    </w:p>
    <w:p w14:paraId="3A8B508F" w14:textId="77777777" w:rsidR="004B4610" w:rsidRDefault="00000000">
      <w:r>
        <w:br w:type="page"/>
      </w:r>
    </w:p>
    <w:p w14:paraId="0D9E4E93" w14:textId="77777777" w:rsidR="004B4610" w:rsidRDefault="00000000">
      <w:pPr>
        <w:pStyle w:val="Heading1"/>
        <w:jc w:val="center"/>
      </w:pPr>
      <w:r>
        <w:rPr>
          <w:rFonts w:ascii="Times New Roman" w:eastAsia="Times New Roman" w:hAnsi="Times New Roman"/>
        </w:rPr>
        <w:lastRenderedPageBreak/>
        <w:t>TABLE OF CONTENTS</w:t>
      </w:r>
    </w:p>
    <w:p w14:paraId="0D3921F7" w14:textId="77777777" w:rsidR="004B4610" w:rsidRDefault="00000000">
      <w:r>
        <w:t>Abstract</w:t>
      </w:r>
    </w:p>
    <w:p w14:paraId="63D8BBEC" w14:textId="77777777" w:rsidR="004B4610" w:rsidRDefault="00000000">
      <w:r>
        <w:t>Sustainable Development Goals</w:t>
      </w:r>
    </w:p>
    <w:p w14:paraId="0CAE399C" w14:textId="77777777" w:rsidR="004B4610" w:rsidRDefault="00000000">
      <w:r>
        <w:t>Introduction &amp; Background</w:t>
      </w:r>
    </w:p>
    <w:p w14:paraId="12E4C63A" w14:textId="77777777" w:rsidR="004B4610" w:rsidRDefault="00000000">
      <w:r>
        <w:t>Statement of the Problem</w:t>
      </w:r>
    </w:p>
    <w:p w14:paraId="6D956D85" w14:textId="77777777" w:rsidR="004B4610" w:rsidRDefault="00000000">
      <w:r>
        <w:t>Hypotheses</w:t>
      </w:r>
    </w:p>
    <w:p w14:paraId="189767FA" w14:textId="77777777" w:rsidR="004B4610" w:rsidRDefault="00000000">
      <w:r>
        <w:t>Methodology</w:t>
      </w:r>
    </w:p>
    <w:p w14:paraId="037CA170" w14:textId="77777777" w:rsidR="004B4610" w:rsidRDefault="00000000">
      <w:r>
        <w:t>Variables</w:t>
      </w:r>
    </w:p>
    <w:p w14:paraId="5F4A0154" w14:textId="77777777" w:rsidR="004B4610" w:rsidRDefault="00000000">
      <w:r>
        <w:t>Materials</w:t>
      </w:r>
    </w:p>
    <w:p w14:paraId="3521E3D6" w14:textId="77777777" w:rsidR="004B4610" w:rsidRDefault="00000000">
      <w:r>
        <w:t>Procedure</w:t>
      </w:r>
    </w:p>
    <w:p w14:paraId="702E46EE" w14:textId="77777777" w:rsidR="004B4610" w:rsidRDefault="00000000">
      <w:r>
        <w:t>Results &amp; Data</w:t>
      </w:r>
    </w:p>
    <w:p w14:paraId="3A640F86" w14:textId="77777777" w:rsidR="004B4610" w:rsidRDefault="00000000">
      <w:r>
        <w:t>Discussion</w:t>
      </w:r>
    </w:p>
    <w:p w14:paraId="2BB45349" w14:textId="77777777" w:rsidR="004B4610" w:rsidRDefault="00000000">
      <w:r>
        <w:t>Conclusion</w:t>
      </w:r>
    </w:p>
    <w:p w14:paraId="3FEBD58F" w14:textId="77777777" w:rsidR="004B4610" w:rsidRDefault="00000000">
      <w:r>
        <w:t>Recommendations</w:t>
      </w:r>
    </w:p>
    <w:p w14:paraId="556CB813" w14:textId="77777777" w:rsidR="004B4610" w:rsidRDefault="00000000">
      <w:r>
        <w:t>Acknowledgements</w:t>
      </w:r>
    </w:p>
    <w:p w14:paraId="46DE84AC" w14:textId="77777777" w:rsidR="004B4610" w:rsidRDefault="00000000">
      <w:r>
        <w:t>References</w:t>
      </w:r>
    </w:p>
    <w:p w14:paraId="6194972B" w14:textId="77777777" w:rsidR="004B4610" w:rsidRDefault="004B4610"/>
    <w:p w14:paraId="1C7840EA" w14:textId="77777777" w:rsidR="004B4610" w:rsidRDefault="004B4610"/>
    <w:p w14:paraId="4C5F00E3" w14:textId="77777777" w:rsidR="004B4610" w:rsidRDefault="004B4610"/>
    <w:p w14:paraId="73B1E0EC" w14:textId="77777777" w:rsidR="004B4610" w:rsidRDefault="004B4610"/>
    <w:p w14:paraId="0A0EC37C" w14:textId="77777777" w:rsidR="004B4610" w:rsidRDefault="004B4610"/>
    <w:p w14:paraId="736E285D" w14:textId="77777777" w:rsidR="004B4610" w:rsidRDefault="004B4610"/>
    <w:p w14:paraId="640F5A17" w14:textId="77777777" w:rsidR="004B4610" w:rsidRDefault="004B4610"/>
    <w:p w14:paraId="3C000A2F" w14:textId="77777777" w:rsidR="004B4610" w:rsidRDefault="004B4610"/>
    <w:p w14:paraId="68938124" w14:textId="77777777" w:rsidR="004B4610" w:rsidRDefault="004B4610"/>
    <w:p w14:paraId="7DCE3AA2" w14:textId="77777777" w:rsidR="004B4610" w:rsidRDefault="004B4610"/>
    <w:p w14:paraId="6BAC6304" w14:textId="77777777" w:rsidR="004B4610" w:rsidRDefault="00000000">
      <w:pPr>
        <w:pStyle w:val="Heading1"/>
        <w:jc w:val="center"/>
      </w:pPr>
      <w:r>
        <w:rPr>
          <w:rFonts w:ascii="Times New Roman" w:eastAsia="Times New Roman" w:hAnsi="Times New Roman"/>
        </w:rPr>
        <w:t>ABSTRACT</w:t>
      </w:r>
    </w:p>
    <w:p w14:paraId="4F5F8E8F" w14:textId="77777777" w:rsidR="004B4610" w:rsidRDefault="00000000">
      <w:pPr>
        <w:jc w:val="both"/>
      </w:pPr>
      <w:r>
        <w:t>This investigatory project studies the Wimshurst electrostatic generator as a system for demonstrating and analyzing electrostatic induction, charge density, electric fields, capacitance, air breakdown, electrical power, electromagnetic emissions, and possible methods of converting high-voltage electrostatic output into a more useful electrical form. The project follows the progression documented in the accompanying 60-entry development logbook: background research, electrostatic theory, force demonstrations, controlled spark experiments, quantitative voltage and power analysis, electromagnetic detection, and practical-application research.</w:t>
      </w:r>
    </w:p>
    <w:p w14:paraId="1FECD267" w14:textId="77777777" w:rsidR="004B4610" w:rsidRDefault="00000000">
      <w:pPr>
        <w:jc w:val="both"/>
      </w:pPr>
      <w:r>
        <w:t>A neon lamp connected across both output electrodes glowed orange near its internal electrodes. When one alligator clip was pulled away from a lamp lead, the bulb unexpectedly became much brighter. Closer observation revealed a thin arcing streamer bridging the small air gap between the clip and the disconnected lamp lead. The connection was therefore not truly open: ionized air formed a conductive plasma path, allowing repeated current pulses through the neon lamp.</w:t>
      </w:r>
    </w:p>
    <w:p w14:paraId="5B5073B6" w14:textId="77777777" w:rsidR="004B4610" w:rsidRDefault="00000000">
      <w:pPr>
        <w:jc w:val="both"/>
      </w:pPr>
      <w:r>
        <w:t>Because ordinary voltmeters and oscilloscope probes are unsuitable for direct connection to a tens-of-kilovolts, very-high-impedance electrostatic source, the maximum repeatable air-gap distance was selected as the principal voltage-estimation method. Using approximately 3 kV/mm as an educational estimate for dry air, a 10 mm repeatable spark gap corresponds to about 30 kV. Electrical power was analyzed using P = VI; for example, 30,000 V at 10 µA corresponds to only 0.30 W of average electrical power.</w:t>
      </w:r>
    </w:p>
    <w:p w14:paraId="3873F318" w14:textId="77777777" w:rsidR="004B4610" w:rsidRDefault="00000000">
      <w:pPr>
        <w:jc w:val="both"/>
      </w:pPr>
      <w:r>
        <w:t xml:space="preserve">The electromagnetic-emission experiment produced an important result. During rotation, an AM radio detected strong repetitive interference from the brushes and metallic sectors, </w:t>
      </w:r>
      <w:r>
        <w:lastRenderedPageBreak/>
        <w:t>masking any separate spark signal. After the electrodes were separated, the Leyden jars were charged, disk rotation was stopped, and the stored charge was deliberately discharged. The radio then produced a distinct sharp blip exactly with the spark, experimentally isolating the spark discharge as a source of electromagnetic radiation.</w:t>
      </w:r>
    </w:p>
    <w:p w14:paraId="5341C1B9" w14:textId="77777777" w:rsidR="004B4610" w:rsidRDefault="00000000">
      <w:pPr>
        <w:jc w:val="both"/>
      </w:pPr>
      <w:r>
        <w:t>Finally, the project examined the historical progression from Holtz to Wimshurst to Pidgeon and, under the project's stated premise, the reported Testatika architecture. This led to a supplemental engineering question: whether Wimshurst output can be accumulated in capacitance, transferred in controlled pulses through an inductive or resonant stage, rectified, buffered, and delivered to a small low-voltage load. The proposed target of approximately 0.25 W remains a proof-of-concept research objective and depends on first measuring the actual average energy available from the student machine.</w:t>
      </w:r>
    </w:p>
    <w:p w14:paraId="1CB1C687" w14:textId="77777777" w:rsidR="004B4610" w:rsidRDefault="00000000">
      <w:pPr>
        <w:pStyle w:val="Heading1"/>
        <w:jc w:val="center"/>
      </w:pPr>
      <w:r>
        <w:rPr>
          <w:rFonts w:ascii="Times New Roman" w:eastAsia="Times New Roman" w:hAnsi="Times New Roman"/>
        </w:rPr>
        <w:t>SUSTAINABLE DEVELOPMENT GOALS</w:t>
      </w:r>
    </w:p>
    <w:p w14:paraId="6B19E73B" w14:textId="77777777" w:rsidR="004B4610" w:rsidRDefault="00000000">
      <w:pPr>
        <w:pStyle w:val="Heading2"/>
      </w:pPr>
      <w:r>
        <w:rPr>
          <w:rFonts w:ascii="Times New Roman" w:eastAsia="Times New Roman" w:hAnsi="Times New Roman"/>
        </w:rPr>
        <w:t>SDG 7 — Affordable and Clean Energy</w:t>
      </w:r>
    </w:p>
    <w:p w14:paraId="5BC8B97E" w14:textId="77777777" w:rsidR="004B4610" w:rsidRDefault="00000000">
      <w:pPr>
        <w:jc w:val="both"/>
      </w:pPr>
      <w:r>
        <w:t>The project explores mechanical-to-electrical energy conversion and asks how electrostatic energy might be collected and conditioned into a useful form. It encourages investigation of alternative energy-conversion methods while emphasizing that usable power must be demonstrated by measurement, not by voltage alone.</w:t>
      </w:r>
    </w:p>
    <w:p w14:paraId="3E8108BD" w14:textId="77777777" w:rsidR="004B4610" w:rsidRDefault="00000000">
      <w:pPr>
        <w:pStyle w:val="Heading2"/>
      </w:pPr>
      <w:r>
        <w:rPr>
          <w:rFonts w:ascii="Times New Roman" w:eastAsia="Times New Roman" w:hAnsi="Times New Roman"/>
        </w:rPr>
        <w:t>SDG 9 — Industry, Innovation, and Infrastructure</w:t>
      </w:r>
    </w:p>
    <w:p w14:paraId="77391F10" w14:textId="77777777" w:rsidR="004B4610" w:rsidRDefault="00000000">
      <w:pPr>
        <w:jc w:val="both"/>
      </w:pPr>
      <w:r>
        <w:t>The project connects historical electrical machines with modern engineering concepts such as energy storage, impedance conversion, resonance, rectification, measurement, and experimental control. It promotes innovation by treating the Wimshurst machine as both a scientific instrument and a platform for further engineering research.</w:t>
      </w:r>
    </w:p>
    <w:p w14:paraId="656991EF" w14:textId="77777777" w:rsidR="004B4610" w:rsidRDefault="00000000">
      <w:pPr>
        <w:pStyle w:val="Heading2"/>
      </w:pPr>
      <w:r>
        <w:rPr>
          <w:rFonts w:ascii="Times New Roman" w:eastAsia="Times New Roman" w:hAnsi="Times New Roman"/>
        </w:rPr>
        <w:lastRenderedPageBreak/>
        <w:t>SDG 13 — Climate Action</w:t>
      </w:r>
    </w:p>
    <w:p w14:paraId="1E107809" w14:textId="77777777" w:rsidR="004B4610" w:rsidRDefault="00000000">
      <w:pPr>
        <w:jc w:val="both"/>
      </w:pPr>
      <w:r>
        <w:t>The apparatus produces no combustion emissions during operation. As an educational project, it encourages students to investigate energy conversion, efficiency, and low-emission technologies while distinguishing demonstrational electrostatic generation from practical large-scale energy systems.</w:t>
      </w:r>
    </w:p>
    <w:p w14:paraId="78D9AE8F" w14:textId="77777777" w:rsidR="004B4610" w:rsidRDefault="00000000">
      <w:r>
        <w:br w:type="page"/>
      </w:r>
    </w:p>
    <w:p w14:paraId="520A941E" w14:textId="77777777" w:rsidR="004B4610" w:rsidRDefault="00000000">
      <w:pPr>
        <w:pStyle w:val="Heading1"/>
        <w:jc w:val="center"/>
      </w:pPr>
      <w:r>
        <w:rPr>
          <w:rFonts w:ascii="Times New Roman" w:hAnsi="Times New Roman"/>
        </w:rPr>
        <w:lastRenderedPageBreak/>
        <w:t>INTRODUCTION &amp; BACKGROUND</w:t>
      </w:r>
    </w:p>
    <w:p w14:paraId="7AE11996" w14:textId="77777777" w:rsidR="004B4610" w:rsidRDefault="004B4610">
      <w:pPr>
        <w:jc w:val="center"/>
      </w:pPr>
    </w:p>
    <w:p w14:paraId="289F95C4" w14:textId="77777777" w:rsidR="004B4610" w:rsidRDefault="00000000">
      <w:pPr>
        <w:pStyle w:val="Heading2"/>
      </w:pPr>
      <w:r>
        <w:rPr>
          <w:rFonts w:ascii="Times New Roman" w:eastAsia="Times New Roman" w:hAnsi="Times New Roman"/>
        </w:rPr>
        <w:t>Background and Rationale</w:t>
      </w:r>
    </w:p>
    <w:p w14:paraId="0D4146DD" w14:textId="77777777" w:rsidR="004B4610" w:rsidRDefault="00000000">
      <w:pPr>
        <w:jc w:val="both"/>
      </w:pPr>
      <w:r>
        <w:t>The Wimshurst machine is a late nineteenth-century electrostatic influence generator that uses two insulating disks rotating in opposite directions. Conductive sectors, neutralizer bars, brushes, collecting combs, output electrodes, and optional Leyden jars cooperate to separate charge and raise the electrical potential between the output terminals. Unlike a battery or conventional electromagnetic generator, the machine makes charge separation, electric-field buildup, capacitance, and breakdown directly visible.</w:t>
      </w:r>
    </w:p>
    <w:p w14:paraId="1C484AC7" w14:textId="77777777" w:rsidR="004B4610" w:rsidRDefault="00000000">
      <w:pPr>
        <w:jc w:val="both"/>
      </w:pPr>
      <w:r>
        <w:t>The investigation also examines how a neon gas discharge can be excited directly and through a small air-gap streamer.</w:t>
      </w:r>
    </w:p>
    <w:p w14:paraId="1C697A81" w14:textId="77777777" w:rsidR="004B4610" w:rsidRDefault="00000000">
      <w:pPr>
        <w:pStyle w:val="Heading2"/>
      </w:pPr>
      <w:r>
        <w:rPr>
          <w:rFonts w:ascii="Times New Roman" w:eastAsia="Times New Roman" w:hAnsi="Times New Roman"/>
        </w:rPr>
        <w:t>Features and Specifications</w:t>
      </w:r>
    </w:p>
    <w:p w14:paraId="158D61E9" w14:textId="77777777" w:rsidR="004B4610" w:rsidRDefault="00000000">
      <w:pPr>
        <w:pStyle w:val="ListBullet"/>
      </w:pPr>
      <w:r>
        <w:t>Two counter-rotating insulating disks carrying conductive sectors.</w:t>
      </w:r>
    </w:p>
    <w:p w14:paraId="6BF1E037" w14:textId="77777777" w:rsidR="004B4610" w:rsidRDefault="00000000">
      <w:pPr>
        <w:pStyle w:val="ListBullet"/>
      </w:pPr>
      <w:r>
        <w:t>Neutralizer bars and brushes that reinforce charge separation by electrostatic influence.</w:t>
      </w:r>
    </w:p>
    <w:p w14:paraId="39337D24" w14:textId="77777777" w:rsidR="004B4610" w:rsidRDefault="00000000">
      <w:pPr>
        <w:pStyle w:val="ListBullet"/>
      </w:pPr>
      <w:r>
        <w:t>Charge-collection combs and adjustable output electrodes.</w:t>
      </w:r>
    </w:p>
    <w:p w14:paraId="07549BC8" w14:textId="77777777" w:rsidR="004B4610" w:rsidRDefault="00000000">
      <w:pPr>
        <w:pStyle w:val="ListBullet"/>
      </w:pPr>
      <w:r>
        <w:t>Leyden jars that increase output capacitance and stored discharge energy.</w:t>
      </w:r>
    </w:p>
    <w:p w14:paraId="53E908FE" w14:textId="77777777" w:rsidR="004B4610" w:rsidRDefault="00000000">
      <w:pPr>
        <w:pStyle w:val="ListBullet"/>
      </w:pPr>
      <w:r>
        <w:t>Manual mechanical drive, allowing direct observation of mechanical-to-electrical energy conversion.</w:t>
      </w:r>
    </w:p>
    <w:p w14:paraId="2E0AE119" w14:textId="77777777" w:rsidR="004B4610" w:rsidRDefault="00000000">
      <w:pPr>
        <w:pStyle w:val="ListBullet"/>
      </w:pPr>
      <w:r>
        <w:t>Visible spark discharge and rapid blue discharge modes depending on whether Leyden jars are connected.</w:t>
      </w:r>
    </w:p>
    <w:p w14:paraId="726A5A57" w14:textId="77777777" w:rsidR="004B4610" w:rsidRDefault="00000000">
      <w:pPr>
        <w:pStyle w:val="ListBullet"/>
      </w:pPr>
      <w:r>
        <w:t>Suitability for electrostatic force, air-breakdown, capacitance, power, and electromagnetic-emission experiments.</w:t>
      </w:r>
    </w:p>
    <w:p w14:paraId="7518A8C6" w14:textId="77777777" w:rsidR="004B4610" w:rsidRDefault="00000000">
      <w:pPr>
        <w:pStyle w:val="Heading2"/>
      </w:pPr>
      <w:r>
        <w:rPr>
          <w:rFonts w:ascii="Times New Roman" w:hAnsi="Times New Roman"/>
        </w:rPr>
        <w:t>STATEMENT OF THE PROBLEM</w:t>
      </w:r>
    </w:p>
    <w:p w14:paraId="4E0FA6CB" w14:textId="77777777" w:rsidR="004B4610" w:rsidRDefault="00000000">
      <w:pPr>
        <w:pStyle w:val="ListNumber"/>
      </w:pPr>
      <w:r>
        <w:t>How does the Wimshurst machine generate and accumulate high electrostatic voltage?</w:t>
      </w:r>
    </w:p>
    <w:p w14:paraId="497EA51E" w14:textId="77777777" w:rsidR="004B4610" w:rsidRDefault="00000000">
      <w:pPr>
        <w:pStyle w:val="ListNumber"/>
      </w:pPr>
      <w:r>
        <w:lastRenderedPageBreak/>
        <w:t>How do surface charge density, electric field strength, and capacitance influence air breakdown?</w:t>
      </w:r>
    </w:p>
    <w:p w14:paraId="1A9154E8" w14:textId="77777777" w:rsidR="004B4610" w:rsidRDefault="00000000">
      <w:pPr>
        <w:pStyle w:val="ListNumber"/>
      </w:pPr>
      <w:r>
        <w:t>What changes when the Leyden jars are connected or disconnected?</w:t>
      </w:r>
    </w:p>
    <w:p w14:paraId="5472F610" w14:textId="77777777" w:rsidR="004B4610" w:rsidRDefault="00000000">
      <w:pPr>
        <w:pStyle w:val="ListNumber"/>
      </w:pPr>
      <w:r>
        <w:t>Can maximum repeatable spark-gap distance provide a satisfactory indirect estimate of high voltage?</w:t>
      </w:r>
    </w:p>
    <w:p w14:paraId="59569CFA" w14:textId="77777777" w:rsidR="004B4610" w:rsidRDefault="00000000">
      <w:pPr>
        <w:pStyle w:val="ListNumber"/>
      </w:pPr>
      <w:r>
        <w:t>Why are ordinary voltmeters and oscilloscopes inappropriate for direct measurement of the machine?</w:t>
      </w:r>
    </w:p>
    <w:p w14:paraId="6AD10280" w14:textId="77777777" w:rsidR="004B4610" w:rsidRDefault="00000000">
      <w:pPr>
        <w:pStyle w:val="ListNumber"/>
      </w:pPr>
      <w:r>
        <w:t>How can a machine with tens of kilovolts still have only a small average power output?</w:t>
      </w:r>
    </w:p>
    <w:p w14:paraId="6F59E6FA" w14:textId="77777777" w:rsidR="004B4610" w:rsidRDefault="00000000">
      <w:pPr>
        <w:pStyle w:val="ListNumber"/>
      </w:pPr>
      <w:r>
        <w:t>Can electrostatic activity and spark discharge be detected as electromagnetic interference by an AM receiver?</w:t>
      </w:r>
    </w:p>
    <w:p w14:paraId="66FEF609" w14:textId="77777777" w:rsidR="004B4610" w:rsidRDefault="00000000">
      <w:pPr>
        <w:pStyle w:val="ListNumber"/>
      </w:pPr>
      <w:r>
        <w:t>What practical applications use high electrostatic voltage directly?</w:t>
      </w:r>
    </w:p>
    <w:p w14:paraId="5E31A2CA" w14:textId="77777777" w:rsidR="004B4610" w:rsidRDefault="00000000">
      <w:pPr>
        <w:pStyle w:val="ListNumber"/>
      </w:pPr>
      <w:r>
        <w:t>How do Holtz, Wimshurst, Pidgeon, and the reported Testatika architecture form a useful historical and engineering progression?</w:t>
      </w:r>
    </w:p>
    <w:p w14:paraId="313F1253" w14:textId="77777777" w:rsidR="004B4610" w:rsidRDefault="00000000">
      <w:pPr>
        <w:pStyle w:val="ListNumber"/>
      </w:pPr>
      <w:r>
        <w:t>Can the Wimshurst output, in principle, be accumulated and converted into a small amount of lower-voltage usable power?</w:t>
      </w:r>
    </w:p>
    <w:p w14:paraId="5BAEC60E" w14:textId="77777777" w:rsidR="00DB6854" w:rsidRDefault="00000000">
      <w:r>
        <w:rPr>
          <w:b/>
        </w:rPr>
        <w:t>HYPOTHESES</w:t>
      </w:r>
    </w:p>
    <w:p w14:paraId="5AF0E100" w14:textId="77777777" w:rsidR="00DB6854" w:rsidRDefault="00000000">
      <w:pPr>
        <w:pStyle w:val="ListBullet"/>
      </w:pPr>
      <w:r>
        <w:t>The Wimshurst machine will produce observable electrostatic attraction, contact charging, and repulsion in lightweight insulating and conducting objects.</w:t>
      </w:r>
    </w:p>
    <w:p w14:paraId="65F495A3" w14:textId="77777777" w:rsidR="00DB6854" w:rsidRDefault="00000000">
      <w:pPr>
        <w:pStyle w:val="ListBullet"/>
      </w:pPr>
      <w:r>
        <w:t>Connecting Leyden jars will increase effective capacitance and stored energy, producing less frequent but brighter, thicker, and louder sparks than operation without the jars.</w:t>
      </w:r>
    </w:p>
    <w:p w14:paraId="731D89D8" w14:textId="77777777" w:rsidR="00DB6854" w:rsidRDefault="00000000">
      <w:pPr>
        <w:pStyle w:val="ListBullet"/>
      </w:pPr>
      <w:r>
        <w:t>A larger repeatable air gap will correspond to a higher estimated output voltage, using air breakdown only as an approximate educational indicator.</w:t>
      </w:r>
    </w:p>
    <w:p w14:paraId="4F3E186E" w14:textId="77777777" w:rsidR="00DB6854" w:rsidRDefault="00000000">
      <w:pPr>
        <w:pStyle w:val="ListBullet"/>
      </w:pPr>
      <w:r>
        <w:t>A Leyden-jar spark will produce a detectable electromagnetic transient on a nearby AM radio when brush-and-sector interference is removed by stopping disk rotation before discharge.</w:t>
      </w:r>
    </w:p>
    <w:p w14:paraId="1C3C22A2" w14:textId="77777777" w:rsidR="00DB6854" w:rsidRDefault="00000000">
      <w:pPr>
        <w:pStyle w:val="ListBullet"/>
      </w:pPr>
      <w:r>
        <w:lastRenderedPageBreak/>
        <w:t>For the neon-lamp air-gap observation, the primary working hypothesis is that the streamer acts as a nonlinear voltage-triggered switch that produces repeated relaxation-discharge pulses; a secondary hypothesis is that rapidly changing electromagnetic fields around the streamer may also contribute to excitation or coupling.</w:t>
      </w:r>
    </w:p>
    <w:p w14:paraId="4A095F31" w14:textId="77777777" w:rsidR="00DB6854" w:rsidRDefault="00000000">
      <w:pPr>
        <w:pStyle w:val="ListBullet"/>
      </w:pPr>
      <w:r>
        <w:t>The observed Styrofoam polarity asymmetry may result from retained surface charge, but electrode geometry, humidity, leakage, and other setup asymmetries must also be considered.</w:t>
      </w:r>
    </w:p>
    <w:p w14:paraId="6495B96F" w14:textId="77777777" w:rsidR="004B4610" w:rsidRDefault="00000000">
      <w:pPr>
        <w:pStyle w:val="Heading2"/>
      </w:pPr>
      <w:r>
        <w:rPr>
          <w:rFonts w:ascii="Times New Roman" w:eastAsia="Times New Roman" w:hAnsi="Times New Roman"/>
        </w:rPr>
        <w:t>Historical Development: Holtz → Wimshurst → Pidgeon → Testatika</w:t>
      </w:r>
    </w:p>
    <w:p w14:paraId="5EF7C0F9" w14:textId="77777777" w:rsidR="004B4610" w:rsidRDefault="00000000">
      <w:pPr>
        <w:jc w:val="both"/>
      </w:pPr>
      <w:r>
        <w:t>The research places the Wimshurst machine within a longer development of electrostatic influence machines. The Holtz machine of the mid-1860s demonstrated regenerative electrostatic influence but normally required an initial priming charge. James Wimshurst's early-1880s design improved practical reliability through counter-rotating sectored disks and effective self-excitation. W. R. Pidgeon's 1898 influence machine is especially relevant because contemporary descriptions explicitly coordinate charge collection with changing capacitance: a sector is charged when its capacitance is relatively high and delivers charge when capacitance is lower. From V = Q/C, lowering capacitance while approximately retaining charge raises potential.</w:t>
      </w:r>
    </w:p>
    <w:p w14:paraId="61B2EEA4" w14:textId="77777777" w:rsidR="004B4610" w:rsidRDefault="00000000">
      <w:pPr>
        <w:jc w:val="both"/>
      </w:pPr>
      <w:r>
        <w:t>The Testatika associated with Paul Baumann and the Methernitha community in Linden, Switzerland is treated differently because its complete internal circuitry was not publicly documented. Under the premise used by this project, photographs and reconstruction literature suggest an electrostatic front end related to historical influence machines, followed by substantial capacitive, inductive, magnetic, rectifying, and conditioning structures. For this report, established Wimshurst/Pidgeon physics is distinguished from reported Testatika behavior and later reconstruction hypotheses.</w:t>
      </w:r>
    </w:p>
    <w:p w14:paraId="2879EFC8" w14:textId="77777777" w:rsidR="004B4610" w:rsidRDefault="00000000">
      <w:r>
        <w:br w:type="page"/>
      </w:r>
    </w:p>
    <w:p w14:paraId="68F09C34" w14:textId="77777777" w:rsidR="004B4610" w:rsidRDefault="00000000">
      <w:pPr>
        <w:pStyle w:val="Heading1"/>
        <w:jc w:val="center"/>
      </w:pPr>
      <w:r>
        <w:rPr>
          <w:rFonts w:ascii="Times New Roman" w:hAnsi="Times New Roman"/>
        </w:rPr>
        <w:lastRenderedPageBreak/>
        <w:t>METHODOLOGY</w:t>
      </w:r>
    </w:p>
    <w:p w14:paraId="71A55AD8" w14:textId="77777777" w:rsidR="004B4610" w:rsidRDefault="004B4610">
      <w:pPr>
        <w:jc w:val="center"/>
      </w:pPr>
    </w:p>
    <w:p w14:paraId="6F9AF625" w14:textId="77777777" w:rsidR="00DB6854" w:rsidRDefault="00000000">
      <w:r>
        <w:rPr>
          <w:b/>
        </w:rPr>
        <w:t>VARIABLES</w:t>
      </w:r>
    </w:p>
    <w:p w14:paraId="26E1D604" w14:textId="77777777" w:rsidR="00DB6854" w:rsidRDefault="00000000">
      <w:pPr>
        <w:pStyle w:val="ListBullet"/>
      </w:pPr>
      <w:r>
        <w:t>Independent variables: Leyden-jar connection state; electrode/spark-gap spacing; object or load used (Styrofoam ball, metallic lead, neon lamp); direct connection versus small air-gap streamer; AM-radio test condition (disks rotating or stopped after charging).</w:t>
      </w:r>
    </w:p>
    <w:p w14:paraId="40DC1292" w14:textId="77777777" w:rsidR="00DB6854" w:rsidRDefault="00000000">
      <w:pPr>
        <w:pStyle w:val="ListBullet"/>
      </w:pPr>
      <w:r>
        <w:t>Dependent variables: observed attraction/repulsion or motion; spark appearance, sound, frequency, and maximum repeatable gap; neon-lamp brightness and glow distribution; AM-radio interference or transient response; calculated voltage/power values where applicable.</w:t>
      </w:r>
    </w:p>
    <w:p w14:paraId="55C150F1" w14:textId="77777777" w:rsidR="00DB6854" w:rsidRDefault="00000000">
      <w:pPr>
        <w:pStyle w:val="ListBullet"/>
      </w:pPr>
      <w:r>
        <w:t>Controlled variables: the same Wimshurst machine, approximately consistent electrode geometry and manual cranking conditions, dry non-metallic work surface, comparable test distances, and the same observation/measurement method for each comparison. Humidity and manual speed were recognized as limitations because they could not be held perfectly constant.</w:t>
      </w:r>
    </w:p>
    <w:p w14:paraId="744B0896" w14:textId="77777777" w:rsidR="004B4610" w:rsidRDefault="00000000">
      <w:pPr>
        <w:pStyle w:val="Heading2"/>
      </w:pPr>
      <w:r>
        <w:rPr>
          <w:rFonts w:ascii="Times New Roman" w:hAnsi="Times New Roman"/>
        </w:rPr>
        <w:t>MATERIALS</w:t>
      </w:r>
    </w:p>
    <w:tbl>
      <w:tblPr>
        <w:tblStyle w:val="TableGrid"/>
        <w:tblW w:w="0" w:type="auto"/>
        <w:jc w:val="center"/>
        <w:tblLook w:val="04A0" w:firstRow="1" w:lastRow="0" w:firstColumn="1" w:lastColumn="0" w:noHBand="0" w:noVBand="1"/>
      </w:tblPr>
      <w:tblGrid>
        <w:gridCol w:w="4620"/>
        <w:gridCol w:w="4622"/>
      </w:tblGrid>
      <w:tr w:rsidR="004B4610" w14:paraId="359B83E0" w14:textId="77777777">
        <w:trPr>
          <w:jc w:val="center"/>
        </w:trPr>
        <w:tc>
          <w:tcPr>
            <w:tcW w:w="4706" w:type="dxa"/>
            <w:shd w:val="clear" w:color="auto" w:fill="D9EAF7"/>
            <w:vAlign w:val="center"/>
          </w:tcPr>
          <w:p w14:paraId="7D9556ED" w14:textId="77777777" w:rsidR="004B4610" w:rsidRDefault="00000000">
            <w:r>
              <w:rPr>
                <w:b/>
              </w:rPr>
              <w:t>Item</w:t>
            </w:r>
          </w:p>
        </w:tc>
        <w:tc>
          <w:tcPr>
            <w:tcW w:w="4706" w:type="dxa"/>
            <w:shd w:val="clear" w:color="auto" w:fill="D9EAF7"/>
            <w:vAlign w:val="center"/>
          </w:tcPr>
          <w:p w14:paraId="6534CCA3" w14:textId="77777777" w:rsidR="004B4610" w:rsidRDefault="00000000">
            <w:r>
              <w:rPr>
                <w:b/>
              </w:rPr>
              <w:t>Purpose</w:t>
            </w:r>
          </w:p>
        </w:tc>
      </w:tr>
      <w:tr w:rsidR="004B4610" w14:paraId="38B453B0" w14:textId="77777777">
        <w:trPr>
          <w:jc w:val="center"/>
        </w:trPr>
        <w:tc>
          <w:tcPr>
            <w:tcW w:w="4706" w:type="dxa"/>
            <w:vAlign w:val="center"/>
          </w:tcPr>
          <w:p w14:paraId="2A1EE91D" w14:textId="77777777" w:rsidR="004B4610" w:rsidRDefault="00000000">
            <w:r>
              <w:t>Wimshurst machine</w:t>
            </w:r>
          </w:p>
        </w:tc>
        <w:tc>
          <w:tcPr>
            <w:tcW w:w="4706" w:type="dxa"/>
            <w:vAlign w:val="center"/>
          </w:tcPr>
          <w:p w14:paraId="7EE1D4F9" w14:textId="77777777" w:rsidR="004B4610" w:rsidRDefault="00000000">
            <w:r>
              <w:t>Primary electrostatic generator used for all demonstrations and tests.</w:t>
            </w:r>
          </w:p>
        </w:tc>
      </w:tr>
      <w:tr w:rsidR="004B4610" w14:paraId="5C41D843" w14:textId="77777777">
        <w:trPr>
          <w:jc w:val="center"/>
        </w:trPr>
        <w:tc>
          <w:tcPr>
            <w:tcW w:w="4706" w:type="dxa"/>
            <w:vAlign w:val="center"/>
          </w:tcPr>
          <w:p w14:paraId="78FB4ABF" w14:textId="77777777" w:rsidR="004B4610" w:rsidRDefault="00000000">
            <w:r>
              <w:t>Adjustable discharge electrodes</w:t>
            </w:r>
          </w:p>
        </w:tc>
        <w:tc>
          <w:tcPr>
            <w:tcW w:w="4706" w:type="dxa"/>
            <w:vAlign w:val="center"/>
          </w:tcPr>
          <w:p w14:paraId="5B6F69FC" w14:textId="77777777" w:rsidR="004B4610" w:rsidRDefault="00000000">
            <w:r>
              <w:t>Used to observe sparks and set/measure the air gap.</w:t>
            </w:r>
          </w:p>
        </w:tc>
      </w:tr>
      <w:tr w:rsidR="004B4610" w14:paraId="21F7DABE" w14:textId="77777777">
        <w:trPr>
          <w:jc w:val="center"/>
        </w:trPr>
        <w:tc>
          <w:tcPr>
            <w:tcW w:w="4706" w:type="dxa"/>
            <w:vAlign w:val="center"/>
          </w:tcPr>
          <w:p w14:paraId="65127BDF" w14:textId="77777777" w:rsidR="004B4610" w:rsidRDefault="00000000">
            <w:r>
              <w:t>Leyden jars</w:t>
            </w:r>
          </w:p>
        </w:tc>
        <w:tc>
          <w:tcPr>
            <w:tcW w:w="4706" w:type="dxa"/>
            <w:vAlign w:val="center"/>
          </w:tcPr>
          <w:p w14:paraId="11270BAE" w14:textId="77777777" w:rsidR="004B4610" w:rsidRDefault="00000000">
            <w:r>
              <w:t>High-voltage capacitors used to compare stored charge and discharge energy.</w:t>
            </w:r>
          </w:p>
        </w:tc>
      </w:tr>
      <w:tr w:rsidR="004B4610" w14:paraId="6149A103" w14:textId="77777777">
        <w:trPr>
          <w:jc w:val="center"/>
        </w:trPr>
        <w:tc>
          <w:tcPr>
            <w:tcW w:w="4706" w:type="dxa"/>
            <w:vAlign w:val="center"/>
          </w:tcPr>
          <w:p w14:paraId="3C8F7E45" w14:textId="77777777" w:rsidR="004B4610" w:rsidRDefault="00000000">
            <w:r>
              <w:t>Metric ruler or caliper</w:t>
            </w:r>
          </w:p>
        </w:tc>
        <w:tc>
          <w:tcPr>
            <w:tcW w:w="4706" w:type="dxa"/>
            <w:vAlign w:val="center"/>
          </w:tcPr>
          <w:p w14:paraId="67EBEF56" w14:textId="77777777" w:rsidR="004B4610" w:rsidRDefault="00000000">
            <w:r>
              <w:t xml:space="preserve">Measures maximum repeatable spark-gap </w:t>
            </w:r>
            <w:r>
              <w:lastRenderedPageBreak/>
              <w:t>distance.</w:t>
            </w:r>
          </w:p>
        </w:tc>
      </w:tr>
      <w:tr w:rsidR="004B4610" w14:paraId="5BDB41D6" w14:textId="77777777">
        <w:trPr>
          <w:jc w:val="center"/>
        </w:trPr>
        <w:tc>
          <w:tcPr>
            <w:tcW w:w="4706" w:type="dxa"/>
            <w:vAlign w:val="center"/>
          </w:tcPr>
          <w:p w14:paraId="60B2EA12" w14:textId="77777777" w:rsidR="004B4610" w:rsidRDefault="00000000">
            <w:r>
              <w:lastRenderedPageBreak/>
              <w:t>Suspended Styrofoam ball and insulating thread</w:t>
            </w:r>
          </w:p>
        </w:tc>
        <w:tc>
          <w:tcPr>
            <w:tcW w:w="4706" w:type="dxa"/>
            <w:vAlign w:val="center"/>
          </w:tcPr>
          <w:p w14:paraId="4ACAA9A7" w14:textId="77777777" w:rsidR="004B4610" w:rsidRDefault="00000000">
            <w:r>
              <w:t>Demonstrates polarization, attraction, contact charging, and repulsion.</w:t>
            </w:r>
          </w:p>
        </w:tc>
      </w:tr>
      <w:tr w:rsidR="004B4610" w14:paraId="304DCD34" w14:textId="77777777">
        <w:trPr>
          <w:jc w:val="center"/>
        </w:trPr>
        <w:tc>
          <w:tcPr>
            <w:tcW w:w="4706" w:type="dxa"/>
            <w:vAlign w:val="center"/>
          </w:tcPr>
          <w:p w14:paraId="0579843D" w14:textId="77777777" w:rsidR="004B4610" w:rsidRDefault="00000000">
            <w:r>
              <w:t>Battery-powered AM radio</w:t>
            </w:r>
          </w:p>
        </w:tc>
        <w:tc>
          <w:tcPr>
            <w:tcW w:w="4706" w:type="dxa"/>
            <w:vAlign w:val="center"/>
          </w:tcPr>
          <w:p w14:paraId="21D2D54E" w14:textId="77777777" w:rsidR="004B4610" w:rsidRDefault="00000000">
            <w:r>
              <w:t>Detects electromagnetic interference and transient radiation.</w:t>
            </w:r>
          </w:p>
        </w:tc>
      </w:tr>
      <w:tr w:rsidR="004B4610" w14:paraId="7247AA5F" w14:textId="77777777">
        <w:trPr>
          <w:jc w:val="center"/>
        </w:trPr>
        <w:tc>
          <w:tcPr>
            <w:tcW w:w="4706" w:type="dxa"/>
            <w:vAlign w:val="center"/>
          </w:tcPr>
          <w:p w14:paraId="33C622C0" w14:textId="77777777" w:rsidR="004B4610" w:rsidRDefault="00000000">
            <w:r>
              <w:t>Metallic ruler/conductor</w:t>
            </w:r>
          </w:p>
        </w:tc>
        <w:tc>
          <w:tcPr>
            <w:tcW w:w="4706" w:type="dxa"/>
            <w:vAlign w:val="center"/>
          </w:tcPr>
          <w:p w14:paraId="532FF7F1" w14:textId="77777777" w:rsidR="004B4610" w:rsidRDefault="00000000">
            <w:r>
              <w:t>Used in the isolated Leyden-jar discharge test after disk rotation stopped.</w:t>
            </w:r>
          </w:p>
        </w:tc>
      </w:tr>
      <w:tr w:rsidR="004B4610" w14:paraId="6C7B31BA" w14:textId="77777777">
        <w:trPr>
          <w:jc w:val="center"/>
        </w:trPr>
        <w:tc>
          <w:tcPr>
            <w:tcW w:w="4706" w:type="dxa"/>
            <w:vAlign w:val="center"/>
          </w:tcPr>
          <w:p w14:paraId="425FE5D7" w14:textId="77777777" w:rsidR="004B4610" w:rsidRDefault="00000000">
            <w:r>
              <w:t>Dry non-metallic work surface</w:t>
            </w:r>
          </w:p>
        </w:tc>
        <w:tc>
          <w:tcPr>
            <w:tcW w:w="4706" w:type="dxa"/>
            <w:vAlign w:val="center"/>
          </w:tcPr>
          <w:p w14:paraId="74012F29" w14:textId="77777777" w:rsidR="004B4610" w:rsidRDefault="00000000">
            <w:r>
              <w:t>Reduces leakage and provides a safer experimental setup.</w:t>
            </w:r>
          </w:p>
        </w:tc>
      </w:tr>
      <w:tr w:rsidR="004B4610" w14:paraId="08B01ABA" w14:textId="77777777">
        <w:trPr>
          <w:jc w:val="center"/>
        </w:trPr>
        <w:tc>
          <w:tcPr>
            <w:tcW w:w="4706" w:type="dxa"/>
            <w:vAlign w:val="center"/>
          </w:tcPr>
          <w:p w14:paraId="4D2F93BF" w14:textId="77777777" w:rsidR="004B4610" w:rsidRDefault="00000000">
            <w:r>
              <w:t>Notebook / 60-entry logbook</w:t>
            </w:r>
          </w:p>
        </w:tc>
        <w:tc>
          <w:tcPr>
            <w:tcW w:w="4706" w:type="dxa"/>
            <w:vAlign w:val="center"/>
          </w:tcPr>
          <w:p w14:paraId="3543E4DF" w14:textId="77777777" w:rsidR="004B4610" w:rsidRDefault="00000000">
            <w:r>
              <w:t>Records observations, hypotheses, procedures, calculations, and conclusions.</w:t>
            </w:r>
          </w:p>
        </w:tc>
      </w:tr>
      <w:tr w:rsidR="004B4610" w14:paraId="1B29DCEE" w14:textId="77777777">
        <w:trPr>
          <w:jc w:val="center"/>
        </w:trPr>
        <w:tc>
          <w:tcPr>
            <w:tcW w:w="4706" w:type="dxa"/>
          </w:tcPr>
          <w:p w14:paraId="66FE11A2" w14:textId="77777777" w:rsidR="004B4610" w:rsidRDefault="00000000">
            <w:r>
              <w:t>Freely suspended metallic lead / conductor</w:t>
            </w:r>
          </w:p>
        </w:tc>
        <w:tc>
          <w:tcPr>
            <w:tcW w:w="4706" w:type="dxa"/>
          </w:tcPr>
          <w:p w14:paraId="3BF7594E" w14:textId="77777777" w:rsidR="004B4610" w:rsidRDefault="00000000">
            <w:r>
              <w:t>Demonstrates electrostatic shuttle motion, contact charging, repulsion, and electrostatic conversion back into mechanical motion.</w:t>
            </w:r>
          </w:p>
        </w:tc>
      </w:tr>
      <w:tr w:rsidR="004B4610" w14:paraId="3F7F5965" w14:textId="77777777">
        <w:trPr>
          <w:jc w:val="center"/>
        </w:trPr>
        <w:tc>
          <w:tcPr>
            <w:tcW w:w="4706" w:type="dxa"/>
          </w:tcPr>
          <w:p w14:paraId="300D56E7" w14:textId="77777777" w:rsidR="004B4610" w:rsidRDefault="00000000">
            <w:r>
              <w:t>Small neon lamp with insulated alligator-clip leads</w:t>
            </w:r>
          </w:p>
        </w:tc>
        <w:tc>
          <w:tcPr>
            <w:tcW w:w="4706" w:type="dxa"/>
          </w:tcPr>
          <w:p w14:paraId="0ACB977D" w14:textId="77777777" w:rsidR="004B4610" w:rsidRDefault="00000000">
            <w:r>
              <w:t>Demonstrates gas ionization, direct two-terminal discharge, and the observed air-gap streamer effect when one alligator clip is separated slightly from a lamp lead.</w:t>
            </w:r>
          </w:p>
        </w:tc>
      </w:tr>
    </w:tbl>
    <w:p w14:paraId="1395605F" w14:textId="77777777" w:rsidR="004B4610" w:rsidRDefault="00000000">
      <w:pPr>
        <w:pStyle w:val="Heading2"/>
      </w:pPr>
      <w:r>
        <w:rPr>
          <w:rFonts w:ascii="Times New Roman" w:eastAsia="Times New Roman" w:hAnsi="Times New Roman"/>
        </w:rPr>
        <w:t>B. Operating Procedure</w:t>
      </w:r>
    </w:p>
    <w:p w14:paraId="649EC678" w14:textId="77777777" w:rsidR="004B4610" w:rsidRDefault="00000000" w:rsidP="00773607">
      <w:pPr>
        <w:pStyle w:val="ListNumber"/>
        <w:numPr>
          <w:ilvl w:val="0"/>
          <w:numId w:val="11"/>
        </w:numPr>
      </w:pPr>
      <w:r>
        <w:t>Place the Wimshurst machine on a dry, non-metallic surface and inspect all mechanical clearances.</w:t>
      </w:r>
    </w:p>
    <w:p w14:paraId="3A30DF02" w14:textId="77777777" w:rsidR="004B4610" w:rsidRDefault="00000000">
      <w:pPr>
        <w:pStyle w:val="ListNumber"/>
      </w:pPr>
      <w:r>
        <w:t>Set the discharge electrodes to the required spacing and confirm the Leyden-jar configuration for the intended test.</w:t>
      </w:r>
    </w:p>
    <w:p w14:paraId="7FE81B67" w14:textId="77777777" w:rsidR="004B4610" w:rsidRDefault="00000000">
      <w:pPr>
        <w:pStyle w:val="ListNumber"/>
      </w:pPr>
      <w:r>
        <w:t>Rotate the handle smoothly so the two disks counter-rotate and the influence process builds charge.</w:t>
      </w:r>
    </w:p>
    <w:p w14:paraId="067029CB" w14:textId="77777777" w:rsidR="004B4610" w:rsidRDefault="00000000" w:rsidP="00773607">
      <w:pPr>
        <w:pStyle w:val="ListNumber"/>
      </w:pPr>
      <w:r>
        <w:lastRenderedPageBreak/>
        <w:t>Observe the discharge only from a safe distance; do not touch terminals or Leyden jars during or immediately after operation.</w:t>
      </w:r>
    </w:p>
    <w:p w14:paraId="18000F77" w14:textId="77777777" w:rsidR="004B4610" w:rsidRDefault="00000000">
      <w:pPr>
        <w:pStyle w:val="ListNumber"/>
      </w:pPr>
      <w:r>
        <w:t>Before changing connections, deliberately discharge the Leyden jars using an appropriate insulated discharge method.</w:t>
      </w:r>
    </w:p>
    <w:p w14:paraId="555DFCFB" w14:textId="77777777" w:rsidR="004B4610" w:rsidRDefault="00000000">
      <w:pPr>
        <w:pStyle w:val="Heading2"/>
      </w:pPr>
      <w:r>
        <w:rPr>
          <w:rFonts w:ascii="Times New Roman" w:eastAsia="Times New Roman" w:hAnsi="Times New Roman"/>
        </w:rPr>
        <w:t>C. Safety Precautions</w:t>
      </w:r>
    </w:p>
    <w:p w14:paraId="11BEFE3B" w14:textId="77777777" w:rsidR="004B4610" w:rsidRDefault="00000000">
      <w:pPr>
        <w:pStyle w:val="ListBullet"/>
      </w:pPr>
      <w:r>
        <w:t>Keep hands away from the output electrodes, collectors, and Leyden-jar terminals during operation.</w:t>
      </w:r>
    </w:p>
    <w:p w14:paraId="672BD720" w14:textId="77777777" w:rsidR="004B4610" w:rsidRDefault="00000000">
      <w:pPr>
        <w:pStyle w:val="ListBullet"/>
      </w:pPr>
      <w:r>
        <w:t>Always discharge the Leyden jars before reconfiguring the apparatus.</w:t>
      </w:r>
    </w:p>
    <w:p w14:paraId="17E8E196" w14:textId="77777777" w:rsidR="004B4610" w:rsidRDefault="00000000">
      <w:pPr>
        <w:pStyle w:val="ListBullet"/>
      </w:pPr>
      <w:r>
        <w:t>Do not connect an ordinary voltmeter, standard oscilloscope probe, phone, or other low-voltage electronics directly to the high-voltage output.</w:t>
      </w:r>
    </w:p>
    <w:p w14:paraId="5C22EDBD" w14:textId="77777777" w:rsidR="004B4610" w:rsidRDefault="00000000">
      <w:pPr>
        <w:pStyle w:val="ListBullet"/>
      </w:pPr>
      <w:r>
        <w:t>Operate in a dry area and keep the apparatus away from flammable vapors, sensitive electronics, and persons with implanted electronic medical devices.</w:t>
      </w:r>
    </w:p>
    <w:p w14:paraId="430758FB" w14:textId="77777777" w:rsidR="004B4610" w:rsidRDefault="00000000">
      <w:pPr>
        <w:pStyle w:val="ListBullet"/>
      </w:pPr>
      <w:r>
        <w:t>Any future experiment adding larger high-voltage capacitors, switching, transformers, or resonant circuits should be enclosed and adult-supervised.</w:t>
      </w:r>
    </w:p>
    <w:p w14:paraId="0BED6F8D" w14:textId="77777777" w:rsidR="004B4610" w:rsidRDefault="00000000">
      <w:pPr>
        <w:pStyle w:val="Heading2"/>
      </w:pPr>
      <w:r>
        <w:rPr>
          <w:rFonts w:ascii="Times New Roman" w:hAnsi="Times New Roman"/>
        </w:rPr>
        <w:t>PROCEDURE</w:t>
      </w:r>
    </w:p>
    <w:p w14:paraId="2EDD29F3" w14:textId="77777777" w:rsidR="00DB6854" w:rsidRDefault="00000000">
      <w:r>
        <w:rPr>
          <w:b/>
        </w:rPr>
        <w:t>Trial and Repeatability Requirement</w:t>
      </w:r>
    </w:p>
    <w:p w14:paraId="759F0BD1" w14:textId="77777777" w:rsidR="00DB6854" w:rsidRDefault="00000000">
      <w:r>
        <w:t>For quantitative measurements such as maximum repeatable spark-gap distance, perform at least three trials when time and conditions permit and record each value with units. The existing report does not provide three separate numerical trial values, so none have been invented in this reorganization. Future measurements should preserve the individual trial data rather than reporting only a single value.</w:t>
      </w:r>
    </w:p>
    <w:p w14:paraId="71954822" w14:textId="77777777" w:rsidR="004B4610" w:rsidRDefault="00000000">
      <w:pPr>
        <w:pStyle w:val="Heading3"/>
      </w:pPr>
      <w:r>
        <w:rPr>
          <w:rFonts w:ascii="Times New Roman" w:eastAsia="Times New Roman" w:hAnsi="Times New Roman"/>
        </w:rPr>
        <w:t>Experiment 1 — Styrofoam-Ball Attraction and Repulsion</w:t>
      </w:r>
    </w:p>
    <w:p w14:paraId="06FD4042" w14:textId="77777777" w:rsidR="004B4610" w:rsidRDefault="00000000" w:rsidP="00773607">
      <w:pPr>
        <w:pStyle w:val="ListNumber"/>
        <w:numPr>
          <w:ilvl w:val="0"/>
          <w:numId w:val="12"/>
        </w:numPr>
      </w:pPr>
      <w:r>
        <w:t>Suspend a lightweight Styrofoam ball from a thin insulating thread so it can move freely.</w:t>
      </w:r>
    </w:p>
    <w:p w14:paraId="3C96D9DA" w14:textId="77777777" w:rsidR="004B4610" w:rsidRDefault="00000000">
      <w:pPr>
        <w:pStyle w:val="ListNumber"/>
      </w:pPr>
      <w:r>
        <w:lastRenderedPageBreak/>
        <w:t>Bring the initially neutral ball near one charged output terminal without touching it and observe attraction.</w:t>
      </w:r>
    </w:p>
    <w:p w14:paraId="02304AAE" w14:textId="77777777" w:rsidR="004B4610" w:rsidRDefault="00000000">
      <w:pPr>
        <w:pStyle w:val="ListNumber"/>
      </w:pPr>
      <w:r>
        <w:t>Allow the ball to touch the terminal. Charge transfers by conduction.</w:t>
      </w:r>
    </w:p>
    <w:p w14:paraId="11AD9775" w14:textId="77777777" w:rsidR="004B4610" w:rsidRDefault="00000000">
      <w:pPr>
        <w:pStyle w:val="ListNumber"/>
      </w:pPr>
      <w:r>
        <w:t>Observe the ball being repelled from the terminal after it acquires the same polarity.</w:t>
      </w:r>
    </w:p>
    <w:p w14:paraId="4B98175B" w14:textId="77777777" w:rsidR="004B4610" w:rsidRDefault="00000000">
      <w:pPr>
        <w:pStyle w:val="ListNumber"/>
      </w:pPr>
      <w:r>
        <w:t>Allow it to move toward the opposite-polarity terminal and observe the repeated attraction/contact/repulsion cycle. Also compare the relative attraction and repulsion at the two electrodes and record any persistent asymmetry.</w:t>
      </w:r>
    </w:p>
    <w:p w14:paraId="24C4E337" w14:textId="77777777" w:rsidR="004B4610" w:rsidRDefault="00000000">
      <w:r>
        <w:t>Repeat the force demonstration with a freely suspended metallic lead. Observe attraction toward an electrode, contact charging, repulsion, and motion toward the opposite electrode. Give the lead a small initial circular motion and observe whether electrostatic forces sustain its orbit while the Wimshurst disks continue rotating.</w:t>
      </w:r>
    </w:p>
    <w:p w14:paraId="304D70B3" w14:textId="77777777" w:rsidR="004B4610" w:rsidRDefault="00000000">
      <w:pPr>
        <w:pStyle w:val="Heading3"/>
      </w:pPr>
      <w:r>
        <w:rPr>
          <w:rFonts w:ascii="Times New Roman" w:eastAsia="Times New Roman" w:hAnsi="Times New Roman"/>
        </w:rPr>
        <w:t>Experiment 2 — Neon-Lamp Direct and Air-Gap Streamer Demonstration</w:t>
      </w:r>
    </w:p>
    <w:p w14:paraId="25E953F4" w14:textId="77777777" w:rsidR="004B4610" w:rsidRDefault="00000000">
      <w:r>
        <w:t>Connect the two neon-lamp leads across the two Wimshurst output electrodes using insulated alligator-clip leads. Rotate the disks and observe the location and color of the glow.</w:t>
      </w:r>
    </w:p>
    <w:p w14:paraId="034671B7" w14:textId="77777777" w:rsidR="004B4610" w:rsidRDefault="00000000">
      <w:r>
        <w:t>Pull one alligator clip slightly away from its neon-lamp lead while keeping the clip close enough to observe the gap. Continue rotating the disks and compare brightness, glow distribution, and any visible discharge between the clip and lamp lead.</w:t>
      </w:r>
    </w:p>
    <w:p w14:paraId="40852431" w14:textId="77777777" w:rsidR="004B4610" w:rsidRDefault="00000000">
      <w:r>
        <w:t>Record the observed increase in brightness, the more extensive orange glow, and the thin streamer bridging the clip-to-lead air gap. Interpret the streamer as ionized air that temporarily completes the circuit and delivers repeated current pulses through the neon lamp. Stray capacitance may still exist in the apparatus, but it is not required to explain the observed bright glow while the visible streamer is present.</w:t>
      </w:r>
    </w:p>
    <w:p w14:paraId="4ECA33CF" w14:textId="77777777" w:rsidR="004B4610" w:rsidRDefault="00000000">
      <w:pPr>
        <w:pStyle w:val="Heading3"/>
      </w:pPr>
      <w:r>
        <w:rPr>
          <w:rFonts w:ascii="Times New Roman" w:eastAsia="Times New Roman" w:hAnsi="Times New Roman"/>
        </w:rPr>
        <w:t>Experiment 3 — Leyden Jars Connected vs. Disconnected</w:t>
      </w:r>
    </w:p>
    <w:p w14:paraId="3E326C08" w14:textId="77777777" w:rsidR="004B4610" w:rsidRDefault="00000000" w:rsidP="00773607">
      <w:pPr>
        <w:pStyle w:val="ListNumber"/>
        <w:numPr>
          <w:ilvl w:val="0"/>
          <w:numId w:val="13"/>
        </w:numPr>
      </w:pPr>
      <w:r>
        <w:t>Operate the machine with Leyden jars connected and record spark appearance, sound, frequency, and maximum repeatable gap.</w:t>
      </w:r>
    </w:p>
    <w:p w14:paraId="2F6754F6" w14:textId="77777777" w:rsidR="004B4610" w:rsidRDefault="00000000">
      <w:pPr>
        <w:pStyle w:val="ListNumber"/>
      </w:pPr>
      <w:r>
        <w:lastRenderedPageBreak/>
        <w:t>Safely discharge the machine and disconnect the Leyden jars.</w:t>
      </w:r>
    </w:p>
    <w:p w14:paraId="2A3323FB" w14:textId="77777777" w:rsidR="004B4610" w:rsidRDefault="00000000">
      <w:pPr>
        <w:pStyle w:val="ListNumber"/>
      </w:pPr>
      <w:r>
        <w:t>Repeat under approximately the same electrode geometry and cranking conditions.</w:t>
      </w:r>
    </w:p>
    <w:p w14:paraId="06F81A05" w14:textId="77777777" w:rsidR="004B4610" w:rsidRDefault="00000000">
      <w:pPr>
        <w:pStyle w:val="ListNumber"/>
      </w:pPr>
      <w:r>
        <w:t>Compare the rapid thin blue discharge without jars with the slower, thicker, brighter spark with jars.</w:t>
      </w:r>
    </w:p>
    <w:p w14:paraId="770AF061" w14:textId="77777777" w:rsidR="004B4610" w:rsidRDefault="00000000">
      <w:pPr>
        <w:pStyle w:val="Heading3"/>
      </w:pPr>
      <w:r>
        <w:rPr>
          <w:rFonts w:ascii="Times New Roman" w:eastAsia="Times New Roman" w:hAnsi="Times New Roman"/>
        </w:rPr>
        <w:t>Experiment 4 — Spark-Gap Voltage Estimation</w:t>
      </w:r>
    </w:p>
    <w:p w14:paraId="79B4ACC6" w14:textId="77777777" w:rsidR="004B4610" w:rsidRDefault="00000000">
      <w:pPr>
        <w:jc w:val="both"/>
      </w:pPr>
      <w:r>
        <w:t>Measure the maximum repeatable electrode spacing d. Use the approximate educational air-breakdown relation V ≈ (3 kV/mm)d. Because humidity, pressure, temperature, electrode curvature, surface condition, and field nonuniformity affect breakdown, report the result as an estimate rather than a precision voltage measurement.</w:t>
      </w:r>
    </w:p>
    <w:p w14:paraId="23552B95" w14:textId="77777777" w:rsidR="004B4610" w:rsidRDefault="00000000">
      <w:pPr>
        <w:pStyle w:val="Heading3"/>
      </w:pPr>
      <w:r>
        <w:rPr>
          <w:rFonts w:ascii="Times New Roman" w:eastAsia="Times New Roman" w:hAnsi="Times New Roman"/>
        </w:rPr>
        <w:t>Experiment 5 — AM-Radio Electromagnetic Detection</w:t>
      </w:r>
    </w:p>
    <w:p w14:paraId="1575AC27" w14:textId="77777777" w:rsidR="004B4610" w:rsidRDefault="00000000" w:rsidP="00773607">
      <w:pPr>
        <w:pStyle w:val="ListNumber"/>
        <w:numPr>
          <w:ilvl w:val="0"/>
          <w:numId w:val="14"/>
        </w:numPr>
      </w:pPr>
      <w:r>
        <w:t>Place a battery-powered AM radio approximately 1–2 m from the machine and tune between stations.</w:t>
      </w:r>
    </w:p>
    <w:p w14:paraId="5E5A1069" w14:textId="77777777" w:rsidR="004B4610" w:rsidRDefault="00000000">
      <w:pPr>
        <w:pStyle w:val="ListNumber"/>
      </w:pPr>
      <w:r>
        <w:t>Operate the disks and identify the strong repetitive interference associated with brush/sector motion.</w:t>
      </w:r>
    </w:p>
    <w:p w14:paraId="4034677C" w14:textId="77777777" w:rsidR="004B4610" w:rsidRDefault="00000000">
      <w:pPr>
        <w:pStyle w:val="ListNumber"/>
      </w:pPr>
      <w:r>
        <w:t>Repeat without Leyden jars and compare the received noise.</w:t>
      </w:r>
    </w:p>
    <w:p w14:paraId="3572C3A2" w14:textId="77777777" w:rsidR="004B4610" w:rsidRDefault="00000000">
      <w:pPr>
        <w:pStyle w:val="ListNumber"/>
      </w:pPr>
      <w:r>
        <w:t>With Leyden jars connected, move the electrodes far enough apart that no automatic spark occurs. Rotate the disks several turns to charge the jars.</w:t>
      </w:r>
    </w:p>
    <w:p w14:paraId="0EC7F18D" w14:textId="77777777" w:rsidR="004B4610" w:rsidRDefault="00000000">
      <w:pPr>
        <w:pStyle w:val="ListNumber"/>
      </w:pPr>
      <w:r>
        <w:t>Stop rotation completely so brush/sector interference ceases.</w:t>
      </w:r>
    </w:p>
    <w:p w14:paraId="278A5D94" w14:textId="77777777" w:rsidR="004B4610" w:rsidRDefault="00000000">
      <w:pPr>
        <w:pStyle w:val="ListNumber"/>
      </w:pPr>
      <w:r>
        <w:t>Deliberately discharge the stored charge with a metallic conductor and listen for a sharp radio transient coincident with the spark.</w:t>
      </w:r>
    </w:p>
    <w:p w14:paraId="0234C8D1" w14:textId="77777777" w:rsidR="004B4610" w:rsidRDefault="00000000">
      <w:pPr>
        <w:pStyle w:val="Heading2"/>
      </w:pPr>
      <w:r>
        <w:rPr>
          <w:rFonts w:ascii="Times New Roman" w:eastAsia="Times New Roman" w:hAnsi="Times New Roman"/>
        </w:rPr>
        <w:lastRenderedPageBreak/>
        <w:t>Detailed Wimshurst Machine Diagram</w:t>
      </w:r>
    </w:p>
    <w:p w14:paraId="3E08A96E" w14:textId="77777777" w:rsidR="004B4610" w:rsidRDefault="00C576D6">
      <w:pPr>
        <w:jc w:val="center"/>
      </w:pPr>
      <w:r>
        <w:fldChar w:fldCharType="begin"/>
      </w:r>
      <w:r>
        <w:instrText xml:space="preserve"> INCLUDEPICTURE "https://rimstar.org/science_electronics_projects/wimshurst_machine/wimshurst_machine_diagram_front_parts.jpg" \* MERGEFORMATINET </w:instrText>
      </w:r>
      <w:r>
        <w:fldChar w:fldCharType="separate"/>
      </w:r>
      <w:r>
        <w:rPr>
          <w:noProof/>
        </w:rPr>
        <w:drawing>
          <wp:inline distT="0" distB="0" distL="0" distR="0" wp14:anchorId="2D5C93E5" wp14:editId="59068BD7">
            <wp:extent cx="4512656" cy="4127386"/>
            <wp:effectExtent l="0" t="0" r="0" b="635"/>
            <wp:docPr id="176022358" name="Picture 1" descr="Wimshurst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mshurst machine"/>
                    <pic:cNvPicPr>
                      <a:picLocks noChangeAspect="1" noChangeArrowheads="1"/>
                    </pic:cNvPicPr>
                  </pic:nvPicPr>
                  <pic:blipFill rotWithShape="1">
                    <a:blip r:embed="rId8">
                      <a:extLst>
                        <a:ext uri="{28A0092B-C50C-407E-A947-70E740481C1C}">
                          <a14:useLocalDpi xmlns:a14="http://schemas.microsoft.com/office/drawing/2010/main" val="0"/>
                        </a:ext>
                      </a:extLst>
                    </a:blip>
                    <a:srcRect b="15421"/>
                    <a:stretch>
                      <a:fillRect/>
                    </a:stretch>
                  </pic:blipFill>
                  <pic:spPr bwMode="auto">
                    <a:xfrm>
                      <a:off x="0" y="0"/>
                      <a:ext cx="4527643" cy="4141094"/>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D58C0F2" w14:textId="77777777" w:rsidR="004B4610" w:rsidRDefault="00000000">
      <w:pPr>
        <w:jc w:val="center"/>
      </w:pPr>
      <w:r>
        <w:rPr>
          <w:i/>
        </w:rPr>
        <w:t>Figure 1. Labeled Wimshurst machine components from the prior project report.</w:t>
      </w:r>
    </w:p>
    <w:p w14:paraId="00EEE88C" w14:textId="77777777" w:rsidR="004B4610" w:rsidRDefault="00000000">
      <w:r>
        <w:br w:type="page"/>
      </w:r>
    </w:p>
    <w:p w14:paraId="685BF43C" w14:textId="77777777" w:rsidR="004B4610" w:rsidRDefault="00000000">
      <w:pPr>
        <w:pStyle w:val="Heading1"/>
        <w:jc w:val="center"/>
      </w:pPr>
      <w:r>
        <w:rPr>
          <w:rFonts w:ascii="Times New Roman" w:hAnsi="Times New Roman"/>
        </w:rPr>
        <w:lastRenderedPageBreak/>
        <w:t>RESULTS &amp; DATA</w:t>
      </w:r>
    </w:p>
    <w:p w14:paraId="2AB5968A" w14:textId="77777777" w:rsidR="004B4610" w:rsidRDefault="004B4610">
      <w:pPr>
        <w:jc w:val="center"/>
      </w:pPr>
    </w:p>
    <w:p w14:paraId="135CEAED" w14:textId="77777777" w:rsidR="00DB6854" w:rsidRDefault="00000000">
      <w:r>
        <w:rPr>
          <w:b/>
        </w:rPr>
        <w:t>DISCUSSION</w:t>
      </w:r>
    </w:p>
    <w:p w14:paraId="6EAD41D0" w14:textId="77777777" w:rsidR="004B4610" w:rsidRDefault="00000000">
      <w:pPr>
        <w:pStyle w:val="Heading2"/>
      </w:pPr>
      <w:r>
        <w:rPr>
          <w:rFonts w:ascii="Times New Roman" w:eastAsia="Times New Roman" w:hAnsi="Times New Roman"/>
        </w:rPr>
        <w:t>1. Electrostatic Theory and Charge Density</w:t>
      </w:r>
    </w:p>
    <w:p w14:paraId="07C2BFDA" w14:textId="77777777" w:rsidR="004B4610" w:rsidRDefault="00000000">
      <w:pPr>
        <w:jc w:val="both"/>
      </w:pPr>
      <w:r>
        <w:t>The experimental observations are consistent with the sequence charge accumulation → surface charge density → electric field → potential difference → air breakdown → spark. Surface charge density is represented by σ = Q/A. Concentrating charge on a smaller conductive area increases surface charge density and can produce a stronger local electric field. Electrode curvature therefore matters: the field becomes especially intense near small-radius surfaces and points.</w:t>
      </w:r>
    </w:p>
    <w:p w14:paraId="5546C844" w14:textId="77777777" w:rsidR="004B4610" w:rsidRDefault="00000000">
      <w:pPr>
        <w:jc w:val="both"/>
      </w:pPr>
      <w:r>
        <w:t>Capacitance is described by Q = CV, or V = Q/C. This relation is central to the Leyden-jar comparison. The Leyden jars increase effective capacitance, allowing substantially more charge to be accumulated before the terminal voltage reaches breakdown. Capacitor energy is E = 1/2 CV², so at a similar breakdown voltage, greater capacitance means much more stored energy is available to the spark.</w:t>
      </w:r>
    </w:p>
    <w:p w14:paraId="177DA9C7" w14:textId="77777777" w:rsidR="004B4610" w:rsidRDefault="00000000">
      <w:pPr>
        <w:pStyle w:val="Heading2"/>
      </w:pPr>
      <w:r>
        <w:rPr>
          <w:rFonts w:ascii="Times New Roman" w:eastAsia="Times New Roman" w:hAnsi="Times New Roman"/>
        </w:rPr>
        <w:t>2. Styrofoam-Ball Electrostatic Force Experiment</w:t>
      </w:r>
    </w:p>
    <w:p w14:paraId="4AE6FF4C" w14:textId="77777777" w:rsidR="004B4610" w:rsidRDefault="00000000">
      <w:pPr>
        <w:jc w:val="both"/>
      </w:pPr>
      <w:r>
        <w:t>The initially neutral Styrofoam ball was attracted to a charged terminal. The electric field polarized the ball so that opposite charge was effectively closer to the terminal than like charge, producing a net attractive force. After the ball touched the terminal, charge transferred by conduction. The ball then carried the same polarity as that terminal and was repelled. It could subsequently be attracted to the opposite terminal, touch it, change net charge, and be repelled again.</w:t>
      </w:r>
    </w:p>
    <w:p w14:paraId="1ADCF5CE" w14:textId="77777777" w:rsidR="004B4610" w:rsidRDefault="00000000">
      <w:pPr>
        <w:jc w:val="both"/>
      </w:pPr>
      <w:r>
        <w:t xml:space="preserve">The experiment also produced an unexpected polarity-dependent asymmetry: the Styrofoam ball was attracted more strongly toward one electrode, while repulsion tended to dominate at the other. Expanded polystyrene is a very good insulator, so charge transferred to its surface </w:t>
      </w:r>
      <w:r>
        <w:lastRenderedPageBreak/>
        <w:t>can remain localized for a significant time. A persistent net charge can therefore strengthen attraction to the opposite polarity and repulsion from the same polarity. However, this observation does not by itself prove an intrinsic polarity preference of polystyrene; electrode geometry, leakage, humidity, prior contact, and other asymmetries may also contribute. The result is therefore recorded as an experimentally observed asymmetry with a retained-charge hypothesis requiring further controlled testing.</w:t>
      </w:r>
      <w:r>
        <w:br/>
      </w:r>
      <w:r>
        <w:br/>
        <w:t>Overall, the Styrofoam experiment demonstrates that a Wimshurst machine can produce a strong electrostatic force on a very light object even though its continuous current is extremely small. The force is related to Coulomb's law, F = k|q₁q₂|/r², where k ≈ 8.99 × 10⁹ N·m²/C².</w:t>
      </w:r>
    </w:p>
    <w:p w14:paraId="29CEA898" w14:textId="77777777" w:rsidR="004B4610" w:rsidRDefault="00000000">
      <w:pPr>
        <w:pStyle w:val="Heading2"/>
      </w:pPr>
      <w:r>
        <w:rPr>
          <w:rFonts w:ascii="Times New Roman" w:eastAsia="Times New Roman" w:hAnsi="Times New Roman"/>
        </w:rPr>
        <w:t>3. Metallic-Lead Electrostatic Shuttle and Orbital Motion</w:t>
      </w:r>
    </w:p>
    <w:p w14:paraId="78269101" w14:textId="77777777" w:rsidR="004B4610" w:rsidRDefault="00000000">
      <w:r>
        <w:t>A freely suspended metallic lead behaved differently from the insulating Styrofoam ball because charge can redistribute readily over a conductor. The lead was attracted toward an electrode, could acquire charge by contact, was then repelled, and moved toward the opposite electrode. Repeated charge transfer produced sustained oscillation between the two sides.</w:t>
      </w:r>
    </w:p>
    <w:p w14:paraId="7A95BFA2" w14:textId="77777777" w:rsidR="004B4610" w:rsidRDefault="00000000">
      <w:r>
        <w:t>When the suspended lead was given an initial circular motion around the electrode region, the motion could continue while the Wimshurst machine operated. The most useful interpretation is electrostatic-motor-like action: attraction, charge transfer, and repulsion provide mechanical impulses that can replenish some of the energy lost to air drag and suspension friction. The motion is not self-powered; the energy originates in the mechanical work used to rotate the Wimshurst disks and is transferred through the electric field back into mechanical motion of the lead.</w:t>
      </w:r>
    </w:p>
    <w:p w14:paraId="5DE595D2" w14:textId="77777777" w:rsidR="004B4610" w:rsidRDefault="00000000">
      <w:pPr>
        <w:pStyle w:val="Heading2"/>
      </w:pPr>
      <w:r>
        <w:rPr>
          <w:rFonts w:ascii="Times New Roman" w:eastAsia="Times New Roman" w:hAnsi="Times New Roman"/>
        </w:rPr>
        <w:lastRenderedPageBreak/>
        <w:t>Neon-Lamp Direct and Air-Gap Streamer Experiment</w:t>
      </w:r>
    </w:p>
    <w:p w14:paraId="4BB18FC0" w14:textId="77777777" w:rsidR="004B4610" w:rsidRDefault="00000000">
      <w:r>
        <w:t>With both neon-lamp leads connected to the two Wimshurst output electrodes, the lamp glowed orange near the ends of its internal electrodes as the disks rotated. This confirmed that the generator could establish sufficient electric field within the low-pressure neon gas to produce a glow discharge.</w:t>
      </w:r>
    </w:p>
    <w:p w14:paraId="75E49941" w14:textId="77777777" w:rsidR="004B4610" w:rsidRDefault="00000000">
      <w:r>
        <w:t>A more surprising result occurred when one alligator clip was pulled away from its neon-lamp lead. The entire bulb glowed a much brighter orange color. Closer observation revealed a thin arcing streamer jumping continuously or repeatedly across the small air gap between the alligator clip and the disconnected lamp lead. The circuit was therefore not truly open. The Wimshurst voltage raised the electric field across this small gap until the air ionized and formed a conductive plasma path. Charge could then pass through the streamer and through the neon lamp.</w:t>
      </w:r>
    </w:p>
    <w:p w14:paraId="5DD85104" w14:textId="77777777" w:rsidR="004B4610" w:rsidRDefault="00000000">
      <w:r>
        <w:t>The clip-to-lead gap therefore acts as a second spark gap in series with the neon lamp. Voltage builds until the air gap reaches breakdown, a streamer forms, current flows through the lamp, the voltage falls, and the streamer weakens or extinguishes; the charging process then repeats. The observed streamer establishes that the separated connection is not truly open, but the reason the lamp becomes much brighter is not yet experimentally proven. The primary working hypothesis is that the air gap behaves as a nonlinear, voltage-triggered switch and creates a relaxation-discharge cycle. During the nonconducting interval, charge and electric-field energy can accumulate; when breakdown occurs, that stored energy is released as a short pulse through the plasma streamer and neon lamp. These pulses may provide higher peak electric-field/current excitation of the low-pressure neon than the more continuously loaded direct two-lead connection, making a larger volume of gas glow more intensely even though no additional energy source has been created.</w:t>
      </w:r>
    </w:p>
    <w:p w14:paraId="4EA8F0C7" w14:textId="77777777" w:rsidR="00DB6854" w:rsidRDefault="00000000">
      <w:r>
        <w:lastRenderedPageBreak/>
        <w:t>A secondary hypothesis is that the plasma streamer’s rapidly changing electric and magnetic fields may also couple energy into or otherwise assist excitation of the neon gas. The project’s AM-radio experiment independently demonstrated that a Leyden-jar spark produces a detectable electromagnetic transient, so such fields are physically present. However, the present neon-lamp observation does not distinguish direct electromagnetic-field excitation from the pulsed-conduction/relaxation mechanism. Because there is no time for an additional controlled experiment, the report records these as hypotheses rather than established conclusions. Energy conservation remains unchanged: all energy ultimately originates in the mechanical work used to rotate the Wimshurst machine and in electrical energy temporarily stored in its capacitance and electric field.</w:t>
      </w:r>
    </w:p>
    <w:p w14:paraId="4229D277" w14:textId="77777777" w:rsidR="004B4610" w:rsidRDefault="00000000">
      <w:pPr>
        <w:pStyle w:val="Heading2"/>
      </w:pPr>
      <w:r>
        <w:rPr>
          <w:rFonts w:ascii="Times New Roman" w:eastAsia="Times New Roman" w:hAnsi="Times New Roman"/>
        </w:rPr>
        <w:t>5. Spark and Leyden-Jar Investigation</w:t>
      </w:r>
    </w:p>
    <w:p w14:paraId="597C06B5" w14:textId="77777777" w:rsidR="004B4610" w:rsidRDefault="00000000">
      <w:pPr>
        <w:jc w:val="both"/>
      </w:pPr>
      <w:r>
        <w:t>With the Leyden jars connected, the machine produced the familiar bright, energetic spark: relatively thick, bright, and accompanied by a sharp audible snap. After the jars were safely disconnected, the discharge changed dramatically to a rapid, thin blue stream. The most useful explanation is the change in effective capacitance. Without the jars, much less charge is required to raise the output to air-breakdown potential, so breakdown occurs more frequently, but each discharge contains much less stored energy.</w:t>
      </w:r>
    </w:p>
    <w:tbl>
      <w:tblPr>
        <w:tblStyle w:val="TableGrid"/>
        <w:tblW w:w="0" w:type="auto"/>
        <w:jc w:val="center"/>
        <w:tblLook w:val="04A0" w:firstRow="1" w:lastRow="0" w:firstColumn="1" w:lastColumn="0" w:noHBand="0" w:noVBand="1"/>
      </w:tblPr>
      <w:tblGrid>
        <w:gridCol w:w="3086"/>
        <w:gridCol w:w="3070"/>
        <w:gridCol w:w="3086"/>
      </w:tblGrid>
      <w:tr w:rsidR="004B4610" w14:paraId="215A018D" w14:textId="77777777">
        <w:trPr>
          <w:jc w:val="center"/>
        </w:trPr>
        <w:tc>
          <w:tcPr>
            <w:tcW w:w="3137" w:type="dxa"/>
            <w:shd w:val="clear" w:color="auto" w:fill="D9EAF7"/>
            <w:vAlign w:val="center"/>
          </w:tcPr>
          <w:p w14:paraId="061A21AD" w14:textId="77777777" w:rsidR="004B4610" w:rsidRDefault="00000000">
            <w:r>
              <w:rPr>
                <w:b/>
              </w:rPr>
              <w:t>Configuration</w:t>
            </w:r>
          </w:p>
        </w:tc>
        <w:tc>
          <w:tcPr>
            <w:tcW w:w="3137" w:type="dxa"/>
            <w:shd w:val="clear" w:color="auto" w:fill="D9EAF7"/>
            <w:vAlign w:val="center"/>
          </w:tcPr>
          <w:p w14:paraId="338AAE1C" w14:textId="77777777" w:rsidR="004B4610" w:rsidRDefault="00000000">
            <w:r>
              <w:rPr>
                <w:b/>
              </w:rPr>
              <w:t>Observed discharge</w:t>
            </w:r>
          </w:p>
        </w:tc>
        <w:tc>
          <w:tcPr>
            <w:tcW w:w="3137" w:type="dxa"/>
            <w:shd w:val="clear" w:color="auto" w:fill="D9EAF7"/>
            <w:vAlign w:val="center"/>
          </w:tcPr>
          <w:p w14:paraId="6A462DDA" w14:textId="77777777" w:rsidR="004B4610" w:rsidRDefault="00000000">
            <w:r>
              <w:rPr>
                <w:b/>
              </w:rPr>
              <w:t>Interpretation</w:t>
            </w:r>
          </w:p>
        </w:tc>
      </w:tr>
      <w:tr w:rsidR="004B4610" w14:paraId="6676F7F3" w14:textId="77777777">
        <w:trPr>
          <w:jc w:val="center"/>
        </w:trPr>
        <w:tc>
          <w:tcPr>
            <w:tcW w:w="3137" w:type="dxa"/>
            <w:vAlign w:val="center"/>
          </w:tcPr>
          <w:p w14:paraId="14FA53A5" w14:textId="77777777" w:rsidR="004B4610" w:rsidRDefault="00000000">
            <w:r>
              <w:t>Leyden jars connected</w:t>
            </w:r>
          </w:p>
        </w:tc>
        <w:tc>
          <w:tcPr>
            <w:tcW w:w="3137" w:type="dxa"/>
            <w:vAlign w:val="center"/>
          </w:tcPr>
          <w:p w14:paraId="6267971D" w14:textId="77777777" w:rsidR="004B4610" w:rsidRDefault="00000000">
            <w:r>
              <w:t>Slower, thicker, brighter, louder sparks</w:t>
            </w:r>
          </w:p>
        </w:tc>
        <w:tc>
          <w:tcPr>
            <w:tcW w:w="3137" w:type="dxa"/>
            <w:vAlign w:val="center"/>
          </w:tcPr>
          <w:p w14:paraId="3B1D19E3" w14:textId="77777777" w:rsidR="004B4610" w:rsidRDefault="00000000">
            <w:r>
              <w:t>Higher capacitance stores more charge and energy before breakdown.</w:t>
            </w:r>
          </w:p>
        </w:tc>
      </w:tr>
      <w:tr w:rsidR="004B4610" w14:paraId="1F0C5C21" w14:textId="77777777">
        <w:trPr>
          <w:jc w:val="center"/>
        </w:trPr>
        <w:tc>
          <w:tcPr>
            <w:tcW w:w="3137" w:type="dxa"/>
            <w:vAlign w:val="center"/>
          </w:tcPr>
          <w:p w14:paraId="7D1300FC" w14:textId="77777777" w:rsidR="004B4610" w:rsidRDefault="00000000">
            <w:r>
              <w:t>Leyden jars disconnected</w:t>
            </w:r>
          </w:p>
        </w:tc>
        <w:tc>
          <w:tcPr>
            <w:tcW w:w="3137" w:type="dxa"/>
            <w:vAlign w:val="center"/>
          </w:tcPr>
          <w:p w14:paraId="5D19D056" w14:textId="77777777" w:rsidR="004B4610" w:rsidRDefault="00000000">
            <w:r>
              <w:t>Rapid, thin blue discharge</w:t>
            </w:r>
          </w:p>
        </w:tc>
        <w:tc>
          <w:tcPr>
            <w:tcW w:w="3137" w:type="dxa"/>
            <w:vAlign w:val="center"/>
          </w:tcPr>
          <w:p w14:paraId="425A58C5" w14:textId="77777777" w:rsidR="004B4610" w:rsidRDefault="00000000">
            <w:r>
              <w:t xml:space="preserve">Lower capacitance reaches breakdown with less accumulated charge; energy </w:t>
            </w:r>
            <w:r>
              <w:lastRenderedPageBreak/>
              <w:t>per discharge is smaller.</w:t>
            </w:r>
          </w:p>
        </w:tc>
      </w:tr>
    </w:tbl>
    <w:p w14:paraId="38371A4E" w14:textId="77777777" w:rsidR="004B4610" w:rsidRDefault="00000000">
      <w:pPr>
        <w:jc w:val="center"/>
      </w:pPr>
      <w:r>
        <w:rPr>
          <w:noProof/>
        </w:rPr>
        <w:lastRenderedPageBreak/>
        <w:drawing>
          <wp:inline distT="0" distB="0" distL="0" distR="0" wp14:anchorId="03A36964" wp14:editId="2F0EC479">
            <wp:extent cx="3780000" cy="24580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_image3.jpg"/>
                    <pic:cNvPicPr/>
                  </pic:nvPicPr>
                  <pic:blipFill>
                    <a:blip r:embed="rId9"/>
                    <a:stretch>
                      <a:fillRect/>
                    </a:stretch>
                  </pic:blipFill>
                  <pic:spPr>
                    <a:xfrm>
                      <a:off x="0" y="0"/>
                      <a:ext cx="3780000" cy="2458033"/>
                    </a:xfrm>
                    <a:prstGeom prst="rect">
                      <a:avLst/>
                    </a:prstGeom>
                  </pic:spPr>
                </pic:pic>
              </a:graphicData>
            </a:graphic>
          </wp:inline>
        </w:drawing>
      </w:r>
    </w:p>
    <w:p w14:paraId="34F904A5" w14:textId="77777777" w:rsidR="004B4610" w:rsidRDefault="00000000">
      <w:pPr>
        <w:jc w:val="center"/>
      </w:pPr>
      <w:r>
        <w:rPr>
          <w:i/>
        </w:rPr>
        <w:t>Figure 2. Supplied project photograph of the Wimshurst spark discharge.</w:t>
      </w:r>
    </w:p>
    <w:p w14:paraId="5033ED68" w14:textId="77777777" w:rsidR="004B4610" w:rsidRDefault="00000000">
      <w:pPr>
        <w:pStyle w:val="Heading2"/>
      </w:pPr>
      <w:r>
        <w:rPr>
          <w:rFonts w:ascii="Times New Roman" w:eastAsia="Times New Roman" w:hAnsi="Times New Roman"/>
        </w:rPr>
        <w:t>6. Spark-Gap Voltage Estimation and Why Direct Measurement Was Not Used</w:t>
      </w:r>
    </w:p>
    <w:p w14:paraId="732782D9" w14:textId="77777777" w:rsidR="004B4610" w:rsidRDefault="00000000">
      <w:pPr>
        <w:jc w:val="both"/>
      </w:pPr>
      <w:r>
        <w:t>The maximum repeatable spark gap was selected as the most practical quantitative indicator of voltage. For an educational estimate, dry air is often approximated as breaking down near 3 kV/mm. Therefore, a repeatable 10 mm spark gap gives V ≈ 3 kV/mm × 10 mm ≈ 30 kV. The result must be presented as approximate because breakdown depends on atmospheric and electrode conditions.</w:t>
      </w:r>
    </w:p>
    <w:p w14:paraId="4DD3B764" w14:textId="77777777" w:rsidR="004B4610" w:rsidRDefault="00000000">
      <w:pPr>
        <w:jc w:val="both"/>
      </w:pPr>
      <w:r>
        <w:t>An ordinary digital voltmeter is not suitable because the Wimshurst voltage can greatly exceed its insulation and input ratings. In addition, the machine is a very-high-impedance source, so the finite input resistance and capacitance of an ordinary meter can substantially load the source and alter the voltage being measured. A standard oscilloscope is also inappropriate: normal probes are not rated for tens of kilovolts, and many oscilloscope ground clips are connected to protective earth, which can create a dangerous discharge path or short one side of a floating electrostatic source.</w:t>
      </w:r>
    </w:p>
    <w:p w14:paraId="4E2F5B35" w14:textId="77777777" w:rsidR="004B4610" w:rsidRDefault="00000000">
      <w:pPr>
        <w:jc w:val="both"/>
      </w:pPr>
      <w:r>
        <w:t xml:space="preserve">A properly designed high-voltage divider or specialized electrostatic voltmeter could measure the voltage more directly, but such equipment was not available within the project schedule. </w:t>
      </w:r>
      <w:r>
        <w:lastRenderedPageBreak/>
        <w:t>For this investigation, the air gap is satisfactory because air breakdown is itself the physical event being studied, requires no direct electrical connection to the generator, and gives an order-of-magnitude estimate appropriate to the experiment.</w:t>
      </w:r>
    </w:p>
    <w:p w14:paraId="09CADEF8" w14:textId="77777777" w:rsidR="004B4610" w:rsidRDefault="00000000">
      <w:pPr>
        <w:pStyle w:val="Heading2"/>
      </w:pPr>
      <w:r>
        <w:rPr>
          <w:rFonts w:ascii="Times New Roman" w:eastAsia="Times New Roman" w:hAnsi="Times New Roman"/>
        </w:rPr>
        <w:t>7. Voltage, Current, and Power</w:t>
      </w:r>
    </w:p>
    <w:p w14:paraId="46D873FC" w14:textId="77777777" w:rsidR="004B4610" w:rsidRDefault="00000000">
      <w:pPr>
        <w:jc w:val="both"/>
      </w:pPr>
      <w:r>
        <w:t>High voltage does not by itself imply high power. Electrical power is P = VI. Current must be converted to amperes before calculation. For example, if the generator is operating at an estimated 30,000 V and an average current of 10 µA, then 10 µA = 0.000010 A and P = 30,000 × 0.000010 = 0.30 W.</w:t>
      </w:r>
    </w:p>
    <w:tbl>
      <w:tblPr>
        <w:tblStyle w:val="TableGrid"/>
        <w:tblW w:w="0" w:type="auto"/>
        <w:jc w:val="center"/>
        <w:tblLook w:val="04A0" w:firstRow="1" w:lastRow="0" w:firstColumn="1" w:lastColumn="0" w:noHBand="0" w:noVBand="1"/>
      </w:tblPr>
      <w:tblGrid>
        <w:gridCol w:w="3079"/>
        <w:gridCol w:w="3082"/>
        <w:gridCol w:w="3081"/>
      </w:tblGrid>
      <w:tr w:rsidR="004B4610" w14:paraId="1C9B5A04" w14:textId="77777777">
        <w:trPr>
          <w:jc w:val="center"/>
        </w:trPr>
        <w:tc>
          <w:tcPr>
            <w:tcW w:w="3137" w:type="dxa"/>
            <w:shd w:val="clear" w:color="auto" w:fill="D9EAF7"/>
            <w:vAlign w:val="center"/>
          </w:tcPr>
          <w:p w14:paraId="78E6649C" w14:textId="77777777" w:rsidR="004B4610" w:rsidRDefault="00000000">
            <w:r>
              <w:rPr>
                <w:b/>
              </w:rPr>
              <w:t>Estimated voltage</w:t>
            </w:r>
          </w:p>
        </w:tc>
        <w:tc>
          <w:tcPr>
            <w:tcW w:w="3137" w:type="dxa"/>
            <w:shd w:val="clear" w:color="auto" w:fill="D9EAF7"/>
            <w:vAlign w:val="center"/>
          </w:tcPr>
          <w:p w14:paraId="39AE9B40" w14:textId="77777777" w:rsidR="004B4610" w:rsidRDefault="00000000">
            <w:r>
              <w:rPr>
                <w:b/>
              </w:rPr>
              <w:t>Illustrative average current</w:t>
            </w:r>
          </w:p>
        </w:tc>
        <w:tc>
          <w:tcPr>
            <w:tcW w:w="3137" w:type="dxa"/>
            <w:shd w:val="clear" w:color="auto" w:fill="D9EAF7"/>
            <w:vAlign w:val="center"/>
          </w:tcPr>
          <w:p w14:paraId="7A86B359" w14:textId="77777777" w:rsidR="004B4610" w:rsidRDefault="00000000">
            <w:r>
              <w:rPr>
                <w:b/>
              </w:rPr>
              <w:t>Calculated average power</w:t>
            </w:r>
          </w:p>
        </w:tc>
      </w:tr>
      <w:tr w:rsidR="004B4610" w14:paraId="13E64035" w14:textId="77777777">
        <w:trPr>
          <w:jc w:val="center"/>
        </w:trPr>
        <w:tc>
          <w:tcPr>
            <w:tcW w:w="3137" w:type="dxa"/>
            <w:vAlign w:val="center"/>
          </w:tcPr>
          <w:p w14:paraId="0ED90886" w14:textId="77777777" w:rsidR="004B4610" w:rsidRDefault="00000000">
            <w:r>
              <w:t>10 kV</w:t>
            </w:r>
          </w:p>
        </w:tc>
        <w:tc>
          <w:tcPr>
            <w:tcW w:w="3137" w:type="dxa"/>
            <w:vAlign w:val="center"/>
          </w:tcPr>
          <w:p w14:paraId="3728B194" w14:textId="77777777" w:rsidR="004B4610" w:rsidRDefault="00000000">
            <w:r>
              <w:t>5 µA</w:t>
            </w:r>
          </w:p>
        </w:tc>
        <w:tc>
          <w:tcPr>
            <w:tcW w:w="3137" w:type="dxa"/>
            <w:vAlign w:val="center"/>
          </w:tcPr>
          <w:p w14:paraId="2F315DBF" w14:textId="77777777" w:rsidR="004B4610" w:rsidRDefault="00000000">
            <w:r>
              <w:t>0.05 W</w:t>
            </w:r>
          </w:p>
        </w:tc>
      </w:tr>
      <w:tr w:rsidR="004B4610" w14:paraId="253F1617" w14:textId="77777777">
        <w:trPr>
          <w:jc w:val="center"/>
        </w:trPr>
        <w:tc>
          <w:tcPr>
            <w:tcW w:w="3137" w:type="dxa"/>
            <w:vAlign w:val="center"/>
          </w:tcPr>
          <w:p w14:paraId="0339E03D" w14:textId="77777777" w:rsidR="004B4610" w:rsidRDefault="00000000">
            <w:r>
              <w:t>20 kV</w:t>
            </w:r>
          </w:p>
        </w:tc>
        <w:tc>
          <w:tcPr>
            <w:tcW w:w="3137" w:type="dxa"/>
            <w:vAlign w:val="center"/>
          </w:tcPr>
          <w:p w14:paraId="5E5C335D" w14:textId="77777777" w:rsidR="004B4610" w:rsidRDefault="00000000">
            <w:r>
              <w:t>10 µA</w:t>
            </w:r>
          </w:p>
        </w:tc>
        <w:tc>
          <w:tcPr>
            <w:tcW w:w="3137" w:type="dxa"/>
            <w:vAlign w:val="center"/>
          </w:tcPr>
          <w:p w14:paraId="122B6144" w14:textId="77777777" w:rsidR="004B4610" w:rsidRDefault="00000000">
            <w:r>
              <w:t>0.20 W</w:t>
            </w:r>
          </w:p>
        </w:tc>
      </w:tr>
      <w:tr w:rsidR="004B4610" w14:paraId="26FB7303" w14:textId="77777777">
        <w:trPr>
          <w:jc w:val="center"/>
        </w:trPr>
        <w:tc>
          <w:tcPr>
            <w:tcW w:w="3137" w:type="dxa"/>
            <w:vAlign w:val="center"/>
          </w:tcPr>
          <w:p w14:paraId="003F4687" w14:textId="77777777" w:rsidR="004B4610" w:rsidRDefault="00000000">
            <w:r>
              <w:t>30 kV</w:t>
            </w:r>
          </w:p>
        </w:tc>
        <w:tc>
          <w:tcPr>
            <w:tcW w:w="3137" w:type="dxa"/>
            <w:vAlign w:val="center"/>
          </w:tcPr>
          <w:p w14:paraId="1681582D" w14:textId="77777777" w:rsidR="004B4610" w:rsidRDefault="00000000">
            <w:r>
              <w:t>10 µA</w:t>
            </w:r>
          </w:p>
        </w:tc>
        <w:tc>
          <w:tcPr>
            <w:tcW w:w="3137" w:type="dxa"/>
            <w:vAlign w:val="center"/>
          </w:tcPr>
          <w:p w14:paraId="7B20737D" w14:textId="77777777" w:rsidR="004B4610" w:rsidRDefault="00000000">
            <w:r>
              <w:t>0.30 W</w:t>
            </w:r>
          </w:p>
        </w:tc>
      </w:tr>
      <w:tr w:rsidR="004B4610" w14:paraId="7BD2FD67" w14:textId="77777777">
        <w:trPr>
          <w:jc w:val="center"/>
        </w:trPr>
        <w:tc>
          <w:tcPr>
            <w:tcW w:w="3137" w:type="dxa"/>
            <w:vAlign w:val="center"/>
          </w:tcPr>
          <w:p w14:paraId="1777F5A9" w14:textId="77777777" w:rsidR="004B4610" w:rsidRDefault="00000000">
            <w:r>
              <w:t>30 kV</w:t>
            </w:r>
          </w:p>
        </w:tc>
        <w:tc>
          <w:tcPr>
            <w:tcW w:w="3137" w:type="dxa"/>
            <w:vAlign w:val="center"/>
          </w:tcPr>
          <w:p w14:paraId="70181761" w14:textId="77777777" w:rsidR="004B4610" w:rsidRDefault="00000000">
            <w:r>
              <w:t>20 µA</w:t>
            </w:r>
          </w:p>
        </w:tc>
        <w:tc>
          <w:tcPr>
            <w:tcW w:w="3137" w:type="dxa"/>
            <w:vAlign w:val="center"/>
          </w:tcPr>
          <w:p w14:paraId="6745CCE9" w14:textId="77777777" w:rsidR="004B4610" w:rsidRDefault="00000000">
            <w:r>
              <w:t>0.60 W</w:t>
            </w:r>
          </w:p>
        </w:tc>
      </w:tr>
      <w:tr w:rsidR="004B4610" w14:paraId="7BD4345C" w14:textId="77777777">
        <w:trPr>
          <w:jc w:val="center"/>
        </w:trPr>
        <w:tc>
          <w:tcPr>
            <w:tcW w:w="3137" w:type="dxa"/>
            <w:vAlign w:val="center"/>
          </w:tcPr>
          <w:p w14:paraId="685054CC" w14:textId="77777777" w:rsidR="004B4610" w:rsidRDefault="00000000">
            <w:r>
              <w:t>50 kV</w:t>
            </w:r>
          </w:p>
        </w:tc>
        <w:tc>
          <w:tcPr>
            <w:tcW w:w="3137" w:type="dxa"/>
            <w:vAlign w:val="center"/>
          </w:tcPr>
          <w:p w14:paraId="6CD20407" w14:textId="77777777" w:rsidR="004B4610" w:rsidRDefault="00000000">
            <w:r>
              <w:t>10 µA</w:t>
            </w:r>
          </w:p>
        </w:tc>
        <w:tc>
          <w:tcPr>
            <w:tcW w:w="3137" w:type="dxa"/>
            <w:vAlign w:val="center"/>
          </w:tcPr>
          <w:p w14:paraId="4FF16C4A" w14:textId="77777777" w:rsidR="004B4610" w:rsidRDefault="00000000">
            <w:r>
              <w:t>0.50 W</w:t>
            </w:r>
          </w:p>
        </w:tc>
      </w:tr>
    </w:tbl>
    <w:p w14:paraId="16E9B9B1" w14:textId="77777777" w:rsidR="004B4610" w:rsidRDefault="00000000">
      <w:pPr>
        <w:jc w:val="both"/>
      </w:pPr>
      <w:r>
        <w:t>These current values are illustrative unless separately measured. The calculation is included to show why a spectacular spark can coexist with modest average electrical power. The instantaneous power during a Leyden-jar spark can be much higher for a very short time because stored capacitor energy is released rapidly; that is different from the average power continuously produced by the generator.</w:t>
      </w:r>
    </w:p>
    <w:p w14:paraId="1F856FFA" w14:textId="77777777" w:rsidR="004B4610" w:rsidRDefault="00000000">
      <w:pPr>
        <w:pStyle w:val="Heading2"/>
      </w:pPr>
      <w:r>
        <w:rPr>
          <w:rFonts w:ascii="Times New Roman" w:eastAsia="Times New Roman" w:hAnsi="Times New Roman"/>
        </w:rPr>
        <w:t>8. AM-Radio Electromagnetic Emission Investigation</w:t>
      </w:r>
    </w:p>
    <w:p w14:paraId="5D2597E5" w14:textId="77777777" w:rsidR="004B4610" w:rsidRDefault="00000000">
      <w:pPr>
        <w:jc w:val="both"/>
      </w:pPr>
      <w:r>
        <w:t xml:space="preserve">The initial AM-radio test did not clearly reveal the spark discharge. Instead, the radio detected strong repetitive interference whenever the disks were rotating. The sound corresponded closely with the brushes contacting the metallic sectors, indicating that the </w:t>
      </w:r>
      <w:r>
        <w:lastRenderedPageBreak/>
        <w:t>brush-and-sector system itself was a strong source of repetitive broadband electromagnetic interference.</w:t>
      </w:r>
    </w:p>
    <w:p w14:paraId="06411060" w14:textId="77777777" w:rsidR="004B4610" w:rsidRDefault="00000000">
      <w:pPr>
        <w:jc w:val="both"/>
      </w:pPr>
      <w:r>
        <w:t>Removing the Leyden jars and producing the rapid thin blue discharge did not produce a noticeable change in the received noise. The same brush/sector interference remained dominant, so any electromagnetic contribution from the blue discharge could not be distinguished under normal rotation.</w:t>
      </w:r>
    </w:p>
    <w:p w14:paraId="091DE0BC" w14:textId="77777777" w:rsidR="004B4610" w:rsidRDefault="00000000">
      <w:pPr>
        <w:jc w:val="both"/>
      </w:pPr>
      <w:r>
        <w:t>A modified experiment successfully isolated the spark. The discharge electrodes were moved far enough apart that no automatic discharge could occur. The disks were rotated several turns to charge the Leyden jars, and rotation was then stopped. With the brushes and sectors stationary, the stored charge was deliberately discharged using a metallic ruler. At the exact moment of the spark, the AM radio produced a distinct sharp blip.</w:t>
      </w:r>
    </w:p>
    <w:p w14:paraId="5A434611" w14:textId="77777777" w:rsidR="004B4610" w:rsidRDefault="00000000">
      <w:pPr>
        <w:jc w:val="both"/>
      </w:pPr>
      <w:r>
        <w:t>This result provides positive experimental evidence that the Leyden-jar spark itself produces an electromagnetic transient. It also illustrates the scientific method: the first test produced an ambiguous result; a masking source was hypothesized; the procedure was redesigned to isolate the independent variable; and the revised test supported the hypothesis.</w:t>
      </w:r>
    </w:p>
    <w:tbl>
      <w:tblPr>
        <w:tblStyle w:val="TableGrid"/>
        <w:tblW w:w="0" w:type="auto"/>
        <w:jc w:val="center"/>
        <w:tblLook w:val="04A0" w:firstRow="1" w:lastRow="0" w:firstColumn="1" w:lastColumn="0" w:noHBand="0" w:noVBand="1"/>
      </w:tblPr>
      <w:tblGrid>
        <w:gridCol w:w="3070"/>
        <w:gridCol w:w="3091"/>
        <w:gridCol w:w="3081"/>
      </w:tblGrid>
      <w:tr w:rsidR="004B4610" w14:paraId="786AB457" w14:textId="77777777">
        <w:trPr>
          <w:jc w:val="center"/>
        </w:trPr>
        <w:tc>
          <w:tcPr>
            <w:tcW w:w="3137" w:type="dxa"/>
            <w:shd w:val="clear" w:color="auto" w:fill="D9EAF7"/>
            <w:vAlign w:val="center"/>
          </w:tcPr>
          <w:p w14:paraId="61E3D5BD" w14:textId="77777777" w:rsidR="004B4610" w:rsidRDefault="00000000">
            <w:r>
              <w:rPr>
                <w:b/>
              </w:rPr>
              <w:t>Condition</w:t>
            </w:r>
          </w:p>
        </w:tc>
        <w:tc>
          <w:tcPr>
            <w:tcW w:w="3137" w:type="dxa"/>
            <w:shd w:val="clear" w:color="auto" w:fill="D9EAF7"/>
            <w:vAlign w:val="center"/>
          </w:tcPr>
          <w:p w14:paraId="7C8B8C26" w14:textId="77777777" w:rsidR="004B4610" w:rsidRDefault="00000000">
            <w:r>
              <w:rPr>
                <w:b/>
              </w:rPr>
              <w:t>AM-radio observation</w:t>
            </w:r>
          </w:p>
        </w:tc>
        <w:tc>
          <w:tcPr>
            <w:tcW w:w="3137" w:type="dxa"/>
            <w:shd w:val="clear" w:color="auto" w:fill="D9EAF7"/>
            <w:vAlign w:val="center"/>
          </w:tcPr>
          <w:p w14:paraId="108C7B81" w14:textId="77777777" w:rsidR="004B4610" w:rsidRDefault="00000000">
            <w:r>
              <w:rPr>
                <w:b/>
              </w:rPr>
              <w:t>Conclusion</w:t>
            </w:r>
          </w:p>
        </w:tc>
      </w:tr>
      <w:tr w:rsidR="004B4610" w14:paraId="147656F8" w14:textId="77777777">
        <w:trPr>
          <w:jc w:val="center"/>
        </w:trPr>
        <w:tc>
          <w:tcPr>
            <w:tcW w:w="3137" w:type="dxa"/>
            <w:vAlign w:val="center"/>
          </w:tcPr>
          <w:p w14:paraId="30955B74" w14:textId="77777777" w:rsidR="004B4610" w:rsidRDefault="00000000">
            <w:r>
              <w:t>Disks rotating, jars connected</w:t>
            </w:r>
          </w:p>
        </w:tc>
        <w:tc>
          <w:tcPr>
            <w:tcW w:w="3137" w:type="dxa"/>
            <w:vAlign w:val="center"/>
          </w:tcPr>
          <w:p w14:paraId="6CE22F8E" w14:textId="77777777" w:rsidR="004B4610" w:rsidRDefault="00000000">
            <w:r>
              <w:t>Strong repetitive buzzing/crackling; spark not separately identifiable</w:t>
            </w:r>
          </w:p>
        </w:tc>
        <w:tc>
          <w:tcPr>
            <w:tcW w:w="3137" w:type="dxa"/>
            <w:vAlign w:val="center"/>
          </w:tcPr>
          <w:p w14:paraId="3C474030" w14:textId="77777777" w:rsidR="004B4610" w:rsidRDefault="00000000">
            <w:r>
              <w:t>Brush/sector interference masks the spark.</w:t>
            </w:r>
          </w:p>
        </w:tc>
      </w:tr>
      <w:tr w:rsidR="004B4610" w14:paraId="2B94923A" w14:textId="77777777">
        <w:trPr>
          <w:jc w:val="center"/>
        </w:trPr>
        <w:tc>
          <w:tcPr>
            <w:tcW w:w="3137" w:type="dxa"/>
            <w:vAlign w:val="center"/>
          </w:tcPr>
          <w:p w14:paraId="1AF3204B" w14:textId="77777777" w:rsidR="004B4610" w:rsidRDefault="00000000">
            <w:r>
              <w:t>Disks rotating, jars disconnected</w:t>
            </w:r>
          </w:p>
        </w:tc>
        <w:tc>
          <w:tcPr>
            <w:tcW w:w="3137" w:type="dxa"/>
            <w:vAlign w:val="center"/>
          </w:tcPr>
          <w:p w14:paraId="7C2A998F" w14:textId="77777777" w:rsidR="004B4610" w:rsidRDefault="00000000">
            <w:r>
              <w:t>No noticeable change from sector noise</w:t>
            </w:r>
          </w:p>
        </w:tc>
        <w:tc>
          <w:tcPr>
            <w:tcW w:w="3137" w:type="dxa"/>
            <w:vAlign w:val="center"/>
          </w:tcPr>
          <w:p w14:paraId="09520B9F" w14:textId="77777777" w:rsidR="004B4610" w:rsidRDefault="00000000">
            <w:r>
              <w:t>Blue discharge not distinguishable above brush/sector interference.</w:t>
            </w:r>
          </w:p>
        </w:tc>
      </w:tr>
      <w:tr w:rsidR="004B4610" w14:paraId="3941EC7C" w14:textId="77777777">
        <w:trPr>
          <w:jc w:val="center"/>
        </w:trPr>
        <w:tc>
          <w:tcPr>
            <w:tcW w:w="3137" w:type="dxa"/>
            <w:vAlign w:val="center"/>
          </w:tcPr>
          <w:p w14:paraId="7DBA8F23" w14:textId="77777777" w:rsidR="004B4610" w:rsidRDefault="00000000">
            <w:r>
              <w:t>Disks stopped after charging jars; deliberate discharge</w:t>
            </w:r>
          </w:p>
        </w:tc>
        <w:tc>
          <w:tcPr>
            <w:tcW w:w="3137" w:type="dxa"/>
            <w:vAlign w:val="center"/>
          </w:tcPr>
          <w:p w14:paraId="79122A45" w14:textId="77777777" w:rsidR="004B4610" w:rsidRDefault="00000000">
            <w:r>
              <w:t>Distinct sharp blip coincident with spark</w:t>
            </w:r>
          </w:p>
        </w:tc>
        <w:tc>
          <w:tcPr>
            <w:tcW w:w="3137" w:type="dxa"/>
            <w:vAlign w:val="center"/>
          </w:tcPr>
          <w:p w14:paraId="48ECA34F" w14:textId="77777777" w:rsidR="004B4610" w:rsidRDefault="00000000">
            <w:r>
              <w:t xml:space="preserve">Spark discharge independently produces detectable electromagnetic </w:t>
            </w:r>
            <w:r>
              <w:lastRenderedPageBreak/>
              <w:t>radiation.</w:t>
            </w:r>
          </w:p>
        </w:tc>
      </w:tr>
    </w:tbl>
    <w:p w14:paraId="311A2245" w14:textId="77777777" w:rsidR="004B4610" w:rsidRDefault="00000000">
      <w:pPr>
        <w:pStyle w:val="Heading2"/>
      </w:pPr>
      <w:r>
        <w:rPr>
          <w:rFonts w:ascii="Times New Roman" w:eastAsia="Times New Roman" w:hAnsi="Times New Roman"/>
        </w:rPr>
        <w:lastRenderedPageBreak/>
        <w:t>9. Practical Applications</w:t>
      </w:r>
    </w:p>
    <w:p w14:paraId="52A18702" w14:textId="77777777" w:rsidR="004B4610" w:rsidRDefault="00000000">
      <w:pPr>
        <w:jc w:val="both"/>
      </w:pPr>
      <w:r>
        <w:t>High electrostatic voltage has direct practical uses where voltage and electric field are more important than continuous high current. Examples include electrostatic precipitation, ionization, electrostatic coating and painting, particle manipulation or acceleration, electrostatic demonstrations, and high-voltage research. These applications help show that the Wimshurst principle is not limited to visual sparks.</w:t>
      </w:r>
    </w:p>
    <w:p w14:paraId="19C53EAE" w14:textId="77777777" w:rsidR="004B4610" w:rsidRDefault="00000000">
      <w:pPr>
        <w:pStyle w:val="Heading2"/>
      </w:pPr>
      <w:r>
        <w:rPr>
          <w:rFonts w:ascii="Times New Roman" w:eastAsia="Times New Roman" w:hAnsi="Times New Roman"/>
        </w:rPr>
        <w:t>10. Testatika Research Extension</w:t>
      </w:r>
    </w:p>
    <w:p w14:paraId="3F0262B7" w14:textId="77777777" w:rsidR="004B4610" w:rsidRDefault="00000000">
      <w:pPr>
        <w:jc w:val="both"/>
      </w:pPr>
      <w:r>
        <w:t>The Testatika research was used as an engineering extension rather than as a claim that the classroom Wimshurst machine itself can directly power ordinary appliances. The reported Testatika architecture is important because it frames the rotating electrostatic generator as only the front end of a larger energy-processing system. The conceptual path is electrostatic generation → charge collection/storage → controlled pulsing or oscillation → inductive/resonant conversion → rectification and buffering → conditioned output.</w:t>
      </w:r>
    </w:p>
    <w:p w14:paraId="5991E796" w14:textId="77777777" w:rsidR="004B4610" w:rsidRDefault="00000000">
      <w:pPr>
        <w:jc w:val="both"/>
      </w:pPr>
      <w:r>
        <w:t>The Pidgeon machine provides an especially useful bridge. Pidgeon's documented variable-capacitance cycle charges sectors when capacitance is relatively high and collects them when capacitance is lower. The reported/reconstructed Testatika architecture adds substantial cylindrical, magnetic, inductive, capacitive, and valve-like structures. Exact internal connections are not completely documented, so this report treats detailed component functions and self-rotation mechanisms as reported or reconstructed rather than established facts.</w:t>
      </w:r>
    </w:p>
    <w:p w14:paraId="4D6E4EEA" w14:textId="77777777" w:rsidR="004B4610" w:rsidRDefault="00000000">
      <w:pPr>
        <w:jc w:val="center"/>
      </w:pPr>
      <w:r>
        <w:rPr>
          <w:noProof/>
        </w:rPr>
        <w:lastRenderedPageBreak/>
        <w:drawing>
          <wp:inline distT="0" distB="0" distL="0" distR="0" wp14:anchorId="649410B3" wp14:editId="1F518C74">
            <wp:extent cx="3960000" cy="25750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_image3.jpg"/>
                    <pic:cNvPicPr/>
                  </pic:nvPicPr>
                  <pic:blipFill>
                    <a:blip r:embed="rId9"/>
                    <a:stretch>
                      <a:fillRect/>
                    </a:stretch>
                  </pic:blipFill>
                  <pic:spPr>
                    <a:xfrm>
                      <a:off x="0" y="0"/>
                      <a:ext cx="3960000" cy="2575082"/>
                    </a:xfrm>
                    <a:prstGeom prst="rect">
                      <a:avLst/>
                    </a:prstGeom>
                  </pic:spPr>
                </pic:pic>
              </a:graphicData>
            </a:graphic>
          </wp:inline>
        </w:drawing>
      </w:r>
    </w:p>
    <w:p w14:paraId="1BD656A7" w14:textId="77777777" w:rsidR="004B4610" w:rsidRDefault="00000000">
      <w:pPr>
        <w:jc w:val="center"/>
      </w:pPr>
      <w:r>
        <w:rPr>
          <w:i/>
        </w:rPr>
        <w:t>Figure 3. Historical Testatika photograph — Paul Baumann beside a tabletop unit.</w:t>
      </w:r>
    </w:p>
    <w:p w14:paraId="08C710E0" w14:textId="77777777" w:rsidR="004B4610" w:rsidRDefault="00000000">
      <w:pPr>
        <w:pStyle w:val="Heading2"/>
      </w:pPr>
      <w:r>
        <w:rPr>
          <w:rFonts w:ascii="Times New Roman" w:eastAsia="Times New Roman" w:hAnsi="Times New Roman"/>
        </w:rPr>
        <w:t>11. Supplemental Research Extension — Converting Wimshurst Output into Usable Power</w:t>
      </w:r>
    </w:p>
    <w:p w14:paraId="57DF0A6F" w14:textId="77777777" w:rsidR="004B4610" w:rsidRDefault="00000000">
      <w:pPr>
        <w:jc w:val="both"/>
      </w:pPr>
      <w:r>
        <w:t>A supplemental proof-of-concept asks whether the high-voltage, high-impedance Wimshurst output can be accumulated and converted into a lower-voltage, higher-current form suitable for a small load. This extension deliberately does not depend on the reported Testatika self-rotation mechanism. It borrows only conventional engineering ideas: high-voltage charge storage, controlled pulsed discharge, inductive or resonant conversion, rectification, output storage, and regulation.</w:t>
      </w:r>
    </w:p>
    <w:p w14:paraId="22A032D8" w14:textId="77777777" w:rsidR="004B4610" w:rsidRDefault="00000000">
      <w:pPr>
        <w:jc w:val="both"/>
      </w:pPr>
      <w:r>
        <w:t>The proposed functional chain is: Wimshurst generator → high-voltage capacitance → controlled pulse → transformer or LC/transformer stage → rectification → low-voltage reservoir capacitor → calibrated load. The decisive feasibility quantity is average energy production, not peak spark voltage.</w:t>
      </w:r>
    </w:p>
    <w:p w14:paraId="76CB5F3C" w14:textId="77777777" w:rsidR="004B4610" w:rsidRDefault="00000000">
      <w:pPr>
        <w:jc w:val="both"/>
      </w:pPr>
      <w:r>
        <w:t xml:space="preserve">For example, if the actual machine were experimentally shown to provide about 25 kV at an average charging current of 20 µA, then P = VI = 25,000 × 0.000020 = 0.50 W. If an illustrative overall conversion efficiency of 48% were achieved, the output would be about </w:t>
      </w:r>
      <w:r>
        <w:lastRenderedPageBreak/>
        <w:t>0.24 W. These figures are not measurements of the student machine; they show the input-power level that would be required for a target near 0.25 W.</w:t>
      </w:r>
    </w:p>
    <w:p w14:paraId="731167AC" w14:textId="77777777" w:rsidR="004B4610" w:rsidRDefault="00000000">
      <w:pPr>
        <w:jc w:val="both"/>
      </w:pPr>
      <w:r>
        <w:t>A better characterization method is to charge a known safely rated capacitance, calculate stored energy E = 1/2 CV², measure the charging time t, and estimate average charging power as Pavg ≈ E/t. Only after the source is characterized should energy be transferred through an inductive conversion stage and measured at a low-voltage resistive load.</w:t>
      </w:r>
    </w:p>
    <w:p w14:paraId="7DC31A75" w14:textId="77777777" w:rsidR="004B4610" w:rsidRDefault="00000000">
      <w:pPr>
        <w:pStyle w:val="Heading2"/>
      </w:pPr>
      <w:r>
        <w:rPr>
          <w:rFonts w:ascii="Times New Roman" w:eastAsia="Times New Roman" w:hAnsi="Times New Roman"/>
        </w:rPr>
        <w:t>Sources of Error and Experimental Limitations</w:t>
      </w:r>
    </w:p>
    <w:p w14:paraId="40DAE6C7" w14:textId="77777777" w:rsidR="004B4610" w:rsidRDefault="00000000">
      <w:pPr>
        <w:pStyle w:val="ListBullet"/>
      </w:pPr>
      <w:r>
        <w:t>Humidity and surface moisture increase electrostatic leakage and alter air-breakdown distance.</w:t>
      </w:r>
    </w:p>
    <w:p w14:paraId="28D425E7" w14:textId="77777777" w:rsidR="004B4610" w:rsidRDefault="00000000">
      <w:pPr>
        <w:pStyle w:val="ListBullet"/>
      </w:pPr>
      <w:r>
        <w:t>Manual cranking speed is not perfectly constant.</w:t>
      </w:r>
    </w:p>
    <w:p w14:paraId="6DBEDEF0" w14:textId="77777777" w:rsidR="004B4610" w:rsidRDefault="00000000">
      <w:pPr>
        <w:pStyle w:val="ListBullet"/>
      </w:pPr>
      <w:r>
        <w:t>The bright neon-lamp effect with one alligator clip separated is associated with the directly observed air-gap streamer. The leading hypothesis is pulsed relaxation discharge through the streamer, with possible additional coupling from the streamer's rapidly changing electromagnetic field. The relative contribution of these mechanisms was not experimentally separated.</w:t>
      </w:r>
    </w:p>
    <w:p w14:paraId="4E7B9D17" w14:textId="77777777" w:rsidR="004B4610" w:rsidRDefault="00000000">
      <w:pPr>
        <w:pStyle w:val="ListBullet"/>
      </w:pPr>
      <w:r>
        <w:t>The observed Styrofoam polarity asymmetry has not yet been separated experimentally from residual surface charge, electrode geometry, environmental leakage, or other setup asymmetries.</w:t>
      </w:r>
    </w:p>
    <w:p w14:paraId="77465797" w14:textId="77777777" w:rsidR="004B4610" w:rsidRDefault="00000000">
      <w:pPr>
        <w:pStyle w:val="ListBullet"/>
      </w:pPr>
      <w:r>
        <w:t>Electrode curvature, alignment, and surface condition affect local electric-field strength.</w:t>
      </w:r>
    </w:p>
    <w:p w14:paraId="609B2CB2" w14:textId="77777777" w:rsidR="004B4610" w:rsidRDefault="00000000">
      <w:pPr>
        <w:pStyle w:val="ListBullet"/>
      </w:pPr>
      <w:r>
        <w:t>Spark-gap voltage is an indirect estimate, not a calibrated direct measurement.</w:t>
      </w:r>
    </w:p>
    <w:p w14:paraId="3C0E97A2" w14:textId="77777777" w:rsidR="004B4610" w:rsidRDefault="00000000">
      <w:pPr>
        <w:pStyle w:val="ListBullet"/>
      </w:pPr>
      <w:r>
        <w:t>The project did not directly measure microampere-scale average current from the high-voltage output.</w:t>
      </w:r>
    </w:p>
    <w:p w14:paraId="16DBFC11" w14:textId="77777777" w:rsidR="004B4610" w:rsidRDefault="00000000">
      <w:pPr>
        <w:pStyle w:val="ListBullet"/>
      </w:pPr>
      <w:r>
        <w:t>AM-radio sensitivity, automatic gain control, bandwidth, distance, orientation, and local interference affect received signals.</w:t>
      </w:r>
    </w:p>
    <w:p w14:paraId="1061E654" w14:textId="77777777" w:rsidR="004B4610" w:rsidRDefault="00000000">
      <w:pPr>
        <w:pStyle w:val="ListBullet"/>
      </w:pPr>
      <w:r>
        <w:lastRenderedPageBreak/>
        <w:t>Testatika internal circuitry and reported power ratings are not completely established by publicly available authenticated engineering documentation.</w:t>
      </w:r>
    </w:p>
    <w:p w14:paraId="16CDE94D" w14:textId="77777777" w:rsidR="004B4610" w:rsidRDefault="00000000">
      <w:pPr>
        <w:pStyle w:val="ListBullet"/>
      </w:pPr>
      <w:r>
        <w:t>The proposed 0.25 W conversion system is a research extension and has not yet been built or experimentally validated.</w:t>
      </w:r>
    </w:p>
    <w:p w14:paraId="747BFF11" w14:textId="77777777" w:rsidR="004B4610" w:rsidRDefault="00000000">
      <w:r>
        <w:br w:type="page"/>
      </w:r>
    </w:p>
    <w:p w14:paraId="53F5360C" w14:textId="77777777" w:rsidR="004B4610" w:rsidRDefault="00000000">
      <w:pPr>
        <w:pStyle w:val="Heading1"/>
        <w:jc w:val="center"/>
      </w:pPr>
      <w:r>
        <w:rPr>
          <w:rFonts w:ascii="Times New Roman" w:hAnsi="Times New Roman"/>
        </w:rPr>
        <w:lastRenderedPageBreak/>
        <w:t>CONCLUSION &amp; RECOMMENDATIONS</w:t>
      </w:r>
    </w:p>
    <w:p w14:paraId="01274267" w14:textId="77777777" w:rsidR="004B4610" w:rsidRDefault="004B4610">
      <w:pPr>
        <w:jc w:val="center"/>
      </w:pPr>
    </w:p>
    <w:p w14:paraId="5A2B2D4D" w14:textId="77777777" w:rsidR="004B4610" w:rsidRDefault="00000000">
      <w:pPr>
        <w:pStyle w:val="Heading2"/>
      </w:pPr>
      <w:r>
        <w:rPr>
          <w:rFonts w:ascii="Times New Roman" w:hAnsi="Times New Roman"/>
        </w:rPr>
        <w:t>CONCLUSION</w:t>
      </w:r>
    </w:p>
    <w:p w14:paraId="4575D28B" w14:textId="77777777" w:rsidR="004B4610" w:rsidRDefault="00000000" w:rsidP="00773607">
      <w:pPr>
        <w:pStyle w:val="ListNumber"/>
        <w:numPr>
          <w:ilvl w:val="0"/>
          <w:numId w:val="10"/>
        </w:numPr>
      </w:pPr>
      <w:r>
        <w:t>The Wimshurst machine successfully demonstrates conversion of mechanical motion into separated electrostatic charge and very high electrical potential.</w:t>
      </w:r>
    </w:p>
    <w:p w14:paraId="541AEF31" w14:textId="77777777" w:rsidR="004B4610" w:rsidRDefault="00000000">
      <w:pPr>
        <w:pStyle w:val="ListNumber"/>
      </w:pPr>
      <w:r>
        <w:t>Surface charge density and electric-field concentration are central to understanding why breakdown begins at the output electrodes.</w:t>
      </w:r>
    </w:p>
    <w:p w14:paraId="28571CB2" w14:textId="77777777" w:rsidR="004B4610" w:rsidRDefault="00000000">
      <w:pPr>
        <w:pStyle w:val="ListNumber"/>
      </w:pPr>
      <w:r>
        <w:t>The Styrofoam-ball experiment demonstrated polarization, electrostatic attraction, charge transfer by contact, and repulsion of like charges. The newly observed asymmetry—stronger attraction at one electrode and stronger repulsion at the other—is consistent with persistent surface charge on insulating Styrofoam, but further controlled testing is needed to distinguish retained charge from machine or environmental asymmetry.</w:t>
      </w:r>
    </w:p>
    <w:p w14:paraId="30F48FBD" w14:textId="77777777" w:rsidR="004B4610" w:rsidRDefault="00000000">
      <w:r>
        <w:t>The freely suspended metallic lead demonstrated electrostatic shuttle and motor-like motion. Because a conductor redistributes charge readily, repeated attraction, contact charging, and repulsion can drive oscillation between the electrodes and can help sustain an initially imposed circular motion. The mechanical energy ultimately comes from the work used to rotate the Wimshurst machine.</w:t>
      </w:r>
    </w:p>
    <w:p w14:paraId="313B0C8B" w14:textId="77777777" w:rsidR="004B4610" w:rsidRDefault="00000000">
      <w:r>
        <w:t xml:space="preserve">The neon-lamp experiment demonstrated two coupled gas-discharge phenomena. With both leads connected, orange glow appeared near the internal electrodes. When one alligator clip was separated slightly from a lamp lead, the lamp became much brighter and a thin streamer was observed bridging the clip-to-lead air gap. The separated connection was therefore not truly open: atmospheric air broke down and formed a plasma path. The project hypothesizes that the increased brightness results primarily from a relaxation-discharge process in which voltage and electric-field energy accumulate and are then delivered to the lamp in short, higher-peak pulses when the air gap breaks down. A secondary hypothesis is that the rapidly </w:t>
      </w:r>
      <w:r>
        <w:lastRenderedPageBreak/>
        <w:t>changing electromagnetic field surrounding the streamer may contribute to excitation or coupling. The AM-radio experiment establishes that spark discharges produce electromagnetic transients, but the present observations do not determine the relative contribution of the two mechanisms.</w:t>
      </w:r>
    </w:p>
    <w:p w14:paraId="415D03E4" w14:textId="77777777" w:rsidR="004B4610" w:rsidRDefault="00000000" w:rsidP="00773607">
      <w:pPr>
        <w:pStyle w:val="ListNumber"/>
        <w:numPr>
          <w:ilvl w:val="0"/>
          <w:numId w:val="15"/>
        </w:numPr>
      </w:pPr>
      <w:r>
        <w:t>Leyden jars do not simply 'increase the voltage.' Their major observed effect is to increase effective capacitance, allowing more charge and substantially more energy to be stored before discharge. This produces slower, thicker, brighter, and more energetic sparks.</w:t>
      </w:r>
    </w:p>
    <w:p w14:paraId="286B220A" w14:textId="77777777" w:rsidR="004B4610" w:rsidRDefault="00000000">
      <w:pPr>
        <w:pStyle w:val="ListNumber"/>
      </w:pPr>
      <w:r>
        <w:t>Without Leyden jars, the lower effective capacitance reaches breakdown after less charge accumulation, producing a rapid thin blue discharge with much less energy per event.</w:t>
      </w:r>
    </w:p>
    <w:p w14:paraId="310595CD" w14:textId="77777777" w:rsidR="004B4610" w:rsidRDefault="00000000">
      <w:pPr>
        <w:pStyle w:val="ListNumber"/>
      </w:pPr>
      <w:r>
        <w:t>Maximum repeatable spark-gap distance is a reasonable indirect voltage-estimation method for this school investigation when specialized high-voltage measurement equipment is unavailable. Ordinary meters and oscilloscope probes should not be connected directly.</w:t>
      </w:r>
    </w:p>
    <w:p w14:paraId="3E50ADD8" w14:textId="77777777" w:rsidR="004B4610" w:rsidRDefault="00000000">
      <w:pPr>
        <w:pStyle w:val="ListNumber"/>
      </w:pPr>
      <w:r>
        <w:t>Power must be evaluated from both voltage and current. Tens of kilovolts can correspond to only fractions of a watt when average current is in the microampere range.</w:t>
      </w:r>
    </w:p>
    <w:p w14:paraId="3829FF2D" w14:textId="77777777" w:rsidR="004B4610" w:rsidRDefault="00000000">
      <w:pPr>
        <w:pStyle w:val="ListNumber"/>
      </w:pPr>
      <w:r>
        <w:t>The AM-radio experiment confirmed that the machine produces electromagnetic interference from at least two sources. Brush/sector motion produces strong repetitive interference, while an isolated Leyden-jar spark produces a distinct electromagnetic transient detectable as a sharp radio blip.</w:t>
      </w:r>
    </w:p>
    <w:p w14:paraId="3E2F34AB" w14:textId="77777777" w:rsidR="004B4610" w:rsidRDefault="00000000">
      <w:pPr>
        <w:pStyle w:val="ListNumber"/>
      </w:pPr>
      <w:r>
        <w:t>The historical research shows a useful conceptual progression from Holtz influence generation, to Wimshurst self-exciting counter-rotating disks, to Pidgeon's explicit variable-capacitance cycle, and then to the reported Testatika concept of combining an electrostatic front end with additional power-conversion stages.</w:t>
      </w:r>
    </w:p>
    <w:p w14:paraId="34045D5D" w14:textId="77777777" w:rsidR="004B4610" w:rsidRDefault="00000000">
      <w:pPr>
        <w:pStyle w:val="ListNumber"/>
      </w:pPr>
      <w:r>
        <w:lastRenderedPageBreak/>
        <w:t>The usable-power extension remains a future proof-of-concept. A target near 0.25 W is meaningful only if the actual Wimshurst source is first shown by energy measurement to supply sufficient average electrical power.</w:t>
      </w:r>
    </w:p>
    <w:p w14:paraId="267E7913" w14:textId="77777777" w:rsidR="00DB6854" w:rsidRDefault="00000000">
      <w:r>
        <w:rPr>
          <w:b/>
        </w:rPr>
        <w:t>IMPORTANCE OF THE STUDY</w:t>
      </w:r>
    </w:p>
    <w:p w14:paraId="5CF7A1E5" w14:textId="77777777" w:rsidR="00DB6854" w:rsidRDefault="00000000">
      <w:r>
        <w:t>The project helps students connect visible electrostatic effects with measurable scientific ideas such as electric field, capacitance, air breakdown, energy storage, electromagnetic emissions, and electrical power. It also shows why spectacular high voltage does not automatically mean high usable power and provides a careful basis for future work on safe energy conversion and measurement.</w:t>
      </w:r>
    </w:p>
    <w:p w14:paraId="230ABFC9" w14:textId="77777777" w:rsidR="004B4610" w:rsidRDefault="00000000">
      <w:pPr>
        <w:pStyle w:val="Heading2"/>
      </w:pPr>
      <w:r>
        <w:rPr>
          <w:rFonts w:ascii="Times New Roman" w:hAnsi="Times New Roman"/>
        </w:rPr>
        <w:t>RECOMMENDATIONS</w:t>
      </w:r>
    </w:p>
    <w:p w14:paraId="6E6C4394" w14:textId="77777777" w:rsidR="004B4610" w:rsidRDefault="00000000" w:rsidP="00773607">
      <w:pPr>
        <w:pStyle w:val="ListNumber"/>
        <w:numPr>
          <w:ilvl w:val="0"/>
          <w:numId w:val="16"/>
        </w:numPr>
      </w:pPr>
      <w:r>
        <w:t>Record the actual maximum repeatable spark gap under known room conditions and repeat the measurement several times.</w:t>
      </w:r>
    </w:p>
    <w:p w14:paraId="4A69827F" w14:textId="77777777" w:rsidR="004B4610" w:rsidRDefault="00000000">
      <w:pPr>
        <w:pStyle w:val="ListNumber"/>
      </w:pPr>
      <w:r>
        <w:t>Measure or estimate the machine's average energy production by timing the charge of a known, properly rated high-voltage capacitance rather than assuming current values.</w:t>
      </w:r>
    </w:p>
    <w:p w14:paraId="4CC01408" w14:textId="77777777" w:rsidR="004B4610" w:rsidRDefault="00000000">
      <w:pPr>
        <w:pStyle w:val="ListNumber"/>
      </w:pPr>
      <w:r>
        <w:t>Photograph the actual Styrofoam-ball, metallic-lead, neon-lamp, spark-gap, Leyden-jar, and AM-radio setups for the final report and presentation.</w:t>
      </w:r>
    </w:p>
    <w:p w14:paraId="7FCD6532" w14:textId="77777777" w:rsidR="004B4610" w:rsidRDefault="00000000">
      <w:pPr>
        <w:pStyle w:val="ListNumber"/>
      </w:pPr>
      <w:r>
        <w:t>Repeat the AM-radio experiment at different distances and orientations, and if available compare AM with a simple broadband detector or loop antenna.</w:t>
      </w:r>
    </w:p>
    <w:p w14:paraId="05B03DC2" w14:textId="77777777" w:rsidR="004B4610" w:rsidRDefault="00000000">
      <w:pPr>
        <w:pStyle w:val="ListNumber"/>
      </w:pPr>
      <w:r>
        <w:t>Investigate humidity quantitatively and correlate it with spark-gap distance and discharge consistency.</w:t>
      </w:r>
    </w:p>
    <w:p w14:paraId="553DE210" w14:textId="77777777" w:rsidR="004B4610" w:rsidRDefault="00000000">
      <w:pPr>
        <w:pStyle w:val="ListNumber"/>
      </w:pPr>
      <w:r>
        <w:t>Repeat the neon-lamp air-gap test from each Wimshurst terminal and systematically vary the clip-to-lead spacing. Record the streamer appearance, repetition behavior, and lamp brightness, and determine the gap at which the streamer can no longer bridge the separation and the bright glow disappears.</w:t>
      </w:r>
    </w:p>
    <w:p w14:paraId="42166E8F" w14:textId="77777777" w:rsidR="004B4610" w:rsidRDefault="00000000">
      <w:pPr>
        <w:pStyle w:val="ListNumber"/>
      </w:pPr>
      <w:r>
        <w:lastRenderedPageBreak/>
        <w:t>Repeat the Styrofoam test with fresh or deliberately neutralized balls and determine terminal polarity independently so the observed attraction/repulsion asymmetry can be tested against electrode polarity.</w:t>
      </w:r>
    </w:p>
    <w:p w14:paraId="719C2941" w14:textId="77777777" w:rsidR="004B4610" w:rsidRDefault="00000000">
      <w:pPr>
        <w:pStyle w:val="ListNumber"/>
      </w:pPr>
      <w:r>
        <w:t>Treat the proposed 0.25 W converter as a separate supervised engineering project, beginning with energy characterization and a calibrated resistive load.</w:t>
      </w:r>
    </w:p>
    <w:p w14:paraId="0EE7A37E" w14:textId="77777777" w:rsidR="004B4610" w:rsidRDefault="00000000">
      <w:pPr>
        <w:pStyle w:val="ListNumber"/>
      </w:pPr>
      <w:r>
        <w:t>Continue the Holtz–Wimshurst–Pidgeon–Testatika research while clearly distinguishing established historical physics from reported observations and reconstruction hypotheses.</w:t>
      </w:r>
    </w:p>
    <w:p w14:paraId="6777DC6E" w14:textId="77777777" w:rsidR="004B4610" w:rsidRDefault="00000000">
      <w:pPr>
        <w:pStyle w:val="Heading1"/>
        <w:jc w:val="center"/>
      </w:pPr>
      <w:r>
        <w:rPr>
          <w:rFonts w:ascii="Times New Roman" w:eastAsia="Times New Roman" w:hAnsi="Times New Roman"/>
        </w:rPr>
        <w:t>ACKNOWLEDGEMENTS</w:t>
      </w:r>
    </w:p>
    <w:p w14:paraId="7C5068FC" w14:textId="77777777" w:rsidR="004B4610" w:rsidRDefault="00000000">
      <w:pPr>
        <w:jc w:val="both"/>
      </w:pPr>
      <w:r>
        <w:t>We would like to express our sincere gratitude to our science teacher and school for the opportunity to conduct this investigatory project and for the guidance provided throughout its development. We also thank our parents and family members for their assistance, encouragement, materials, technical discussion, and support during the experiments and preparation of the logbook, report, and presentation.</w:t>
      </w:r>
    </w:p>
    <w:p w14:paraId="33D88382" w14:textId="77777777" w:rsidR="004B4610" w:rsidRDefault="00000000">
      <w:pPr>
        <w:jc w:val="both"/>
      </w:pPr>
      <w:r>
        <w:t>We also acknowledge the authors, museums, researchers, and historical archives whose publications and preserved descriptions made it possible to study the development of electrostatic influence machines and to place the Wimshurst machine in its broader scientific and engineering context.</w:t>
      </w:r>
    </w:p>
    <w:p w14:paraId="1439E4BA" w14:textId="77777777" w:rsidR="004B4610" w:rsidRDefault="00000000">
      <w:pPr>
        <w:pStyle w:val="Heading1"/>
        <w:jc w:val="center"/>
      </w:pPr>
      <w:r>
        <w:rPr>
          <w:rFonts w:ascii="Times New Roman" w:hAnsi="Times New Roman"/>
        </w:rPr>
        <w:t>REFERENCES</w:t>
      </w:r>
    </w:p>
    <w:p w14:paraId="0C086686" w14:textId="77777777" w:rsidR="004B4610" w:rsidRDefault="00000000">
      <w:pPr>
        <w:ind w:left="720" w:hanging="720"/>
      </w:pPr>
      <w:r>
        <w:t>Asrowi, R. H., Budi, E., &amp; Nasbey, H. (2023). Development of the Wimshurst Machine as a Learning Media on Static Electricity Material for Junior High Schools. Current STEAM and Education Research, 1(2), 41–52.</w:t>
      </w:r>
    </w:p>
    <w:p w14:paraId="3951E9F0" w14:textId="77777777" w:rsidR="004B4610" w:rsidRDefault="00000000">
      <w:pPr>
        <w:ind w:left="720" w:hanging="720"/>
      </w:pPr>
      <w:r>
        <w:t>Simon, A. W. (1926). The Theory of Wimshurst’s Alternating Static Machine. Physical Review, 28(3), 545.</w:t>
      </w:r>
    </w:p>
    <w:p w14:paraId="16886C10" w14:textId="77777777" w:rsidR="004B4610" w:rsidRDefault="00000000">
      <w:pPr>
        <w:ind w:left="720" w:hanging="720"/>
      </w:pPr>
      <w:r>
        <w:lastRenderedPageBreak/>
        <w:t>Marshall, A. W. (1908). The “Wimshurst” Machine, How to Make and Use It. Spon &amp; Chamberlain.</w:t>
      </w:r>
    </w:p>
    <w:p w14:paraId="0AA66D6B" w14:textId="77777777" w:rsidR="004B4610" w:rsidRDefault="00000000">
      <w:pPr>
        <w:ind w:left="720" w:hanging="720"/>
      </w:pPr>
      <w:r>
        <w:t>Ford, R. A. (1991). Homemade Lightning: Creative Experiments in High Voltage Electronics. TAB Books.</w:t>
      </w:r>
    </w:p>
    <w:p w14:paraId="2DC05FEA" w14:textId="77777777" w:rsidR="004B4610" w:rsidRDefault="00000000">
      <w:pPr>
        <w:ind w:left="720" w:hanging="720"/>
      </w:pPr>
      <w:r>
        <w:t>Munguía Aguilar, H. (2014). The Wimshurst Machine as an Electric Circuit. Universidad de Sonora.</w:t>
      </w:r>
    </w:p>
    <w:p w14:paraId="482C56C5" w14:textId="77777777" w:rsidR="004B4610" w:rsidRDefault="00000000">
      <w:pPr>
        <w:ind w:left="720" w:hanging="720"/>
      </w:pPr>
      <w:r>
        <w:t>California Institute of Technology. (2022). The Wimshurst Machine — Caltech Magazine.</w:t>
      </w:r>
    </w:p>
    <w:p w14:paraId="68099756" w14:textId="77777777" w:rsidR="004B4610" w:rsidRDefault="00000000">
      <w:pPr>
        <w:ind w:left="720" w:hanging="720"/>
      </w:pPr>
      <w:r>
        <w:t>Smithsonian Institution, National Museum of American History. Holtz-type influence machine.</w:t>
      </w:r>
    </w:p>
    <w:p w14:paraId="52FF9AED" w14:textId="77777777" w:rsidR="004B4610" w:rsidRDefault="00000000">
      <w:pPr>
        <w:ind w:left="720" w:hanging="720"/>
      </w:pPr>
      <w:r>
        <w:t>Smithsonian Institution, National Museum of American History. Wimshurst-type influence machine.</w:t>
      </w:r>
    </w:p>
    <w:p w14:paraId="32E76A63" w14:textId="77777777" w:rsidR="004B4610" w:rsidRDefault="00000000">
      <w:pPr>
        <w:ind w:left="720" w:hanging="720"/>
      </w:pPr>
      <w:r>
        <w:t>Nature (10 November 1898). Contemporary report on W. R. Pidgeon’s influence machine and its maximum/minimum capacitance operation.</w:t>
      </w:r>
    </w:p>
    <w:p w14:paraId="72E92E34" w14:textId="77777777" w:rsidR="004B4610" w:rsidRDefault="00000000">
      <w:pPr>
        <w:ind w:left="720" w:hanging="720"/>
      </w:pPr>
      <w:r>
        <w:t>Conner, C., et al. (2018). Energy Harvesting with a Liquid-Metal Microfluidic Influence Machine. arXiv:1803.02454.</w:t>
      </w:r>
    </w:p>
    <w:p w14:paraId="769E83B6" w14:textId="77777777" w:rsidR="004B4610" w:rsidRDefault="00000000">
      <w:pPr>
        <w:ind w:left="720" w:hanging="720"/>
      </w:pPr>
      <w:r>
        <w:t>Supplemental project source: From Holtz to Wimshurst to Pidgeon to Testatika — Student Research Guide.</w:t>
      </w:r>
    </w:p>
    <w:p w14:paraId="3A2FE2DD" w14:textId="357BD51C" w:rsidR="004B4610" w:rsidRDefault="00AB4280">
      <w:pPr>
        <w:ind w:left="720" w:hanging="720"/>
      </w:pPr>
      <w:r>
        <w:t>Becnel, Edward A.</w:t>
      </w:r>
      <w:r w:rsidR="00C13A87">
        <w:t xml:space="preserve">, (August 2020). </w:t>
      </w:r>
      <w:r w:rsidR="00000000">
        <w:t xml:space="preserve">Supplemental project source: The </w:t>
      </w:r>
      <w:proofErr w:type="spellStart"/>
      <w:r w:rsidR="00000000">
        <w:t>Methernitha</w:t>
      </w:r>
      <w:proofErr w:type="spellEnd"/>
      <w:r w:rsidR="00000000">
        <w:t xml:space="preserve"> Testatika — History, Electrostatic Architecture, and the Conversion of High Voltage into Usable Power.</w:t>
      </w:r>
    </w:p>
    <w:p w14:paraId="5A1F1AF7" w14:textId="1CB66F1B" w:rsidR="004B4610" w:rsidRDefault="00C13A87">
      <w:pPr>
        <w:ind w:left="720" w:hanging="720"/>
      </w:pPr>
      <w:r>
        <w:t>Becnel, Edward A., (August 2020).</w:t>
      </w:r>
      <w:r>
        <w:t xml:space="preserve"> </w:t>
      </w:r>
      <w:proofErr w:type="gramStart"/>
      <w:r w:rsidR="00000000">
        <w:t>Supplemental</w:t>
      </w:r>
      <w:proofErr w:type="gramEnd"/>
      <w:r w:rsidR="00000000">
        <w:t xml:space="preserve"> project source: Converting a Standard Wimshurst Machine into a Small Usable-Power Source — Testatika-Inspired Proof-of-Concept Architecture.</w:t>
      </w:r>
    </w:p>
    <w:sectPr w:rsidR="004B4610" w:rsidSect="00034616">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89B3DD" w14:textId="77777777" w:rsidR="0073076A" w:rsidRDefault="0073076A">
      <w:pPr>
        <w:spacing w:line="240" w:lineRule="auto"/>
      </w:pPr>
      <w:r>
        <w:separator/>
      </w:r>
    </w:p>
  </w:endnote>
  <w:endnote w:type="continuationSeparator" w:id="0">
    <w:p w14:paraId="65A60527" w14:textId="77777777" w:rsidR="0073076A" w:rsidRDefault="007307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05A2C" w14:textId="77777777" w:rsidR="004B4610" w:rsidRDefault="00000000">
    <w:pPr>
      <w:pStyle w:val="Footer"/>
      <w:jc w:val="center"/>
    </w:pPr>
    <w:proofErr w:type="spellStart"/>
    <w:r>
      <w:t>Wimshurst</w:t>
    </w:r>
    <w:proofErr w:type="spellEnd"/>
    <w:r>
      <w:t xml:space="preserve"> Electrostatic Generator — Investigatory Project Report   |   </w:t>
    </w:r>
    <w:r>
      <w:fldChar w:fldCharType="begin"/>
    </w:r>
    <w:r>
      <w:instrText>PAGE</w:instrText>
    </w:r>
    <w:r>
      <w:fldChar w:fldCharType="separate"/>
    </w:r>
    <w:r w:rsidR="00C576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86012F" w14:textId="77777777" w:rsidR="0073076A" w:rsidRDefault="0073076A">
      <w:pPr>
        <w:spacing w:line="240" w:lineRule="auto"/>
      </w:pPr>
      <w:r>
        <w:separator/>
      </w:r>
    </w:p>
  </w:footnote>
  <w:footnote w:type="continuationSeparator" w:id="0">
    <w:p w14:paraId="16B4D38B" w14:textId="77777777" w:rsidR="0073076A" w:rsidRDefault="007307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F309E4" w14:textId="77777777" w:rsidR="00DB6854" w:rsidRDefault="00DB68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0866887">
    <w:abstractNumId w:val="8"/>
  </w:num>
  <w:num w:numId="2" w16cid:durableId="1869022003">
    <w:abstractNumId w:val="6"/>
  </w:num>
  <w:num w:numId="3" w16cid:durableId="624851013">
    <w:abstractNumId w:val="5"/>
  </w:num>
  <w:num w:numId="4" w16cid:durableId="1652709154">
    <w:abstractNumId w:val="4"/>
  </w:num>
  <w:num w:numId="5" w16cid:durableId="704670365">
    <w:abstractNumId w:val="7"/>
  </w:num>
  <w:num w:numId="6" w16cid:durableId="1876194885">
    <w:abstractNumId w:val="3"/>
  </w:num>
  <w:num w:numId="7" w16cid:durableId="912592346">
    <w:abstractNumId w:val="2"/>
  </w:num>
  <w:num w:numId="8" w16cid:durableId="396636749">
    <w:abstractNumId w:val="1"/>
  </w:num>
  <w:num w:numId="9" w16cid:durableId="1389259425">
    <w:abstractNumId w:val="0"/>
  </w:num>
  <w:num w:numId="10" w16cid:durableId="759913646">
    <w:abstractNumId w:val="7"/>
    <w:lvlOverride w:ilvl="0">
      <w:startOverride w:val="1"/>
    </w:lvlOverride>
  </w:num>
  <w:num w:numId="11" w16cid:durableId="1019234690">
    <w:abstractNumId w:val="7"/>
    <w:lvlOverride w:ilvl="0">
      <w:startOverride w:val="1"/>
    </w:lvlOverride>
  </w:num>
  <w:num w:numId="12" w16cid:durableId="706179946">
    <w:abstractNumId w:val="7"/>
    <w:lvlOverride w:ilvl="0">
      <w:startOverride w:val="1"/>
    </w:lvlOverride>
  </w:num>
  <w:num w:numId="13" w16cid:durableId="958798854">
    <w:abstractNumId w:val="7"/>
    <w:lvlOverride w:ilvl="0">
      <w:startOverride w:val="1"/>
    </w:lvlOverride>
  </w:num>
  <w:num w:numId="14" w16cid:durableId="98643611">
    <w:abstractNumId w:val="7"/>
    <w:lvlOverride w:ilvl="0">
      <w:startOverride w:val="1"/>
    </w:lvlOverride>
  </w:num>
  <w:num w:numId="15" w16cid:durableId="779301236">
    <w:abstractNumId w:val="7"/>
    <w:lvlOverride w:ilvl="0">
      <w:startOverride w:val="1"/>
    </w:lvlOverride>
  </w:num>
  <w:num w:numId="16" w16cid:durableId="593824684">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7F49"/>
    <w:rsid w:val="0029639D"/>
    <w:rsid w:val="00326F90"/>
    <w:rsid w:val="004B4610"/>
    <w:rsid w:val="005A7800"/>
    <w:rsid w:val="0073076A"/>
    <w:rsid w:val="00773607"/>
    <w:rsid w:val="00A16966"/>
    <w:rsid w:val="00AA1D8D"/>
    <w:rsid w:val="00AB4280"/>
    <w:rsid w:val="00B47730"/>
    <w:rsid w:val="00C13A87"/>
    <w:rsid w:val="00C576D6"/>
    <w:rsid w:val="00CB0664"/>
    <w:rsid w:val="00DB6854"/>
    <w:rsid w:val="00E973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B888DE"/>
  <w14:defaultImageDpi w14:val="300"/>
  <w15:docId w15:val="{D4DB9215-30F0-A048-B37F-56EFC8F34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480" w:lineRule="auto"/>
    </w:pPr>
    <w:rPr>
      <w:rFonts w:ascii="Times New Roman" w:eastAsia="Times New Roman" w:hAnsi="Times New Roman"/>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0" w:line="480" w:lineRule="auto"/>
    </w:pPr>
    <w:rPr>
      <w:rFonts w:ascii="Times New Roman" w:eastAsia="Times New Roman" w:hAnsi="Times New Roman"/>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eastAsia="Times New Roman" w:hAnsi="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30</Pages>
  <Words>5689</Words>
  <Characters>35620</Characters>
  <Application>Microsoft Office Word</Application>
  <DocSecurity>0</DocSecurity>
  <Lines>672</Lines>
  <Paragraphs>341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 Becnel</cp:lastModifiedBy>
  <cp:revision>5</cp:revision>
  <dcterms:created xsi:type="dcterms:W3CDTF">2013-12-23T23:15:00Z</dcterms:created>
  <dcterms:modified xsi:type="dcterms:W3CDTF">2026-08-20T10:53:00Z</dcterms:modified>
  <cp:category/>
</cp:coreProperties>
</file>