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WIMSHURST ELECTROSTATIC GENERATOR</w:t>
      </w:r>
    </w:p>
    <w:p>
      <w:pPr>
        <w:jc w:val="center"/>
      </w:pPr>
      <w:r>
        <w:rPr>
          <w:b/>
          <w:sz w:val="26"/>
        </w:rPr>
        <w:t>60-Entry Investigatory Project Development Logbook</w:t>
      </w:r>
    </w:p>
    <w:tbl>
      <w:tblPr>
        <w:tblStyle w:val="TableGrid"/>
        <w:tblW w:type="auto" w:w="0"/>
        <w:jc w:val="center"/>
        <w:tblLook w:firstColumn="1" w:firstRow="1" w:lastColumn="0" w:lastRow="0" w:noHBand="0" w:noVBand="1" w:val="04A0"/>
      </w:tblPr>
      <w:tblGrid>
        <w:gridCol w:w="5386"/>
        <w:gridCol w:w="5386"/>
      </w:tblGrid>
      <w:tr>
        <w:tc>
          <w:tcPr>
            <w:tcW w:type="dxa" w:w="5386"/>
            <w:shd w:fill="D9EAF7"/>
            <w:tcMar>
              <w:top w:w="65" w:type="dxa"/>
              <w:start w:w="70" w:type="dxa"/>
              <w:bottom w:w="65" w:type="dxa"/>
              <w:end w:w="70" w:type="dxa"/>
            </w:tcMar>
          </w:tcPr>
          <w:p>
            <w:pPr>
              <w:jc w:val="center"/>
            </w:pPr>
            <w:r>
              <w:rPr>
                <w:b/>
                <w:color w:val="17365D"/>
                <w:sz w:val="18"/>
              </w:rPr>
              <w:t>PROJECT PURPOSE</w:t>
              <w:br/>
            </w:r>
            <w:r>
              <w:rPr>
                <w:sz w:val="16"/>
              </w:rPr>
              <w:t>Investigate high voltage, charge density, capacitance, spark discharge, voltage estimation, electrical power, electromagnetic emissions, and practical electrostatic applications.</w:t>
            </w:r>
          </w:p>
        </w:tc>
        <w:tc>
          <w:tcPr>
            <w:tcW w:type="dxa" w:w="5386"/>
            <w:shd w:fill="E2F0D9"/>
            <w:tcMar>
              <w:top w:w="65" w:type="dxa"/>
              <w:start w:w="70" w:type="dxa"/>
              <w:bottom w:w="65" w:type="dxa"/>
              <w:end w:w="70" w:type="dxa"/>
            </w:tcMar>
          </w:tcPr>
          <w:p>
            <w:pPr>
              <w:jc w:val="center"/>
            </w:pPr>
            <w:r>
              <w:rPr>
                <w:b/>
                <w:color w:val="17365D"/>
                <w:sz w:val="18"/>
              </w:rPr>
              <w:t>LOGBOOK STRUCTURE</w:t>
              <w:br/>
            </w:r>
            <w:r>
              <w:rPr>
                <w:sz w:val="16"/>
              </w:rPr>
              <w:t>The entries show the progression from observation to question, research, experiment, analysis, and conclusion. They are project-development entries, not calendar-day claims.</w:t>
            </w:r>
          </w:p>
        </w:tc>
      </w:tr>
    </w:tbl>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1 — Conceptualization &amp; Background Research</w:t>
            </w:r>
          </w:p>
          <w:p>
            <w:pPr>
              <w:jc w:val="center"/>
            </w:pPr>
            <w:r>
              <w:rPr>
                <w:color w:val="E6EEF8"/>
                <w:sz w:val="17"/>
              </w:rPr>
              <w:t>Entries 1–8</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1</w:t>
            </w:r>
          </w:p>
        </w:tc>
        <w:tc>
          <w:tcPr>
            <w:tcW w:type="dxa" w:w="9865"/>
            <w:tcMar>
              <w:top w:w="45" w:type="dxa"/>
              <w:start w:w="65" w:type="dxa"/>
              <w:bottom w:w="45" w:type="dxa"/>
              <w:end w:w="65" w:type="dxa"/>
            </w:tcMar>
            <w:vAlign w:val="center"/>
          </w:tcPr>
          <w:p>
            <w:r>
              <w:rPr>
                <w:sz w:val="17"/>
              </w:rPr>
              <w:t>Selected the Wimshurst electrostatic generator as the subject of the investigatory project and defined the project as an investigation of high voltage, electrostatic charge, capacitance, spark discharge, power, electromagnetic emissions, and practical applications.</w:t>
            </w:r>
          </w:p>
        </w:tc>
      </w:tr>
      <w:tr>
        <w:tc>
          <w:tcPr>
            <w:tcW w:type="dxa" w:w="765"/>
            <w:tcMar>
              <w:top w:w="45" w:type="dxa"/>
              <w:start w:w="65" w:type="dxa"/>
              <w:bottom w:w="45" w:type="dxa"/>
              <w:end w:w="65" w:type="dxa"/>
            </w:tcMar>
            <w:vAlign w:val="center"/>
          </w:tcPr>
          <w:p>
            <w:pPr>
              <w:jc w:val="center"/>
            </w:pPr>
            <w:r>
              <w:rPr>
                <w:b/>
                <w:color w:val="17365D"/>
                <w:sz w:val="18"/>
              </w:rPr>
              <w:t>2</w:t>
            </w:r>
          </w:p>
        </w:tc>
        <w:tc>
          <w:tcPr>
            <w:tcW w:type="dxa" w:w="9865"/>
            <w:tcMar>
              <w:top w:w="45" w:type="dxa"/>
              <w:start w:w="65" w:type="dxa"/>
              <w:bottom w:w="45" w:type="dxa"/>
              <w:end w:w="65" w:type="dxa"/>
            </w:tcMar>
            <w:vAlign w:val="center"/>
            <w:shd w:fill="F4F8FC"/>
          </w:tcPr>
          <w:p>
            <w:r>
              <w:rPr>
                <w:sz w:val="17"/>
              </w:rPr>
              <w:t>Researched James Wimshurst and the late nineteenth-century development of electrostatic influence machines.</w:t>
            </w:r>
          </w:p>
        </w:tc>
      </w:tr>
      <w:tr>
        <w:tc>
          <w:tcPr>
            <w:tcW w:type="dxa" w:w="765"/>
            <w:tcMar>
              <w:top w:w="45" w:type="dxa"/>
              <w:start w:w="65" w:type="dxa"/>
              <w:bottom w:w="45" w:type="dxa"/>
              <w:end w:w="65" w:type="dxa"/>
            </w:tcMar>
            <w:vAlign w:val="center"/>
          </w:tcPr>
          <w:p>
            <w:pPr>
              <w:jc w:val="center"/>
            </w:pPr>
            <w:r>
              <w:rPr>
                <w:b/>
                <w:color w:val="17365D"/>
                <w:sz w:val="18"/>
              </w:rPr>
              <w:t>3</w:t>
            </w:r>
          </w:p>
        </w:tc>
        <w:tc>
          <w:tcPr>
            <w:tcW w:type="dxa" w:w="9865"/>
            <w:tcMar>
              <w:top w:w="45" w:type="dxa"/>
              <w:start w:w="65" w:type="dxa"/>
              <w:bottom w:w="45" w:type="dxa"/>
              <w:end w:w="65" w:type="dxa"/>
            </w:tcMar>
            <w:vAlign w:val="center"/>
          </w:tcPr>
          <w:p>
            <w:r>
              <w:rPr>
                <w:sz w:val="17"/>
              </w:rPr>
              <w:t>Reviewed the basic construction of a Wimshurst machine: counter-rotating insulating disks, conductive sectors, neutralizer bars, brushes, charge collectors, output terminals, and Leyden jars.</w:t>
            </w:r>
          </w:p>
        </w:tc>
      </w:tr>
      <w:tr>
        <w:tc>
          <w:tcPr>
            <w:tcW w:type="dxa" w:w="765"/>
            <w:tcMar>
              <w:top w:w="45" w:type="dxa"/>
              <w:start w:w="65" w:type="dxa"/>
              <w:bottom w:w="45" w:type="dxa"/>
              <w:end w:w="65" w:type="dxa"/>
            </w:tcMar>
            <w:vAlign w:val="center"/>
          </w:tcPr>
          <w:p>
            <w:pPr>
              <w:jc w:val="center"/>
            </w:pPr>
            <w:r>
              <w:rPr>
                <w:b/>
                <w:color w:val="17365D"/>
                <w:sz w:val="18"/>
              </w:rPr>
              <w:t>4</w:t>
            </w:r>
          </w:p>
        </w:tc>
        <w:tc>
          <w:tcPr>
            <w:tcW w:type="dxa" w:w="9865"/>
            <w:tcMar>
              <w:top w:w="45" w:type="dxa"/>
              <w:start w:w="65" w:type="dxa"/>
              <w:bottom w:w="45" w:type="dxa"/>
              <w:end w:w="65" w:type="dxa"/>
            </w:tcMar>
            <w:vAlign w:val="center"/>
            <w:shd w:fill="F4F8FC"/>
          </w:tcPr>
          <w:p>
            <w:r>
              <w:rPr>
                <w:sz w:val="17"/>
              </w:rPr>
              <w:t>Defined the principal research questions: How is high voltage produced? How does capacitance affect the discharge? How can the voltage be estimated? Why is the current small? Can the spark be detected electromagnetically? What practical applications can follow from these principles?</w:t>
            </w:r>
          </w:p>
        </w:tc>
      </w:tr>
      <w:tr>
        <w:tc>
          <w:tcPr>
            <w:tcW w:type="dxa" w:w="765"/>
            <w:tcMar>
              <w:top w:w="45" w:type="dxa"/>
              <w:start w:w="65" w:type="dxa"/>
              <w:bottom w:w="45" w:type="dxa"/>
              <w:end w:w="65" w:type="dxa"/>
            </w:tcMar>
            <w:vAlign w:val="center"/>
          </w:tcPr>
          <w:p>
            <w:pPr>
              <w:jc w:val="center"/>
            </w:pPr>
            <w:r>
              <w:rPr>
                <w:b/>
                <w:color w:val="17365D"/>
                <w:sz w:val="18"/>
              </w:rPr>
              <w:t>5</w:t>
            </w:r>
          </w:p>
        </w:tc>
        <w:tc>
          <w:tcPr>
            <w:tcW w:type="dxa" w:w="9865"/>
            <w:tcMar>
              <w:top w:w="45" w:type="dxa"/>
              <w:start w:w="65" w:type="dxa"/>
              <w:bottom w:w="45" w:type="dxa"/>
              <w:end w:w="65" w:type="dxa"/>
            </w:tcMar>
            <w:vAlign w:val="center"/>
          </w:tcPr>
          <w:p>
            <w:r>
              <w:rPr>
                <w:sz w:val="17"/>
              </w:rPr>
              <w:t>Established the project objective of combining qualitative observations with quantitative measurements rather than presenting the machine only as a visual demonstration.</w:t>
            </w:r>
          </w:p>
        </w:tc>
      </w:tr>
      <w:tr>
        <w:tc>
          <w:tcPr>
            <w:tcW w:type="dxa" w:w="765"/>
            <w:tcMar>
              <w:top w:w="45" w:type="dxa"/>
              <w:start w:w="65" w:type="dxa"/>
              <w:bottom w:w="45" w:type="dxa"/>
              <w:end w:w="65" w:type="dxa"/>
            </w:tcMar>
            <w:vAlign w:val="center"/>
          </w:tcPr>
          <w:p>
            <w:pPr>
              <w:jc w:val="center"/>
            </w:pPr>
            <w:r>
              <w:rPr>
                <w:b/>
                <w:color w:val="17365D"/>
                <w:sz w:val="18"/>
              </w:rPr>
              <w:t>6</w:t>
            </w:r>
          </w:p>
        </w:tc>
        <w:tc>
          <w:tcPr>
            <w:tcW w:type="dxa" w:w="9865"/>
            <w:tcMar>
              <w:top w:w="45" w:type="dxa"/>
              <w:start w:w="65" w:type="dxa"/>
              <w:bottom w:w="45" w:type="dxa"/>
              <w:end w:w="65" w:type="dxa"/>
            </w:tcMar>
            <w:vAlign w:val="center"/>
            <w:shd w:fill="F4F8FC"/>
          </w:tcPr>
          <w:p>
            <w:r>
              <w:rPr>
                <w:sz w:val="17"/>
              </w:rPr>
              <w:t>Reviewed high-voltage safety considerations and established safe operating rules, including keeping hands away from the terminals and discharging the Leyden jars before changing connections.</w:t>
            </w:r>
          </w:p>
        </w:tc>
      </w:tr>
      <w:tr>
        <w:tc>
          <w:tcPr>
            <w:tcW w:type="dxa" w:w="765"/>
            <w:tcMar>
              <w:top w:w="45" w:type="dxa"/>
              <w:start w:w="65" w:type="dxa"/>
              <w:bottom w:w="45" w:type="dxa"/>
              <w:end w:w="65" w:type="dxa"/>
            </w:tcMar>
            <w:vAlign w:val="center"/>
          </w:tcPr>
          <w:p>
            <w:pPr>
              <w:jc w:val="center"/>
            </w:pPr>
            <w:r>
              <w:rPr>
                <w:b/>
                <w:color w:val="17365D"/>
                <w:sz w:val="18"/>
              </w:rPr>
              <w:t>7</w:t>
            </w:r>
          </w:p>
        </w:tc>
        <w:tc>
          <w:tcPr>
            <w:tcW w:type="dxa" w:w="9865"/>
            <w:tcMar>
              <w:top w:w="45" w:type="dxa"/>
              <w:start w:w="65" w:type="dxa"/>
              <w:bottom w:w="45" w:type="dxa"/>
              <w:end w:w="65" w:type="dxa"/>
            </w:tcMar>
            <w:vAlign w:val="center"/>
          </w:tcPr>
          <w:p>
            <w:r>
              <w:rPr>
                <w:sz w:val="17"/>
              </w:rPr>
              <w:t>Surveyed related electrostatic machines, including the Holtz, Pidgeon, and Wimshurst influence machines, and noted the historical importance of variable capacitance in Pidgeon's design.</w:t>
            </w:r>
          </w:p>
        </w:tc>
      </w:tr>
      <w:tr>
        <w:tc>
          <w:tcPr>
            <w:tcW w:type="dxa" w:w="765"/>
            <w:tcMar>
              <w:top w:w="45" w:type="dxa"/>
              <w:start w:w="65" w:type="dxa"/>
              <w:bottom w:w="45" w:type="dxa"/>
              <w:end w:w="65" w:type="dxa"/>
            </w:tcMar>
            <w:vAlign w:val="center"/>
          </w:tcPr>
          <w:p>
            <w:pPr>
              <w:jc w:val="center"/>
            </w:pPr>
            <w:r>
              <w:rPr>
                <w:b/>
                <w:color w:val="17365D"/>
                <w:sz w:val="18"/>
              </w:rPr>
              <w:t>8</w:t>
            </w:r>
          </w:p>
        </w:tc>
        <w:tc>
          <w:tcPr>
            <w:tcW w:type="dxa" w:w="9865"/>
            <w:tcMar>
              <w:top w:w="45" w:type="dxa"/>
              <w:start w:w="65" w:type="dxa"/>
              <w:bottom w:w="45" w:type="dxa"/>
              <w:end w:w="65" w:type="dxa"/>
            </w:tcMar>
            <w:vAlign w:val="center"/>
            <w:shd w:fill="F4F8FC"/>
          </w:tcPr>
          <w:p>
            <w:r>
              <w:rPr>
                <w:sz w:val="17"/>
              </w:rPr>
              <w:t>Finalized the investigation plan: observe and measure the spark, compare operation with and without Leyden jars, analyze voltage/current/power, detect electromagnetic emissions, and conclude with practical applications.</w:t>
            </w:r>
          </w:p>
        </w:tc>
      </w:tr>
    </w:tbl>
    <w:p/>
    <w:tbl>
      <w:tblPr>
        <w:tblW w:type="auto" w:w="0"/>
        <w:tblLook w:firstColumn="1" w:firstRow="1" w:lastColumn="0" w:lastRow="0" w:noHBand="0" w:noVBand="1" w:val="04A0"/>
      </w:tblPr>
      <w:tblGrid>
        <w:gridCol w:w="10772"/>
      </w:tblGrid>
      <w:tr>
        <w:tc>
          <w:tcPr>
            <w:tcW w:type="dxa" w:w="10772"/>
            <w:shd w:fill="FFF2CC"/>
            <w:tcMar>
              <w:top w:w="80" w:type="dxa"/>
              <w:start w:w="80" w:type="dxa"/>
              <w:bottom w:w="80" w:type="dxa"/>
              <w:end w:w="80" w:type="dxa"/>
            </w:tcMar>
          </w:tcPr>
          <w:p>
            <w:pPr>
              <w:jc w:val="center"/>
            </w:pPr>
            <w:r>
              <w:drawing>
                <wp:inline xmlns:a="http://schemas.openxmlformats.org/drawingml/2006/main" xmlns:pic="http://schemas.openxmlformats.org/drawingml/2006/picture">
                  <wp:extent cx="2520000" cy="2357419"/>
                  <wp:docPr id="2" name="Picture 2"/>
                  <wp:cNvGraphicFramePr>
                    <a:graphicFrameLocks noChangeAspect="1"/>
                  </wp:cNvGraphicFramePr>
                  <a:graphic>
                    <a:graphicData uri="http://schemas.openxmlformats.org/drawingml/2006/picture">
                      <pic:pic>
                        <pic:nvPicPr>
                          <pic:cNvPr id="0" name="ai_wimshurst_placeholder.png"/>
                          <pic:cNvPicPr/>
                        </pic:nvPicPr>
                        <pic:blipFill>
                          <a:blip r:embed="rId10"/>
                          <a:stretch>
                            <a:fillRect/>
                          </a:stretch>
                        </pic:blipFill>
                        <pic:spPr>
                          <a:xfrm>
                            <a:off x="0" y="0"/>
                            <a:ext cx="2520000" cy="2357419"/>
                          </a:xfrm>
                          <a:prstGeom prst="rect"/>
                        </pic:spPr>
                      </pic:pic>
                    </a:graphicData>
                  </a:graphic>
                </wp:inline>
              </w:drawing>
            </w:r>
          </w:p>
          <w:p>
            <w:pPr>
              <w:jc w:val="center"/>
            </w:pPr>
            <w:r>
              <w:rPr>
                <w:i/>
                <w:sz w:val="16"/>
              </w:rPr>
              <w:t>AI-generated Wimshurst apparatus placeholder — replace with a photograph of the actual machine.</w:t>
            </w:r>
          </w:p>
        </w:tc>
      </w:tr>
    </w:tbl>
    <w:p>
      <w:r>
        <w:br w:type="page"/>
      </w:r>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2 — Electrostatic Theory Development</w:t>
            </w:r>
          </w:p>
          <w:p>
            <w:pPr>
              <w:jc w:val="center"/>
            </w:pPr>
            <w:r>
              <w:rPr>
                <w:color w:val="E6EEF8"/>
                <w:sz w:val="17"/>
              </w:rPr>
              <w:t>Entries 9–17</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9</w:t>
            </w:r>
          </w:p>
        </w:tc>
        <w:tc>
          <w:tcPr>
            <w:tcW w:type="dxa" w:w="9865"/>
            <w:tcMar>
              <w:top w:w="45" w:type="dxa"/>
              <w:start w:w="65" w:type="dxa"/>
              <w:bottom w:w="45" w:type="dxa"/>
              <w:end w:w="65" w:type="dxa"/>
            </w:tcMar>
            <w:vAlign w:val="center"/>
          </w:tcPr>
          <w:p>
            <w:r>
              <w:rPr>
                <w:sz w:val="17"/>
              </w:rPr>
              <w:t>Reviewed electrical charge (Q), positive and negative charge, conductors, insulators, and conservation of charge.</w:t>
            </w:r>
          </w:p>
        </w:tc>
      </w:tr>
      <w:tr>
        <w:tc>
          <w:tcPr>
            <w:tcW w:type="dxa" w:w="765"/>
            <w:tcMar>
              <w:top w:w="45" w:type="dxa"/>
              <w:start w:w="65" w:type="dxa"/>
              <w:bottom w:w="45" w:type="dxa"/>
              <w:end w:w="65" w:type="dxa"/>
            </w:tcMar>
            <w:vAlign w:val="center"/>
          </w:tcPr>
          <w:p>
            <w:pPr>
              <w:jc w:val="center"/>
            </w:pPr>
            <w:r>
              <w:rPr>
                <w:b/>
                <w:color w:val="17365D"/>
                <w:sz w:val="18"/>
              </w:rPr>
              <w:t>10</w:t>
            </w:r>
          </w:p>
        </w:tc>
        <w:tc>
          <w:tcPr>
            <w:tcW w:type="dxa" w:w="9865"/>
            <w:tcMar>
              <w:top w:w="45" w:type="dxa"/>
              <w:start w:w="65" w:type="dxa"/>
              <w:bottom w:w="45" w:type="dxa"/>
              <w:end w:w="65" w:type="dxa"/>
            </w:tcMar>
            <w:vAlign w:val="center"/>
            <w:shd w:fill="F4F8FC"/>
          </w:tcPr>
          <w:p>
            <w:r>
              <w:rPr>
                <w:sz w:val="17"/>
              </w:rPr>
              <w:t>Studied surface charge density, represented by sigma (σ), and the simplified relationship σ = Q/A.</w:t>
            </w:r>
          </w:p>
        </w:tc>
      </w:tr>
      <w:tr>
        <w:tc>
          <w:tcPr>
            <w:tcW w:type="dxa" w:w="765"/>
            <w:tcMar>
              <w:top w:w="45" w:type="dxa"/>
              <w:start w:w="65" w:type="dxa"/>
              <w:bottom w:w="45" w:type="dxa"/>
              <w:end w:w="65" w:type="dxa"/>
            </w:tcMar>
            <w:vAlign w:val="center"/>
          </w:tcPr>
          <w:p>
            <w:pPr>
              <w:jc w:val="center"/>
            </w:pPr>
            <w:r>
              <w:rPr>
                <w:b/>
                <w:color w:val="17365D"/>
                <w:sz w:val="18"/>
              </w:rPr>
              <w:t>11</w:t>
            </w:r>
          </w:p>
        </w:tc>
        <w:tc>
          <w:tcPr>
            <w:tcW w:type="dxa" w:w="9865"/>
            <w:tcMar>
              <w:top w:w="45" w:type="dxa"/>
              <w:start w:w="65" w:type="dxa"/>
              <w:bottom w:w="45" w:type="dxa"/>
              <w:end w:w="65" w:type="dxa"/>
            </w:tcMar>
            <w:vAlign w:val="center"/>
          </w:tcPr>
          <w:p>
            <w:r>
              <w:rPr>
                <w:sz w:val="17"/>
              </w:rPr>
              <w:t>Reviewed electric field strength (E) and how charge concentrated on conductive surfaces creates strong electric fields near the output electrodes.</w:t>
            </w:r>
          </w:p>
        </w:tc>
      </w:tr>
      <w:tr>
        <w:tc>
          <w:tcPr>
            <w:tcW w:type="dxa" w:w="765"/>
            <w:tcMar>
              <w:top w:w="45" w:type="dxa"/>
              <w:start w:w="65" w:type="dxa"/>
              <w:bottom w:w="45" w:type="dxa"/>
              <w:end w:w="65" w:type="dxa"/>
            </w:tcMar>
            <w:vAlign w:val="center"/>
          </w:tcPr>
          <w:p>
            <w:pPr>
              <w:jc w:val="center"/>
            </w:pPr>
            <w:r>
              <w:rPr>
                <w:b/>
                <w:color w:val="17365D"/>
                <w:sz w:val="18"/>
              </w:rPr>
              <w:t>12</w:t>
            </w:r>
          </w:p>
        </w:tc>
        <w:tc>
          <w:tcPr>
            <w:tcW w:type="dxa" w:w="9865"/>
            <w:tcMar>
              <w:top w:w="45" w:type="dxa"/>
              <w:start w:w="65" w:type="dxa"/>
              <w:bottom w:w="45" w:type="dxa"/>
              <w:end w:w="65" w:type="dxa"/>
            </w:tcMar>
            <w:vAlign w:val="center"/>
            <w:shd w:fill="F4F8FC"/>
          </w:tcPr>
          <w:p>
            <w:r>
              <w:rPr>
                <w:sz w:val="17"/>
              </w:rPr>
              <w:t>Reviewed capacitance (C) and the fundamental relationship Q = CV, which also gives V = Q/C.</w:t>
            </w:r>
          </w:p>
        </w:tc>
      </w:tr>
      <w:tr>
        <w:tc>
          <w:tcPr>
            <w:tcW w:type="dxa" w:w="765"/>
            <w:tcMar>
              <w:top w:w="45" w:type="dxa"/>
              <w:start w:w="65" w:type="dxa"/>
              <w:bottom w:w="45" w:type="dxa"/>
              <w:end w:w="65" w:type="dxa"/>
            </w:tcMar>
            <w:vAlign w:val="center"/>
          </w:tcPr>
          <w:p>
            <w:pPr>
              <w:jc w:val="center"/>
            </w:pPr>
            <w:r>
              <w:rPr>
                <w:b/>
                <w:color w:val="17365D"/>
                <w:sz w:val="18"/>
              </w:rPr>
              <w:t>13</w:t>
            </w:r>
          </w:p>
        </w:tc>
        <w:tc>
          <w:tcPr>
            <w:tcW w:type="dxa" w:w="9865"/>
            <w:tcMar>
              <w:top w:w="45" w:type="dxa"/>
              <w:start w:w="65" w:type="dxa"/>
              <w:bottom w:w="45" w:type="dxa"/>
              <w:end w:w="65" w:type="dxa"/>
            </w:tcMar>
            <w:vAlign w:val="center"/>
          </w:tcPr>
          <w:p>
            <w:r>
              <w:rPr>
                <w:sz w:val="17"/>
              </w:rPr>
              <w:t>Studied Leyden jars as capacitors that allow substantially more charge to be stored at a given voltage.</w:t>
            </w:r>
          </w:p>
        </w:tc>
      </w:tr>
      <w:tr>
        <w:tc>
          <w:tcPr>
            <w:tcW w:type="dxa" w:w="765"/>
            <w:tcMar>
              <w:top w:w="45" w:type="dxa"/>
              <w:start w:w="65" w:type="dxa"/>
              <w:bottom w:w="45" w:type="dxa"/>
              <w:end w:w="65" w:type="dxa"/>
            </w:tcMar>
            <w:vAlign w:val="center"/>
          </w:tcPr>
          <w:p>
            <w:pPr>
              <w:jc w:val="center"/>
            </w:pPr>
            <w:r>
              <w:rPr>
                <w:b/>
                <w:color w:val="17365D"/>
                <w:sz w:val="18"/>
              </w:rPr>
              <w:t>14</w:t>
            </w:r>
          </w:p>
        </w:tc>
        <w:tc>
          <w:tcPr>
            <w:tcW w:type="dxa" w:w="9865"/>
            <w:tcMar>
              <w:top w:w="45" w:type="dxa"/>
              <w:start w:w="65" w:type="dxa"/>
              <w:bottom w:w="45" w:type="dxa"/>
              <w:end w:w="65" w:type="dxa"/>
            </w:tcMar>
            <w:vAlign w:val="center"/>
            <w:shd w:fill="F4F8FC"/>
          </w:tcPr>
          <w:p>
            <w:r>
              <w:rPr>
                <w:sz w:val="17"/>
              </w:rPr>
              <w:t>Reviewed capacitor energy using E_stored = 1/2 CV^2 and recognized that stored energy increases directly with capacitance and with the square of voltage.</w:t>
            </w:r>
          </w:p>
        </w:tc>
      </w:tr>
      <w:tr>
        <w:tc>
          <w:tcPr>
            <w:tcW w:type="dxa" w:w="765"/>
            <w:tcMar>
              <w:top w:w="45" w:type="dxa"/>
              <w:start w:w="65" w:type="dxa"/>
              <w:bottom w:w="45" w:type="dxa"/>
              <w:end w:w="65" w:type="dxa"/>
            </w:tcMar>
            <w:vAlign w:val="center"/>
          </w:tcPr>
          <w:p>
            <w:pPr>
              <w:jc w:val="center"/>
            </w:pPr>
            <w:r>
              <w:rPr>
                <w:b/>
                <w:color w:val="17365D"/>
                <w:sz w:val="18"/>
              </w:rPr>
              <w:t>15</w:t>
            </w:r>
          </w:p>
        </w:tc>
        <w:tc>
          <w:tcPr>
            <w:tcW w:type="dxa" w:w="9865"/>
            <w:tcMar>
              <w:top w:w="45" w:type="dxa"/>
              <w:start w:w="65" w:type="dxa"/>
              <w:bottom w:w="45" w:type="dxa"/>
              <w:end w:w="65" w:type="dxa"/>
            </w:tcMar>
            <w:vAlign w:val="center"/>
          </w:tcPr>
          <w:p>
            <w:r>
              <w:rPr>
                <w:sz w:val="17"/>
              </w:rPr>
              <w:t>Studied electrical breakdown of air and adopted approximately 3 kV/mm as a useful educational estimate for dry air under ordinary conditions, while noting that it is not a precision constant.</w:t>
            </w:r>
          </w:p>
        </w:tc>
      </w:tr>
      <w:tr>
        <w:tc>
          <w:tcPr>
            <w:tcW w:type="dxa" w:w="765"/>
            <w:tcMar>
              <w:top w:w="45" w:type="dxa"/>
              <w:start w:w="65" w:type="dxa"/>
              <w:bottom w:w="45" w:type="dxa"/>
              <w:end w:w="65" w:type="dxa"/>
            </w:tcMar>
            <w:vAlign w:val="center"/>
          </w:tcPr>
          <w:p>
            <w:pPr>
              <w:jc w:val="center"/>
            </w:pPr>
            <w:r>
              <w:rPr>
                <w:b/>
                <w:color w:val="17365D"/>
                <w:sz w:val="18"/>
              </w:rPr>
              <w:t>16</w:t>
            </w:r>
          </w:p>
        </w:tc>
        <w:tc>
          <w:tcPr>
            <w:tcW w:type="dxa" w:w="9865"/>
            <w:tcMar>
              <w:top w:w="45" w:type="dxa"/>
              <w:start w:w="65" w:type="dxa"/>
              <w:bottom w:w="45" w:type="dxa"/>
              <w:end w:w="65" w:type="dxa"/>
            </w:tcMar>
            <w:vAlign w:val="center"/>
            <w:shd w:fill="F4F8FC"/>
          </w:tcPr>
          <w:p>
            <w:r>
              <w:rPr>
                <w:sz w:val="17"/>
              </w:rPr>
              <w:t>Investigated why electrode curvature, humidity, pressure, temperature, and surface condition affect the electric field and spark breakdown distance.</w:t>
            </w:r>
          </w:p>
        </w:tc>
      </w:tr>
      <w:tr>
        <w:tc>
          <w:tcPr>
            <w:tcW w:type="dxa" w:w="765"/>
            <w:tcMar>
              <w:top w:w="45" w:type="dxa"/>
              <w:start w:w="65" w:type="dxa"/>
              <w:bottom w:w="45" w:type="dxa"/>
              <w:end w:w="65" w:type="dxa"/>
            </w:tcMar>
            <w:vAlign w:val="center"/>
          </w:tcPr>
          <w:p>
            <w:pPr>
              <w:jc w:val="center"/>
            </w:pPr>
            <w:r>
              <w:rPr>
                <w:b/>
                <w:color w:val="17365D"/>
                <w:sz w:val="18"/>
              </w:rPr>
              <w:t>17</w:t>
            </w:r>
          </w:p>
        </w:tc>
        <w:tc>
          <w:tcPr>
            <w:tcW w:type="dxa" w:w="9865"/>
            <w:tcMar>
              <w:top w:w="45" w:type="dxa"/>
              <w:start w:w="65" w:type="dxa"/>
              <w:bottom w:w="45" w:type="dxa"/>
              <w:end w:w="65" w:type="dxa"/>
            </w:tcMar>
            <w:vAlign w:val="center"/>
          </w:tcPr>
          <w:p>
            <w:r>
              <w:rPr>
                <w:sz w:val="17"/>
              </w:rPr>
              <w:t>Summarized the theoretical chain: charge accumulation -&gt; surface charge density -&gt; electric field -&gt; potential difference -&gt; air breakdown -&gt; spark.</w:t>
            </w:r>
          </w:p>
        </w:tc>
      </w:tr>
    </w:tbl>
    <w:p/>
    <w:tbl>
      <w:tblPr>
        <w:tblStyle w:val="TableGrid"/>
        <w:tblW w:type="auto" w:w="0"/>
        <w:jc w:val="center"/>
        <w:tblLook w:firstColumn="1" w:firstRow="1" w:lastColumn="0" w:lastRow="0" w:noHBand="0" w:noVBand="1" w:val="04A0"/>
      </w:tblPr>
      <w:tblGrid>
        <w:gridCol w:w="3591"/>
        <w:gridCol w:w="3591"/>
        <w:gridCol w:w="3591"/>
      </w:tblGrid>
      <w:tr>
        <w:tc>
          <w:tcPr>
            <w:tcW w:type="dxa" w:w="3591"/>
            <w:shd w:fill="D9EAF7"/>
            <w:tcMar>
              <w:top w:w="65" w:type="dxa"/>
              <w:start w:w="70" w:type="dxa"/>
              <w:bottom w:w="65" w:type="dxa"/>
              <w:end w:w="70" w:type="dxa"/>
            </w:tcMar>
          </w:tcPr>
          <w:p>
            <w:pPr>
              <w:jc w:val="center"/>
            </w:pPr>
            <w:r>
              <w:rPr>
                <w:b/>
                <w:color w:val="17365D"/>
                <w:sz w:val="18"/>
              </w:rPr>
              <w:t>CHARGE DENSITY</w:t>
              <w:br/>
            </w:r>
            <w:r>
              <w:rPr>
                <w:sz w:val="16"/>
              </w:rPr>
              <w:t>σ = Q/A</w:t>
              <w:br/>
              <w:t>Charge concentrated on a smaller surface area increases surface charge density.</w:t>
            </w:r>
          </w:p>
        </w:tc>
        <w:tc>
          <w:tcPr>
            <w:tcW w:type="dxa" w:w="3591"/>
            <w:shd w:fill="E2F0D9"/>
            <w:tcMar>
              <w:top w:w="65" w:type="dxa"/>
              <w:start w:w="70" w:type="dxa"/>
              <w:bottom w:w="65" w:type="dxa"/>
              <w:end w:w="70" w:type="dxa"/>
            </w:tcMar>
          </w:tcPr>
          <w:p>
            <w:pPr>
              <w:jc w:val="center"/>
            </w:pPr>
            <w:r>
              <w:rPr>
                <w:b/>
                <w:color w:val="17365D"/>
                <w:sz w:val="18"/>
              </w:rPr>
              <w:t>CAPACITANCE</w:t>
              <w:br/>
            </w:r>
            <w:r>
              <w:rPr>
                <w:sz w:val="16"/>
              </w:rPr>
              <w:t>Q = CV   •   V = Q/C</w:t>
              <w:br/>
              <w:t>Smaller capacitance requires less charge to reach a given voltage.</w:t>
            </w:r>
          </w:p>
        </w:tc>
        <w:tc>
          <w:tcPr>
            <w:tcW w:type="dxa" w:w="3591"/>
            <w:shd w:fill="FFF2CC"/>
            <w:tcMar>
              <w:top w:w="65" w:type="dxa"/>
              <w:start w:w="70" w:type="dxa"/>
              <w:bottom w:w="65" w:type="dxa"/>
              <w:end w:w="70" w:type="dxa"/>
            </w:tcMar>
          </w:tcPr>
          <w:p>
            <w:pPr>
              <w:jc w:val="center"/>
            </w:pPr>
            <w:r>
              <w:rPr>
                <w:b/>
                <w:color w:val="17365D"/>
                <w:sz w:val="18"/>
              </w:rPr>
              <w:t>AIR BREAKDOWN</w:t>
              <w:br/>
            </w:r>
            <w:r>
              <w:rPr>
                <w:sz w:val="16"/>
              </w:rPr>
              <w:t>≈ 3 kV/mm</w:t>
              <w:br/>
              <w:t>A sufficiently strong electric field ionizes the air and produces a spark.</w:t>
            </w:r>
          </w:p>
        </w:tc>
      </w:tr>
    </w:tbl>
    <w:p>
      <w:pPr>
        <w:jc w:val="center"/>
      </w:pPr>
      <w:r>
        <w:drawing>
          <wp:inline xmlns:a="http://schemas.openxmlformats.org/drawingml/2006/main" xmlns:pic="http://schemas.openxmlformats.org/drawingml/2006/picture">
            <wp:extent cx="2268000" cy="2093538"/>
            <wp:docPr id="7" name="Picture 7"/>
            <wp:cNvGraphicFramePr>
              <a:graphicFrameLocks noChangeAspect="1"/>
            </wp:cNvGraphicFramePr>
            <a:graphic>
              <a:graphicData uri="http://schemas.openxmlformats.org/drawingml/2006/picture">
                <pic:pic>
                  <pic:nvPicPr>
                    <pic:cNvPr id="0" name="ai_field_breakdown.png"/>
                    <pic:cNvPicPr/>
                  </pic:nvPicPr>
                  <pic:blipFill>
                    <a:blip r:embed="rId15"/>
                    <a:stretch>
                      <a:fillRect/>
                    </a:stretch>
                  </pic:blipFill>
                  <pic:spPr>
                    <a:xfrm>
                      <a:off x="0" y="0"/>
                      <a:ext cx="2268000" cy="2093538"/>
                    </a:xfrm>
                    <a:prstGeom prst="rect"/>
                  </pic:spPr>
                </pic:pic>
              </a:graphicData>
            </a:graphic>
          </wp:inline>
        </w:drawing>
      </w:r>
    </w:p>
    <w:p>
      <w:pPr>
        <w:jc w:val="center"/>
      </w:pPr>
      <w:r>
        <w:rPr>
          <w:i/>
          <w:sz w:val="16"/>
        </w:rPr>
        <w:t>AI-generated explanatory illustration: electric-field concentration and air breakdown.</w:t>
      </w:r>
    </w:p>
    <w:p>
      <w:r>
        <w:br w:type="page"/>
      </w:r>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3 — Experimental Planning &amp; Measurement Design</w:t>
            </w:r>
          </w:p>
          <w:p>
            <w:pPr>
              <w:jc w:val="center"/>
            </w:pPr>
            <w:r>
              <w:rPr>
                <w:color w:val="E6EEF8"/>
                <w:sz w:val="17"/>
              </w:rPr>
              <w:t>Entries 18–25</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18</w:t>
            </w:r>
          </w:p>
        </w:tc>
        <w:tc>
          <w:tcPr>
            <w:tcW w:type="dxa" w:w="9865"/>
            <w:tcMar>
              <w:top w:w="45" w:type="dxa"/>
              <w:start w:w="65" w:type="dxa"/>
              <w:bottom w:w="45" w:type="dxa"/>
              <w:end w:w="65" w:type="dxa"/>
            </w:tcMar>
            <w:vAlign w:val="center"/>
            <w:shd w:fill="F4F8FC"/>
          </w:tcPr>
          <w:p>
            <w:r>
              <w:rPr>
                <w:sz w:val="17"/>
              </w:rPr>
              <w:t>Planned a controlled comparison of the Wimshurst machine with the Leyden jars connected and disconnected.</w:t>
            </w:r>
          </w:p>
        </w:tc>
      </w:tr>
      <w:tr>
        <w:tc>
          <w:tcPr>
            <w:tcW w:type="dxa" w:w="765"/>
            <w:tcMar>
              <w:top w:w="45" w:type="dxa"/>
              <w:start w:w="65" w:type="dxa"/>
              <w:bottom w:w="45" w:type="dxa"/>
              <w:end w:w="65" w:type="dxa"/>
            </w:tcMar>
            <w:vAlign w:val="center"/>
          </w:tcPr>
          <w:p>
            <w:pPr>
              <w:jc w:val="center"/>
            </w:pPr>
            <w:r>
              <w:rPr>
                <w:b/>
                <w:color w:val="17365D"/>
                <w:sz w:val="18"/>
              </w:rPr>
              <w:t>19</w:t>
            </w:r>
          </w:p>
        </w:tc>
        <w:tc>
          <w:tcPr>
            <w:tcW w:type="dxa" w:w="9865"/>
            <w:tcMar>
              <w:top w:w="45" w:type="dxa"/>
              <w:start w:w="65" w:type="dxa"/>
              <w:bottom w:w="45" w:type="dxa"/>
              <w:end w:w="65" w:type="dxa"/>
            </w:tcMar>
            <w:vAlign w:val="center"/>
          </w:tcPr>
          <w:p>
            <w:r>
              <w:rPr>
                <w:sz w:val="17"/>
              </w:rPr>
              <w:t>Selected maximum repeatable spark-gap distance as the primary quantitative measurement for estimating high voltage.</w:t>
            </w:r>
          </w:p>
        </w:tc>
      </w:tr>
      <w:tr>
        <w:tc>
          <w:tcPr>
            <w:tcW w:type="dxa" w:w="765"/>
            <w:tcMar>
              <w:top w:w="45" w:type="dxa"/>
              <w:start w:w="65" w:type="dxa"/>
              <w:bottom w:w="45" w:type="dxa"/>
              <w:end w:w="65" w:type="dxa"/>
            </w:tcMar>
            <w:vAlign w:val="center"/>
          </w:tcPr>
          <w:p>
            <w:pPr>
              <w:jc w:val="center"/>
            </w:pPr>
            <w:r>
              <w:rPr>
                <w:b/>
                <w:color w:val="17365D"/>
                <w:sz w:val="18"/>
              </w:rPr>
              <w:t>20</w:t>
            </w:r>
          </w:p>
        </w:tc>
        <w:tc>
          <w:tcPr>
            <w:tcW w:type="dxa" w:w="9865"/>
            <w:tcMar>
              <w:top w:w="45" w:type="dxa"/>
              <w:start w:w="65" w:type="dxa"/>
              <w:bottom w:w="45" w:type="dxa"/>
              <w:end w:w="65" w:type="dxa"/>
            </w:tcMar>
            <w:vAlign w:val="center"/>
            <w:shd w:fill="F4F8FC"/>
          </w:tcPr>
          <w:p>
            <w:r>
              <w:rPr>
                <w:sz w:val="17"/>
              </w:rPr>
              <w:t>Prepared a data table for gap distance, Leyden-jar condition, approximate cranking rate, discharge appearance, discharge frequency, brightness, thickness, and sound.</w:t>
            </w:r>
          </w:p>
        </w:tc>
      </w:tr>
      <w:tr>
        <w:tc>
          <w:tcPr>
            <w:tcW w:type="dxa" w:w="765"/>
            <w:tcMar>
              <w:top w:w="45" w:type="dxa"/>
              <w:start w:w="65" w:type="dxa"/>
              <w:bottom w:w="45" w:type="dxa"/>
              <w:end w:w="65" w:type="dxa"/>
            </w:tcMar>
            <w:vAlign w:val="center"/>
          </w:tcPr>
          <w:p>
            <w:pPr>
              <w:jc w:val="center"/>
            </w:pPr>
            <w:r>
              <w:rPr>
                <w:b/>
                <w:color w:val="17365D"/>
                <w:sz w:val="18"/>
              </w:rPr>
              <w:t>21</w:t>
            </w:r>
          </w:p>
        </w:tc>
        <w:tc>
          <w:tcPr>
            <w:tcW w:type="dxa" w:w="9865"/>
            <w:tcMar>
              <w:top w:w="45" w:type="dxa"/>
              <w:start w:w="65" w:type="dxa"/>
              <w:bottom w:w="45" w:type="dxa"/>
              <w:end w:w="65" w:type="dxa"/>
            </w:tcMar>
            <w:vAlign w:val="center"/>
          </w:tcPr>
          <w:p>
            <w:r>
              <w:rPr>
                <w:sz w:val="17"/>
              </w:rPr>
              <w:t>Identified important controlled variables: electrode geometry, spark-gap distance, approximate disk speed, room conditions, and the presence or absence of the Leyden jars.</w:t>
            </w:r>
          </w:p>
        </w:tc>
      </w:tr>
      <w:tr>
        <w:tc>
          <w:tcPr>
            <w:tcW w:type="dxa" w:w="765"/>
            <w:tcMar>
              <w:top w:w="45" w:type="dxa"/>
              <w:start w:w="65" w:type="dxa"/>
              <w:bottom w:w="45" w:type="dxa"/>
              <w:end w:w="65" w:type="dxa"/>
            </w:tcMar>
            <w:vAlign w:val="center"/>
          </w:tcPr>
          <w:p>
            <w:pPr>
              <w:jc w:val="center"/>
            </w:pPr>
            <w:r>
              <w:rPr>
                <w:b/>
                <w:color w:val="17365D"/>
                <w:sz w:val="18"/>
              </w:rPr>
              <w:t>22</w:t>
            </w:r>
          </w:p>
        </w:tc>
        <w:tc>
          <w:tcPr>
            <w:tcW w:type="dxa" w:w="9865"/>
            <w:tcMar>
              <w:top w:w="45" w:type="dxa"/>
              <w:start w:w="65" w:type="dxa"/>
              <w:bottom w:w="45" w:type="dxa"/>
              <w:end w:w="65" w:type="dxa"/>
            </w:tcMar>
            <w:vAlign w:val="center"/>
            <w:shd w:fill="F4F8FC"/>
          </w:tcPr>
          <w:p>
            <w:r>
              <w:rPr>
                <w:sz w:val="17"/>
              </w:rPr>
              <w:t>Selected a ruler or caliper for measuring electrode spacing and planned repeated measurements rather than relying on a single spark.</w:t>
            </w:r>
          </w:p>
        </w:tc>
      </w:tr>
      <w:tr>
        <w:tc>
          <w:tcPr>
            <w:tcW w:type="dxa" w:w="765"/>
            <w:tcMar>
              <w:top w:w="45" w:type="dxa"/>
              <w:start w:w="65" w:type="dxa"/>
              <w:bottom w:w="45" w:type="dxa"/>
              <w:end w:w="65" w:type="dxa"/>
            </w:tcMar>
            <w:vAlign w:val="center"/>
          </w:tcPr>
          <w:p>
            <w:pPr>
              <w:jc w:val="center"/>
            </w:pPr>
            <w:r>
              <w:rPr>
                <w:b/>
                <w:color w:val="17365D"/>
                <w:sz w:val="18"/>
              </w:rPr>
              <w:t>23</w:t>
            </w:r>
          </w:p>
        </w:tc>
        <w:tc>
          <w:tcPr>
            <w:tcW w:type="dxa" w:w="9865"/>
            <w:tcMar>
              <w:top w:w="45" w:type="dxa"/>
              <w:start w:w="65" w:type="dxa"/>
              <w:bottom w:w="45" w:type="dxa"/>
              <w:end w:w="65" w:type="dxa"/>
            </w:tcMar>
            <w:vAlign w:val="center"/>
          </w:tcPr>
          <w:p>
            <w:r>
              <w:rPr>
                <w:sz w:val="17"/>
              </w:rPr>
              <w:t>Planned a battery-powered AM-radio experiment to detect the electromagnetic impulses produced by the spark without electrically connecting the receiver to the generator.</w:t>
            </w:r>
          </w:p>
        </w:tc>
      </w:tr>
      <w:tr>
        <w:tc>
          <w:tcPr>
            <w:tcW w:type="dxa" w:w="765"/>
            <w:tcMar>
              <w:top w:w="45" w:type="dxa"/>
              <w:start w:w="65" w:type="dxa"/>
              <w:bottom w:w="45" w:type="dxa"/>
              <w:end w:w="65" w:type="dxa"/>
            </w:tcMar>
            <w:vAlign w:val="center"/>
          </w:tcPr>
          <w:p>
            <w:pPr>
              <w:jc w:val="center"/>
            </w:pPr>
            <w:r>
              <w:rPr>
                <w:b/>
                <w:color w:val="17365D"/>
                <w:sz w:val="18"/>
              </w:rPr>
              <w:t>24</w:t>
            </w:r>
          </w:p>
        </w:tc>
        <w:tc>
          <w:tcPr>
            <w:tcW w:type="dxa" w:w="9865"/>
            <w:tcMar>
              <w:top w:w="45" w:type="dxa"/>
              <w:start w:w="65" w:type="dxa"/>
              <w:bottom w:w="45" w:type="dxa"/>
              <w:end w:w="65" w:type="dxa"/>
            </w:tcMar>
            <w:vAlign w:val="center"/>
            <w:shd w:fill="F4F8FC"/>
          </w:tcPr>
          <w:p>
            <w:r>
              <w:rPr>
                <w:sz w:val="17"/>
              </w:rPr>
              <w:t>Reviewed why an ordinary voltmeter or oscilloscope should not be connected directly to the Wimshurst output because of voltage ratings, source loading, insulation limitations, and oscilloscope grounding.</w:t>
            </w:r>
          </w:p>
        </w:tc>
      </w:tr>
      <w:tr>
        <w:tc>
          <w:tcPr>
            <w:tcW w:type="dxa" w:w="765"/>
            <w:tcMar>
              <w:top w:w="45" w:type="dxa"/>
              <w:start w:w="65" w:type="dxa"/>
              <w:bottom w:w="45" w:type="dxa"/>
              <w:end w:w="65" w:type="dxa"/>
            </w:tcMar>
            <w:vAlign w:val="center"/>
          </w:tcPr>
          <w:p>
            <w:pPr>
              <w:jc w:val="center"/>
            </w:pPr>
            <w:r>
              <w:rPr>
                <w:b/>
                <w:color w:val="17365D"/>
                <w:sz w:val="18"/>
              </w:rPr>
              <w:t>25</w:t>
            </w:r>
          </w:p>
        </w:tc>
        <w:tc>
          <w:tcPr>
            <w:tcW w:type="dxa" w:w="9865"/>
            <w:tcMar>
              <w:top w:w="45" w:type="dxa"/>
              <w:start w:w="65" w:type="dxa"/>
              <w:bottom w:w="45" w:type="dxa"/>
              <w:end w:w="65" w:type="dxa"/>
            </w:tcMar>
            <w:vAlign w:val="center"/>
          </w:tcPr>
          <w:p>
            <w:r>
              <w:rPr>
                <w:sz w:val="17"/>
              </w:rPr>
              <w:t>Completed a pre-test inspection of the generator, verified mechanical clearances and connections, and established the procedure for safely discharging the Leyden jars before reconfiguration.</w:t>
            </w:r>
          </w:p>
        </w:tc>
      </w:tr>
    </w:tbl>
    <w:p/>
    <w:tbl>
      <w:tblPr>
        <w:tblStyle w:val="TableGrid"/>
        <w:tblW w:type="auto" w:w="0"/>
        <w:jc w:val="center"/>
        <w:tblLook w:firstColumn="1" w:firstRow="1" w:lastColumn="0" w:lastRow="0" w:noHBand="0" w:noVBand="1" w:val="04A0"/>
      </w:tblPr>
      <w:tblGrid>
        <w:gridCol w:w="5386"/>
        <w:gridCol w:w="5386"/>
      </w:tblGrid>
      <w:tr>
        <w:tc>
          <w:tcPr>
            <w:tcW w:type="dxa" w:w="5386"/>
            <w:shd w:fill="D9EAF7"/>
            <w:tcMar>
              <w:top w:w="65" w:type="dxa"/>
              <w:start w:w="70" w:type="dxa"/>
              <w:bottom w:w="65" w:type="dxa"/>
              <w:end w:w="70" w:type="dxa"/>
            </w:tcMar>
          </w:tcPr>
          <w:p>
            <w:pPr>
              <w:jc w:val="center"/>
            </w:pPr>
            <w:r>
              <w:rPr>
                <w:b/>
                <w:color w:val="17365D"/>
                <w:sz w:val="18"/>
              </w:rPr>
              <w:t>SPARK-GAP MEASUREMENT</w:t>
              <w:br/>
            </w:r>
            <w:r>
              <w:rPr>
                <w:sz w:val="16"/>
              </w:rPr>
              <w:t>Measure maximum repeatable gap d.</w:t>
              <w:br/>
              <w:t>Estimate V ≈ 3 kV/mm × d.</w:t>
            </w:r>
          </w:p>
        </w:tc>
        <w:tc>
          <w:tcPr>
            <w:tcW w:type="dxa" w:w="5386"/>
            <w:shd w:fill="E2F0D9"/>
            <w:tcMar>
              <w:top w:w="65" w:type="dxa"/>
              <w:start w:w="70" w:type="dxa"/>
              <w:bottom w:w="65" w:type="dxa"/>
              <w:end w:w="70" w:type="dxa"/>
            </w:tcMar>
          </w:tcPr>
          <w:p>
            <w:pPr>
              <w:jc w:val="center"/>
            </w:pPr>
            <w:r>
              <w:rPr>
                <w:b/>
                <w:color w:val="17365D"/>
                <w:sz w:val="18"/>
              </w:rPr>
              <w:t>CONTROLLED VARIABLES</w:t>
              <w:br/>
            </w:r>
            <w:r>
              <w:rPr>
                <w:sz w:val="16"/>
              </w:rPr>
              <w:t>Electrode geometry • gap • approximate cranking rate • room conditions • jars connected/disconnected.</w:t>
            </w:r>
          </w:p>
        </w:tc>
      </w:tr>
    </w:tbl>
    <w:p/>
    <w:tbl>
      <w:tblPr>
        <w:tblW w:type="auto" w:w="0"/>
        <w:tblLook w:firstColumn="1" w:firstRow="1" w:lastColumn="0" w:lastRow="0" w:noHBand="0" w:noVBand="1" w:val="04A0"/>
      </w:tblPr>
      <w:tblGrid>
        <w:gridCol w:w="10772"/>
      </w:tblGrid>
      <w:tr>
        <w:tc>
          <w:tcPr>
            <w:tcW w:type="dxa" w:w="10772"/>
            <w:shd w:fill="FFF2CC"/>
            <w:tcMar>
              <w:top w:w="80" w:type="dxa"/>
              <w:start w:w="80" w:type="dxa"/>
              <w:bottom w:w="80" w:type="dxa"/>
              <w:end w:w="80" w:type="dxa"/>
            </w:tcMar>
          </w:tcPr>
          <w:p>
            <w:pPr>
              <w:jc w:val="center"/>
            </w:pPr>
            <w:r>
              <w:drawing>
                <wp:inline xmlns:a="http://schemas.openxmlformats.org/drawingml/2006/main" xmlns:pic="http://schemas.openxmlformats.org/drawingml/2006/picture">
                  <wp:extent cx="2880000" cy="1920000"/>
                  <wp:docPr id="3" name="Picture 3"/>
                  <wp:cNvGraphicFramePr>
                    <a:graphicFrameLocks noChangeAspect="1"/>
                  </wp:cNvGraphicFramePr>
                  <a:graphic>
                    <a:graphicData uri="http://schemas.openxmlformats.org/drawingml/2006/picture">
                      <pic:pic>
                        <pic:nvPicPr>
                          <pic:cNvPr id="0" name="ai_spark_gap_measurement.png"/>
                          <pic:cNvPicPr/>
                        </pic:nvPicPr>
                        <pic:blipFill>
                          <a:blip r:embed="rId11"/>
                          <a:stretch>
                            <a:fillRect/>
                          </a:stretch>
                        </pic:blipFill>
                        <pic:spPr>
                          <a:xfrm>
                            <a:off x="0" y="0"/>
                            <a:ext cx="2880000" cy="1920000"/>
                          </a:xfrm>
                          <a:prstGeom prst="rect"/>
                        </pic:spPr>
                      </pic:pic>
                    </a:graphicData>
                  </a:graphic>
                </wp:inline>
              </w:drawing>
            </w:r>
          </w:p>
          <w:p>
            <w:pPr>
              <w:jc w:val="center"/>
            </w:pPr>
            <w:r>
              <w:rPr>
                <w:i/>
                <w:sz w:val="16"/>
              </w:rPr>
              <w:t>AI-generated spark-gap measurement placeholder — replace with an actual measurement photograph.</w:t>
            </w:r>
          </w:p>
        </w:tc>
      </w:tr>
    </w:tbl>
    <w:p>
      <w:r>
        <w:br w:type="page"/>
      </w:r>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4 — Spark &amp; Leyden-Jar Investigation</w:t>
            </w:r>
          </w:p>
          <w:p>
            <w:pPr>
              <w:jc w:val="center"/>
            </w:pPr>
            <w:r>
              <w:rPr>
                <w:color w:val="E6EEF8"/>
                <w:sz w:val="17"/>
              </w:rPr>
              <w:t>Entries 26–36</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26</w:t>
            </w:r>
          </w:p>
        </w:tc>
        <w:tc>
          <w:tcPr>
            <w:tcW w:type="dxa" w:w="9865"/>
            <w:tcMar>
              <w:top w:w="45" w:type="dxa"/>
              <w:start w:w="65" w:type="dxa"/>
              <w:bottom w:w="45" w:type="dxa"/>
              <w:end w:w="65" w:type="dxa"/>
            </w:tcMar>
            <w:vAlign w:val="center"/>
            <w:shd w:fill="F4F8FC"/>
          </w:tcPr>
          <w:p>
            <w:r>
              <w:rPr>
                <w:sz w:val="17"/>
              </w:rPr>
              <w:t>Operated the Wimshurst machine with the Leyden jars connected and observed the familiar bright, energetic spark across the discharge electrodes.</w:t>
            </w:r>
          </w:p>
        </w:tc>
      </w:tr>
      <w:tr>
        <w:tc>
          <w:tcPr>
            <w:tcW w:type="dxa" w:w="765"/>
            <w:tcMar>
              <w:top w:w="45" w:type="dxa"/>
              <w:start w:w="65" w:type="dxa"/>
              <w:bottom w:w="45" w:type="dxa"/>
              <w:end w:w="65" w:type="dxa"/>
            </w:tcMar>
            <w:vAlign w:val="center"/>
          </w:tcPr>
          <w:p>
            <w:pPr>
              <w:jc w:val="center"/>
            </w:pPr>
            <w:r>
              <w:rPr>
                <w:b/>
                <w:color w:val="17365D"/>
                <w:sz w:val="18"/>
              </w:rPr>
              <w:t>27</w:t>
            </w:r>
          </w:p>
        </w:tc>
        <w:tc>
          <w:tcPr>
            <w:tcW w:type="dxa" w:w="9865"/>
            <w:tcMar>
              <w:top w:w="45" w:type="dxa"/>
              <w:start w:w="65" w:type="dxa"/>
              <w:bottom w:w="45" w:type="dxa"/>
              <w:end w:w="65" w:type="dxa"/>
            </w:tcMar>
            <w:vAlign w:val="center"/>
          </w:tcPr>
          <w:p>
            <w:r>
              <w:rPr>
                <w:sz w:val="17"/>
              </w:rPr>
              <w:t>Observed that the spark with the Leyden jars was relatively thick, bright, and accompanied by a sharp audible snap.</w:t>
            </w:r>
          </w:p>
        </w:tc>
      </w:tr>
      <w:tr>
        <w:tc>
          <w:tcPr>
            <w:tcW w:type="dxa" w:w="765"/>
            <w:tcMar>
              <w:top w:w="45" w:type="dxa"/>
              <w:start w:w="65" w:type="dxa"/>
              <w:bottom w:w="45" w:type="dxa"/>
              <w:end w:w="65" w:type="dxa"/>
            </w:tcMar>
            <w:vAlign w:val="center"/>
          </w:tcPr>
          <w:p>
            <w:pPr>
              <w:jc w:val="center"/>
            </w:pPr>
            <w:r>
              <w:rPr>
                <w:b/>
                <w:color w:val="17365D"/>
                <w:sz w:val="18"/>
              </w:rPr>
              <w:t>28</w:t>
            </w:r>
          </w:p>
        </w:tc>
        <w:tc>
          <w:tcPr>
            <w:tcW w:type="dxa" w:w="9865"/>
            <w:tcMar>
              <w:top w:w="45" w:type="dxa"/>
              <w:start w:w="65" w:type="dxa"/>
              <w:bottom w:w="45" w:type="dxa"/>
              <w:end w:w="65" w:type="dxa"/>
            </w:tcMar>
            <w:vAlign w:val="center"/>
            <w:shd w:fill="F4F8FC"/>
          </w:tcPr>
          <w:p>
            <w:r>
              <w:rPr>
                <w:sz w:val="17"/>
              </w:rPr>
              <w:t>Measured or prepared to measure the maximum repeatable spark gap with the Leyden jars connected and recorded the result for later voltage estimation.</w:t>
            </w:r>
          </w:p>
        </w:tc>
      </w:tr>
      <w:tr>
        <w:tc>
          <w:tcPr>
            <w:tcW w:type="dxa" w:w="765"/>
            <w:tcMar>
              <w:top w:w="45" w:type="dxa"/>
              <w:start w:w="65" w:type="dxa"/>
              <w:bottom w:w="45" w:type="dxa"/>
              <w:end w:w="65" w:type="dxa"/>
            </w:tcMar>
            <w:vAlign w:val="center"/>
          </w:tcPr>
          <w:p>
            <w:pPr>
              <w:jc w:val="center"/>
            </w:pPr>
            <w:r>
              <w:rPr>
                <w:b/>
                <w:color w:val="17365D"/>
                <w:sz w:val="18"/>
              </w:rPr>
              <w:t>29</w:t>
            </w:r>
          </w:p>
        </w:tc>
        <w:tc>
          <w:tcPr>
            <w:tcW w:type="dxa" w:w="9865"/>
            <w:tcMar>
              <w:top w:w="45" w:type="dxa"/>
              <w:start w:w="65" w:type="dxa"/>
              <w:bottom w:w="45" w:type="dxa"/>
              <w:end w:w="65" w:type="dxa"/>
            </w:tcMar>
            <w:vAlign w:val="center"/>
          </w:tcPr>
          <w:p>
            <w:r>
              <w:rPr>
                <w:sz w:val="17"/>
              </w:rPr>
              <w:t>Disconnected the Leyden jars after safely discharging the machine and repeated the experiment using approximately the same electrode geometry and cranking conditions.</w:t>
            </w:r>
          </w:p>
        </w:tc>
      </w:tr>
      <w:tr>
        <w:tc>
          <w:tcPr>
            <w:tcW w:type="dxa" w:w="765"/>
            <w:tcMar>
              <w:top w:w="45" w:type="dxa"/>
              <w:start w:w="65" w:type="dxa"/>
              <w:bottom w:w="45" w:type="dxa"/>
              <w:end w:w="65" w:type="dxa"/>
            </w:tcMar>
            <w:vAlign w:val="center"/>
          </w:tcPr>
          <w:p>
            <w:pPr>
              <w:jc w:val="center"/>
            </w:pPr>
            <w:r>
              <w:rPr>
                <w:b/>
                <w:color w:val="17365D"/>
                <w:sz w:val="18"/>
              </w:rPr>
              <w:t>30</w:t>
            </w:r>
          </w:p>
        </w:tc>
        <w:tc>
          <w:tcPr>
            <w:tcW w:type="dxa" w:w="9865"/>
            <w:tcMar>
              <w:top w:w="45" w:type="dxa"/>
              <w:start w:w="65" w:type="dxa"/>
              <w:bottom w:w="45" w:type="dxa"/>
              <w:end w:w="65" w:type="dxa"/>
            </w:tcMar>
            <w:vAlign w:val="center"/>
            <w:shd w:fill="F4F8FC"/>
          </w:tcPr>
          <w:p>
            <w:r>
              <w:rPr>
                <w:sz w:val="17"/>
              </w:rPr>
              <w:t>Observed a striking change: instead of isolated large sparks, the machine produced a rapid, thin blue discharge across the gap.</w:t>
            </w:r>
          </w:p>
        </w:tc>
      </w:tr>
      <w:tr>
        <w:tc>
          <w:tcPr>
            <w:tcW w:type="dxa" w:w="765"/>
            <w:tcMar>
              <w:top w:w="45" w:type="dxa"/>
              <w:start w:w="65" w:type="dxa"/>
              <w:bottom w:w="45" w:type="dxa"/>
              <w:end w:w="65" w:type="dxa"/>
            </w:tcMar>
            <w:vAlign w:val="center"/>
          </w:tcPr>
          <w:p>
            <w:pPr>
              <w:jc w:val="center"/>
            </w:pPr>
            <w:r>
              <w:rPr>
                <w:b/>
                <w:color w:val="17365D"/>
                <w:sz w:val="18"/>
              </w:rPr>
              <w:t>31</w:t>
            </w:r>
          </w:p>
        </w:tc>
        <w:tc>
          <w:tcPr>
            <w:tcW w:type="dxa" w:w="9865"/>
            <w:tcMar>
              <w:top w:w="45" w:type="dxa"/>
              <w:start w:w="65" w:type="dxa"/>
              <w:bottom w:w="45" w:type="dxa"/>
              <w:end w:w="65" w:type="dxa"/>
            </w:tcMar>
            <w:vAlign w:val="center"/>
          </w:tcPr>
          <w:p>
            <w:r>
              <w:rPr>
                <w:sz w:val="17"/>
              </w:rPr>
              <w:t>Recorded the key question raised by the observation: Why does removing the capacitors cause breakdown to occur much more frequently even though each discharge is visibly weaker?</w:t>
            </w:r>
          </w:p>
        </w:tc>
      </w:tr>
      <w:tr>
        <w:tc>
          <w:tcPr>
            <w:tcW w:type="dxa" w:w="765"/>
            <w:tcMar>
              <w:top w:w="45" w:type="dxa"/>
              <w:start w:w="65" w:type="dxa"/>
              <w:bottom w:w="45" w:type="dxa"/>
              <w:end w:w="65" w:type="dxa"/>
            </w:tcMar>
            <w:vAlign w:val="center"/>
          </w:tcPr>
          <w:p>
            <w:pPr>
              <w:jc w:val="center"/>
            </w:pPr>
            <w:r>
              <w:rPr>
                <w:b/>
                <w:color w:val="17365D"/>
                <w:sz w:val="18"/>
              </w:rPr>
              <w:t>32</w:t>
            </w:r>
          </w:p>
        </w:tc>
        <w:tc>
          <w:tcPr>
            <w:tcW w:type="dxa" w:w="9865"/>
            <w:tcMar>
              <w:top w:w="45" w:type="dxa"/>
              <w:start w:w="65" w:type="dxa"/>
              <w:bottom w:w="45" w:type="dxa"/>
              <w:end w:w="65" w:type="dxa"/>
            </w:tcMar>
            <w:vAlign w:val="center"/>
            <w:shd w:fill="F4F8FC"/>
          </w:tcPr>
          <w:p>
            <w:r>
              <w:rPr>
                <w:sz w:val="17"/>
              </w:rPr>
              <w:t>Formulated the hypothesis that the much smaller effective capacitance without the Leyden jars requires less accumulated charge to raise the terminal voltage and electric field to air-breakdown conditions.</w:t>
            </w:r>
          </w:p>
        </w:tc>
      </w:tr>
      <w:tr>
        <w:tc>
          <w:tcPr>
            <w:tcW w:type="dxa" w:w="765"/>
            <w:tcMar>
              <w:top w:w="45" w:type="dxa"/>
              <w:start w:w="65" w:type="dxa"/>
              <w:bottom w:w="45" w:type="dxa"/>
              <w:end w:w="65" w:type="dxa"/>
            </w:tcMar>
            <w:vAlign w:val="center"/>
          </w:tcPr>
          <w:p>
            <w:pPr>
              <w:jc w:val="center"/>
            </w:pPr>
            <w:r>
              <w:rPr>
                <w:b/>
                <w:color w:val="17365D"/>
                <w:sz w:val="18"/>
              </w:rPr>
              <w:t>33</w:t>
            </w:r>
          </w:p>
        </w:tc>
        <w:tc>
          <w:tcPr>
            <w:tcW w:type="dxa" w:w="9865"/>
            <w:tcMar>
              <w:top w:w="45" w:type="dxa"/>
              <w:start w:w="65" w:type="dxa"/>
              <w:bottom w:w="45" w:type="dxa"/>
              <w:end w:w="65" w:type="dxa"/>
            </w:tcMar>
            <w:vAlign w:val="center"/>
          </w:tcPr>
          <w:p>
            <w:r>
              <w:rPr>
                <w:sz w:val="17"/>
              </w:rPr>
              <w:t>Connected the hypothesis to Q = CV: at a similar breakdown voltage, a smaller C means a smaller Q is required before discharge.</w:t>
            </w:r>
          </w:p>
        </w:tc>
      </w:tr>
      <w:tr>
        <w:tc>
          <w:tcPr>
            <w:tcW w:type="dxa" w:w="765"/>
            <w:tcMar>
              <w:top w:w="45" w:type="dxa"/>
              <w:start w:w="65" w:type="dxa"/>
              <w:bottom w:w="45" w:type="dxa"/>
              <w:end w:w="65" w:type="dxa"/>
            </w:tcMar>
            <w:vAlign w:val="center"/>
          </w:tcPr>
          <w:p>
            <w:pPr>
              <w:jc w:val="center"/>
            </w:pPr>
            <w:r>
              <w:rPr>
                <w:b/>
                <w:color w:val="17365D"/>
                <w:sz w:val="18"/>
              </w:rPr>
              <w:t>34</w:t>
            </w:r>
          </w:p>
        </w:tc>
        <w:tc>
          <w:tcPr>
            <w:tcW w:type="dxa" w:w="9865"/>
            <w:tcMar>
              <w:top w:w="45" w:type="dxa"/>
              <w:start w:w="65" w:type="dxa"/>
              <w:bottom w:w="45" w:type="dxa"/>
              <w:end w:w="65" w:type="dxa"/>
            </w:tcMar>
            <w:vAlign w:val="center"/>
            <w:shd w:fill="F4F8FC"/>
          </w:tcPr>
          <w:p>
            <w:r>
              <w:rPr>
                <w:sz w:val="17"/>
              </w:rPr>
              <w:t>Connected the visible difference to stored energy: E_stored = 1/2 CV^2 predicts much less energy per discharge when the effective capacitance is small.</w:t>
            </w:r>
          </w:p>
        </w:tc>
      </w:tr>
      <w:tr>
        <w:tc>
          <w:tcPr>
            <w:tcW w:type="dxa" w:w="765"/>
            <w:tcMar>
              <w:top w:w="45" w:type="dxa"/>
              <w:start w:w="65" w:type="dxa"/>
              <w:bottom w:w="45" w:type="dxa"/>
              <w:end w:w="65" w:type="dxa"/>
            </w:tcMar>
            <w:vAlign w:val="center"/>
          </w:tcPr>
          <w:p>
            <w:pPr>
              <w:jc w:val="center"/>
            </w:pPr>
            <w:r>
              <w:rPr>
                <w:b/>
                <w:color w:val="17365D"/>
                <w:sz w:val="18"/>
              </w:rPr>
              <w:t>35</w:t>
            </w:r>
          </w:p>
        </w:tc>
        <w:tc>
          <w:tcPr>
            <w:tcW w:type="dxa" w:w="9865"/>
            <w:tcMar>
              <w:top w:w="45" w:type="dxa"/>
              <w:start w:w="65" w:type="dxa"/>
              <w:bottom w:w="45" w:type="dxa"/>
              <w:end w:w="65" w:type="dxa"/>
            </w:tcMar>
            <w:vAlign w:val="center"/>
          </w:tcPr>
          <w:p>
            <w:r>
              <w:rPr>
                <w:sz w:val="17"/>
              </w:rPr>
              <w:t>Compared the two configurations qualitatively: without jars - frequent, thin, relatively weak discharges; with jars - slower, thicker, brighter, more energetic sparks.</w:t>
            </w:r>
          </w:p>
        </w:tc>
      </w:tr>
      <w:tr>
        <w:tc>
          <w:tcPr>
            <w:tcW w:type="dxa" w:w="765"/>
            <w:tcMar>
              <w:top w:w="45" w:type="dxa"/>
              <w:start w:w="65" w:type="dxa"/>
              <w:bottom w:w="45" w:type="dxa"/>
              <w:end w:w="65" w:type="dxa"/>
            </w:tcMar>
            <w:vAlign w:val="center"/>
          </w:tcPr>
          <w:p>
            <w:pPr>
              <w:jc w:val="center"/>
            </w:pPr>
            <w:r>
              <w:rPr>
                <w:b/>
                <w:color w:val="17365D"/>
                <w:sz w:val="18"/>
              </w:rPr>
              <w:t>36</w:t>
            </w:r>
          </w:p>
        </w:tc>
        <w:tc>
          <w:tcPr>
            <w:tcW w:type="dxa" w:w="9865"/>
            <w:tcMar>
              <w:top w:w="45" w:type="dxa"/>
              <w:start w:w="65" w:type="dxa"/>
              <w:bottom w:w="45" w:type="dxa"/>
              <w:end w:w="65" w:type="dxa"/>
            </w:tcMar>
            <w:vAlign w:val="center"/>
            <w:shd w:fill="F4F8FC"/>
          </w:tcPr>
          <w:p>
            <w:r>
              <w:rPr>
                <w:sz w:val="17"/>
              </w:rPr>
              <w:t>Repeated the comparison to confirm that the discharge behavior was reproducible and concluded that capacitance strongly controls the amount of stored charge and energy available at breakdown.</w:t>
            </w:r>
          </w:p>
        </w:tc>
      </w:tr>
    </w:tbl>
    <w:p/>
    <w:tbl>
      <w:tblPr>
        <w:tblStyle w:val="TableGrid"/>
        <w:tblW w:type="auto" w:w="0"/>
        <w:jc w:val="center"/>
        <w:tblLook w:firstColumn="1" w:firstRow="1" w:lastColumn="0" w:lastRow="0" w:noHBand="0" w:noVBand="1" w:val="04A0"/>
      </w:tblPr>
      <w:tblGrid>
        <w:gridCol w:w="5386"/>
        <w:gridCol w:w="5386"/>
      </w:tblGrid>
      <w:tr>
        <w:tc>
          <w:tcPr>
            <w:tcW w:type="dxa" w:w="5386"/>
            <w:shd w:fill="D9EAF7"/>
            <w:tcMar>
              <w:top w:w="65" w:type="dxa"/>
              <w:start w:w="70" w:type="dxa"/>
              <w:bottom w:w="65" w:type="dxa"/>
              <w:end w:w="70" w:type="dxa"/>
            </w:tcMar>
          </w:tcPr>
          <w:p>
            <w:pPr>
              <w:jc w:val="center"/>
            </w:pPr>
            <w:r>
              <w:rPr>
                <w:b/>
                <w:color w:val="17365D"/>
                <w:sz w:val="18"/>
              </w:rPr>
              <w:t>WITH LEYDEN JARS</w:t>
              <w:br/>
            </w:r>
            <w:r>
              <w:rPr>
                <w:sz w:val="16"/>
              </w:rPr>
              <w:t>Slower, thicker, brighter sparks.</w:t>
              <w:br/>
              <w:t>More stored charge and energy before breakdown.</w:t>
            </w:r>
          </w:p>
        </w:tc>
        <w:tc>
          <w:tcPr>
            <w:tcW w:type="dxa" w:w="5386"/>
            <w:shd w:fill="FFF2CC"/>
            <w:tcMar>
              <w:top w:w="65" w:type="dxa"/>
              <w:start w:w="70" w:type="dxa"/>
              <w:bottom w:w="65" w:type="dxa"/>
              <w:end w:w="70" w:type="dxa"/>
            </w:tcMar>
          </w:tcPr>
          <w:p>
            <w:pPr>
              <w:jc w:val="center"/>
            </w:pPr>
            <w:r>
              <w:rPr>
                <w:b/>
                <w:color w:val="17365D"/>
                <w:sz w:val="18"/>
              </w:rPr>
              <w:t>WITHOUT LEYDEN JARS</w:t>
              <w:br/>
            </w:r>
            <w:r>
              <w:rPr>
                <w:sz w:val="16"/>
              </w:rPr>
              <w:t>Rapid, thin blue discharge.</w:t>
              <w:br/>
              <w:t>Lower capacitance means less charge is required to reach breakdown.</w:t>
            </w:r>
          </w:p>
        </w:tc>
      </w:tr>
    </w:tbl>
    <w:p>
      <w:pPr>
        <w:jc w:val="center"/>
      </w:pPr>
      <w:r>
        <w:drawing>
          <wp:inline xmlns:a="http://schemas.openxmlformats.org/drawingml/2006/main" xmlns:pic="http://schemas.openxmlformats.org/drawingml/2006/picture">
            <wp:extent cx="2951999" cy="1868713"/>
            <wp:docPr id="10" name="Picture 10"/>
            <wp:cNvGraphicFramePr>
              <a:graphicFrameLocks noChangeAspect="1"/>
            </wp:cNvGraphicFramePr>
            <a:graphic>
              <a:graphicData uri="http://schemas.openxmlformats.org/drawingml/2006/picture">
                <pic:pic>
                  <pic:nvPicPr>
                    <pic:cNvPr id="0" name="Wimshurst Discharge.jpg"/>
                    <pic:cNvPicPr/>
                  </pic:nvPicPr>
                  <pic:blipFill>
                    <a:blip r:embed="rId18"/>
                    <a:stretch>
                      <a:fillRect/>
                    </a:stretch>
                  </pic:blipFill>
                  <pic:spPr>
                    <a:xfrm>
                      <a:off x="0" y="0"/>
                      <a:ext cx="2951999" cy="1868713"/>
                    </a:xfrm>
                    <a:prstGeom prst="rect"/>
                  </pic:spPr>
                </pic:pic>
              </a:graphicData>
            </a:graphic>
          </wp:inline>
        </w:drawing>
      </w:r>
    </w:p>
    <w:p>
      <w:pPr>
        <w:jc w:val="center"/>
      </w:pPr>
      <w:r>
        <w:rPr>
          <w:i/>
          <w:sz w:val="16"/>
        </w:rPr>
        <w:t>Supplied project photograph: Wimshurst spark discharge.</w:t>
      </w:r>
    </w:p>
    <w:p/>
    <w:tbl>
      <w:tblPr>
        <w:tblW w:type="auto" w:w="0"/>
        <w:tblLook w:firstColumn="1" w:firstRow="1" w:lastColumn="0" w:lastRow="0" w:noHBand="0" w:noVBand="1" w:val="04A0"/>
      </w:tblPr>
      <w:tblGrid>
        <w:gridCol w:w="10772"/>
      </w:tblGrid>
      <w:tr>
        <w:tc>
          <w:tcPr>
            <w:tcW w:type="dxa" w:w="10772"/>
            <w:shd w:fill="FFF2CC"/>
            <w:tcMar>
              <w:top w:w="80" w:type="dxa"/>
              <w:start w:w="80" w:type="dxa"/>
              <w:bottom w:w="80" w:type="dxa"/>
              <w:end w:w="80" w:type="dxa"/>
            </w:tcMar>
          </w:tcPr>
          <w:p>
            <w:pPr>
              <w:jc w:val="center"/>
            </w:pPr>
            <w:r>
              <w:drawing>
                <wp:inline xmlns:a="http://schemas.openxmlformats.org/drawingml/2006/main" xmlns:pic="http://schemas.openxmlformats.org/drawingml/2006/picture">
                  <wp:extent cx="2160000" cy="2381538"/>
                  <wp:docPr id="4" name="Picture 4"/>
                  <wp:cNvGraphicFramePr>
                    <a:graphicFrameLocks noChangeAspect="1"/>
                  </wp:cNvGraphicFramePr>
                  <a:graphic>
                    <a:graphicData uri="http://schemas.openxmlformats.org/drawingml/2006/picture">
                      <pic:pic>
                        <pic:nvPicPr>
                          <pic:cNvPr id="0" name="ai_spark_with_jars.png"/>
                          <pic:cNvPicPr/>
                        </pic:nvPicPr>
                        <pic:blipFill>
                          <a:blip r:embed="rId12"/>
                          <a:stretch>
                            <a:fillRect/>
                          </a:stretch>
                        </pic:blipFill>
                        <pic:spPr>
                          <a:xfrm>
                            <a:off x="0" y="0"/>
                            <a:ext cx="2160000" cy="2381538"/>
                          </a:xfrm>
                          <a:prstGeom prst="rect"/>
                        </pic:spPr>
                      </pic:pic>
                    </a:graphicData>
                  </a:graphic>
                </wp:inline>
              </w:drawing>
            </w:r>
            <w:r>
              <w:t xml:space="preserve">   </w:t>
            </w:r>
            <w:r>
              <w:drawing>
                <wp:inline xmlns:a="http://schemas.openxmlformats.org/drawingml/2006/main" xmlns:pic="http://schemas.openxmlformats.org/drawingml/2006/picture">
                  <wp:extent cx="2160000" cy="2211429"/>
                  <wp:docPr id="5" name="Picture 5"/>
                  <wp:cNvGraphicFramePr>
                    <a:graphicFrameLocks noChangeAspect="1"/>
                  </wp:cNvGraphicFramePr>
                  <a:graphic>
                    <a:graphicData uri="http://schemas.openxmlformats.org/drawingml/2006/picture">
                      <pic:pic>
                        <pic:nvPicPr>
                          <pic:cNvPr id="0" name="ai_spark_without_jars.png"/>
                          <pic:cNvPicPr/>
                        </pic:nvPicPr>
                        <pic:blipFill>
                          <a:blip r:embed="rId13"/>
                          <a:stretch>
                            <a:fillRect/>
                          </a:stretch>
                        </pic:blipFill>
                        <pic:spPr>
                          <a:xfrm>
                            <a:off x="0" y="0"/>
                            <a:ext cx="2160000" cy="2211429"/>
                          </a:xfrm>
                          <a:prstGeom prst="rect"/>
                        </pic:spPr>
                      </pic:pic>
                    </a:graphicData>
                  </a:graphic>
                </wp:inline>
              </w:drawing>
            </w:r>
          </w:p>
          <w:p>
            <w:pPr>
              <w:jc w:val="center"/>
            </w:pPr>
            <w:r>
              <w:rPr>
                <w:i/>
                <w:sz w:val="16"/>
              </w:rPr>
              <w:t>AI-generated comparison: with Leyden jars (left) and without Leyden jars (right). Replace with actual experiment photographs.</w:t>
            </w:r>
          </w:p>
        </w:tc>
      </w:tr>
    </w:tbl>
    <w:p>
      <w:r>
        <w:br w:type="page"/>
      </w:r>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5 — Voltage, Current &amp; Power Analysis</w:t>
            </w:r>
          </w:p>
          <w:p>
            <w:pPr>
              <w:jc w:val="center"/>
            </w:pPr>
            <w:r>
              <w:rPr>
                <w:color w:val="E6EEF8"/>
                <w:sz w:val="17"/>
              </w:rPr>
              <w:t>Entries 37–44</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37</w:t>
            </w:r>
          </w:p>
        </w:tc>
        <w:tc>
          <w:tcPr>
            <w:tcW w:type="dxa" w:w="9865"/>
            <w:tcMar>
              <w:top w:w="45" w:type="dxa"/>
              <w:start w:w="65" w:type="dxa"/>
              <w:bottom w:w="45" w:type="dxa"/>
              <w:end w:w="65" w:type="dxa"/>
            </w:tcMar>
            <w:vAlign w:val="center"/>
          </w:tcPr>
          <w:p>
            <w:r>
              <w:rPr>
                <w:sz w:val="17"/>
              </w:rPr>
              <w:t>Used the maximum repeatable spark-gap distance as an indirect measurement of the generator's high voltage.</w:t>
            </w:r>
          </w:p>
        </w:tc>
      </w:tr>
      <w:tr>
        <w:tc>
          <w:tcPr>
            <w:tcW w:type="dxa" w:w="765"/>
            <w:tcMar>
              <w:top w:w="45" w:type="dxa"/>
              <w:start w:w="65" w:type="dxa"/>
              <w:bottom w:w="45" w:type="dxa"/>
              <w:end w:w="65" w:type="dxa"/>
            </w:tcMar>
            <w:vAlign w:val="center"/>
          </w:tcPr>
          <w:p>
            <w:pPr>
              <w:jc w:val="center"/>
            </w:pPr>
            <w:r>
              <w:rPr>
                <w:b/>
                <w:color w:val="17365D"/>
                <w:sz w:val="18"/>
              </w:rPr>
              <w:t>38</w:t>
            </w:r>
          </w:p>
        </w:tc>
        <w:tc>
          <w:tcPr>
            <w:tcW w:type="dxa" w:w="9865"/>
            <w:tcMar>
              <w:top w:w="45" w:type="dxa"/>
              <w:start w:w="65" w:type="dxa"/>
              <w:bottom w:w="45" w:type="dxa"/>
              <w:end w:w="65" w:type="dxa"/>
            </w:tcMar>
            <w:vAlign w:val="center"/>
            <w:shd w:fill="F4F8FC"/>
          </w:tcPr>
          <w:p>
            <w:r>
              <w:rPr>
                <w:sz w:val="17"/>
              </w:rPr>
              <w:t>Applied the approximate relationship V ≈ (3 kV/mm) x d; for example, a repeatable 10 mm gap corresponds to an estimated voltage of about 30 kV.</w:t>
            </w:r>
          </w:p>
        </w:tc>
      </w:tr>
      <w:tr>
        <w:tc>
          <w:tcPr>
            <w:tcW w:type="dxa" w:w="765"/>
            <w:tcMar>
              <w:top w:w="45" w:type="dxa"/>
              <w:start w:w="65" w:type="dxa"/>
              <w:bottom w:w="45" w:type="dxa"/>
              <w:end w:w="65" w:type="dxa"/>
            </w:tcMar>
            <w:vAlign w:val="center"/>
          </w:tcPr>
          <w:p>
            <w:pPr>
              <w:jc w:val="center"/>
            </w:pPr>
            <w:r>
              <w:rPr>
                <w:b/>
                <w:color w:val="17365D"/>
                <w:sz w:val="18"/>
              </w:rPr>
              <w:t>39</w:t>
            </w:r>
          </w:p>
        </w:tc>
        <w:tc>
          <w:tcPr>
            <w:tcW w:type="dxa" w:w="9865"/>
            <w:tcMar>
              <w:top w:w="45" w:type="dxa"/>
              <w:start w:w="65" w:type="dxa"/>
              <w:bottom w:w="45" w:type="dxa"/>
              <w:end w:w="65" w:type="dxa"/>
            </w:tcMar>
            <w:vAlign w:val="center"/>
          </w:tcPr>
          <w:p>
            <w:r>
              <w:rPr>
                <w:sz w:val="17"/>
              </w:rPr>
              <w:t>Recorded that the spark-gap method is an estimate because air breakdown varies with humidity, pressure, temperature, electrode shape, surface condition, and other factors.</w:t>
            </w:r>
          </w:p>
        </w:tc>
      </w:tr>
      <w:tr>
        <w:tc>
          <w:tcPr>
            <w:tcW w:type="dxa" w:w="765"/>
            <w:tcMar>
              <w:top w:w="45" w:type="dxa"/>
              <w:start w:w="65" w:type="dxa"/>
              <w:bottom w:w="45" w:type="dxa"/>
              <w:end w:w="65" w:type="dxa"/>
            </w:tcMar>
            <w:vAlign w:val="center"/>
          </w:tcPr>
          <w:p>
            <w:pPr>
              <w:jc w:val="center"/>
            </w:pPr>
            <w:r>
              <w:rPr>
                <w:b/>
                <w:color w:val="17365D"/>
                <w:sz w:val="18"/>
              </w:rPr>
              <w:t>40</w:t>
            </w:r>
          </w:p>
        </w:tc>
        <w:tc>
          <w:tcPr>
            <w:tcW w:type="dxa" w:w="9865"/>
            <w:tcMar>
              <w:top w:w="45" w:type="dxa"/>
              <w:start w:w="65" w:type="dxa"/>
              <w:bottom w:w="45" w:type="dxa"/>
              <w:end w:w="65" w:type="dxa"/>
            </w:tcMar>
            <w:vAlign w:val="center"/>
            <w:shd w:fill="F4F8FC"/>
          </w:tcPr>
          <w:p>
            <w:r>
              <w:rPr>
                <w:sz w:val="17"/>
              </w:rPr>
              <w:t>Analyzed why direct measurement with an ordinary voltmeter would be inappropriate: the voltage can greatly exceed the meter rating and the meter's finite input resistance can load this very-high-impedance source.</w:t>
            </w:r>
          </w:p>
        </w:tc>
      </w:tr>
      <w:tr>
        <w:tc>
          <w:tcPr>
            <w:tcW w:type="dxa" w:w="765"/>
            <w:tcMar>
              <w:top w:w="45" w:type="dxa"/>
              <w:start w:w="65" w:type="dxa"/>
              <w:bottom w:w="45" w:type="dxa"/>
              <w:end w:w="65" w:type="dxa"/>
            </w:tcMar>
            <w:vAlign w:val="center"/>
          </w:tcPr>
          <w:p>
            <w:pPr>
              <w:jc w:val="center"/>
            </w:pPr>
            <w:r>
              <w:rPr>
                <w:b/>
                <w:color w:val="17365D"/>
                <w:sz w:val="18"/>
              </w:rPr>
              <w:t>41</w:t>
            </w:r>
          </w:p>
        </w:tc>
        <w:tc>
          <w:tcPr>
            <w:tcW w:type="dxa" w:w="9865"/>
            <w:tcMar>
              <w:top w:w="45" w:type="dxa"/>
              <w:start w:w="65" w:type="dxa"/>
              <w:bottom w:w="45" w:type="dxa"/>
              <w:end w:w="65" w:type="dxa"/>
            </w:tcMar>
            <w:vAlign w:val="center"/>
          </w:tcPr>
          <w:p>
            <w:r>
              <w:rPr>
                <w:sz w:val="17"/>
              </w:rPr>
              <w:t>Analyzed why an ordinary oscilloscope is also inappropriate: standard probes are not rated for tens of kilovolts and many oscilloscope grounds are earth referenced.</w:t>
            </w:r>
          </w:p>
        </w:tc>
      </w:tr>
      <w:tr>
        <w:tc>
          <w:tcPr>
            <w:tcW w:type="dxa" w:w="765"/>
            <w:tcMar>
              <w:top w:w="45" w:type="dxa"/>
              <w:start w:w="65" w:type="dxa"/>
              <w:bottom w:w="45" w:type="dxa"/>
              <w:end w:w="65" w:type="dxa"/>
            </w:tcMar>
            <w:vAlign w:val="center"/>
          </w:tcPr>
          <w:p>
            <w:pPr>
              <w:jc w:val="center"/>
            </w:pPr>
            <w:r>
              <w:rPr>
                <w:b/>
                <w:color w:val="17365D"/>
                <w:sz w:val="18"/>
              </w:rPr>
              <w:t>42</w:t>
            </w:r>
          </w:p>
        </w:tc>
        <w:tc>
          <w:tcPr>
            <w:tcW w:type="dxa" w:w="9865"/>
            <w:tcMar>
              <w:top w:w="45" w:type="dxa"/>
              <w:start w:w="65" w:type="dxa"/>
              <w:bottom w:w="45" w:type="dxa"/>
              <w:end w:w="65" w:type="dxa"/>
            </w:tcMar>
            <w:vAlign w:val="center"/>
            <w:shd w:fill="F4F8FC"/>
          </w:tcPr>
          <w:p>
            <w:r>
              <w:rPr>
                <w:sz w:val="17"/>
              </w:rPr>
              <w:t>Introduced electrical power using P = VI and converted microamperes to amperes explicitly.</w:t>
            </w:r>
          </w:p>
        </w:tc>
      </w:tr>
      <w:tr>
        <w:tc>
          <w:tcPr>
            <w:tcW w:type="dxa" w:w="765"/>
            <w:tcMar>
              <w:top w:w="45" w:type="dxa"/>
              <w:start w:w="65" w:type="dxa"/>
              <w:bottom w:w="45" w:type="dxa"/>
              <w:end w:w="65" w:type="dxa"/>
            </w:tcMar>
            <w:vAlign w:val="center"/>
          </w:tcPr>
          <w:p>
            <w:pPr>
              <w:jc w:val="center"/>
            </w:pPr>
            <w:r>
              <w:rPr>
                <w:b/>
                <w:color w:val="17365D"/>
                <w:sz w:val="18"/>
              </w:rPr>
              <w:t>43</w:t>
            </w:r>
          </w:p>
        </w:tc>
        <w:tc>
          <w:tcPr>
            <w:tcW w:type="dxa" w:w="9865"/>
            <w:tcMar>
              <w:top w:w="45" w:type="dxa"/>
              <w:start w:w="65" w:type="dxa"/>
              <w:bottom w:w="45" w:type="dxa"/>
              <w:end w:w="65" w:type="dxa"/>
            </w:tcMar>
            <w:vAlign w:val="center"/>
          </w:tcPr>
          <w:p>
            <w:r>
              <w:rPr>
                <w:sz w:val="17"/>
              </w:rPr>
              <w:t>Calculated the illustrative example: 30,000 V x 10 µA = 30,000 V x 0.000010 A = 0.30 W, demonstrating that extremely high voltage can coexist with very small continuous power.</w:t>
            </w:r>
          </w:p>
        </w:tc>
      </w:tr>
      <w:tr>
        <w:tc>
          <w:tcPr>
            <w:tcW w:type="dxa" w:w="765"/>
            <w:tcMar>
              <w:top w:w="45" w:type="dxa"/>
              <w:start w:w="65" w:type="dxa"/>
              <w:bottom w:w="45" w:type="dxa"/>
              <w:end w:w="65" w:type="dxa"/>
            </w:tcMar>
            <w:vAlign w:val="center"/>
          </w:tcPr>
          <w:p>
            <w:pPr>
              <w:jc w:val="center"/>
            </w:pPr>
            <w:r>
              <w:rPr>
                <w:b/>
                <w:color w:val="17365D"/>
                <w:sz w:val="18"/>
              </w:rPr>
              <w:t>44</w:t>
            </w:r>
          </w:p>
        </w:tc>
        <w:tc>
          <w:tcPr>
            <w:tcW w:type="dxa" w:w="9865"/>
            <w:tcMar>
              <w:top w:w="45" w:type="dxa"/>
              <w:start w:w="65" w:type="dxa"/>
              <w:bottom w:w="45" w:type="dxa"/>
              <w:end w:w="65" w:type="dxa"/>
            </w:tcMar>
            <w:vAlign w:val="center"/>
            <w:shd w:fill="F4F8FC"/>
          </w:tcPr>
          <w:p>
            <w:r>
              <w:rPr>
                <w:sz w:val="17"/>
              </w:rPr>
              <w:t>Distinguished average generator power from instantaneous spark power: energy accumulated in the Leyden jars can be released in a very short interval, producing a brief high-power discharge even when average generator power is small.</w:t>
            </w:r>
          </w:p>
        </w:tc>
      </w:tr>
    </w:tbl>
    <w:p/>
    <w:tbl>
      <w:tblPr>
        <w:tblStyle w:val="TableGrid"/>
        <w:tblW w:type="auto" w:w="0"/>
        <w:jc w:val="center"/>
        <w:tblLook w:firstColumn="1" w:firstRow="1" w:lastColumn="0" w:lastRow="0" w:noHBand="0" w:noVBand="1" w:val="04A0"/>
      </w:tblPr>
      <w:tblGrid>
        <w:gridCol w:w="3591"/>
        <w:gridCol w:w="3591"/>
        <w:gridCol w:w="3591"/>
      </w:tblGrid>
      <w:tr>
        <w:tc>
          <w:tcPr>
            <w:tcW w:type="dxa" w:w="3591"/>
            <w:shd w:fill="D9EAF7"/>
            <w:tcMar>
              <w:top w:w="65" w:type="dxa"/>
              <w:start w:w="70" w:type="dxa"/>
              <w:bottom w:w="65" w:type="dxa"/>
              <w:end w:w="70" w:type="dxa"/>
            </w:tcMar>
          </w:tcPr>
          <w:p>
            <w:pPr>
              <w:jc w:val="center"/>
            </w:pPr>
            <w:r>
              <w:rPr>
                <w:b/>
                <w:color w:val="17365D"/>
                <w:sz w:val="18"/>
              </w:rPr>
              <w:t>VOLTAGE</w:t>
              <w:br/>
            </w:r>
            <w:r>
              <w:rPr>
                <w:sz w:val="16"/>
              </w:rPr>
              <w:t>Example: 10 mm × 3 kV/mm ≈ 30 kV.</w:t>
              <w:br/>
              <w:t>Spark-gap voltage is an estimate.</w:t>
            </w:r>
          </w:p>
        </w:tc>
        <w:tc>
          <w:tcPr>
            <w:tcW w:type="dxa" w:w="3591"/>
            <w:shd w:fill="E2F0D9"/>
            <w:tcMar>
              <w:top w:w="65" w:type="dxa"/>
              <w:start w:w="70" w:type="dxa"/>
              <w:bottom w:w="65" w:type="dxa"/>
              <w:end w:w="70" w:type="dxa"/>
            </w:tcMar>
          </w:tcPr>
          <w:p>
            <w:pPr>
              <w:jc w:val="center"/>
            </w:pPr>
            <w:r>
              <w:rPr>
                <w:b/>
                <w:color w:val="17365D"/>
                <w:sz w:val="18"/>
              </w:rPr>
              <w:t>POWER</w:t>
              <w:br/>
            </w:r>
            <w:r>
              <w:rPr>
                <w:sz w:val="16"/>
              </w:rPr>
              <w:t>P = VI</w:t>
              <w:br/>
              <w:t>30,000 V × 10 µA = 0.30 W.</w:t>
            </w:r>
          </w:p>
        </w:tc>
        <w:tc>
          <w:tcPr>
            <w:tcW w:type="dxa" w:w="3591"/>
            <w:shd w:fill="FFF2CC"/>
            <w:tcMar>
              <w:top w:w="65" w:type="dxa"/>
              <w:start w:w="70" w:type="dxa"/>
              <w:bottom w:w="65" w:type="dxa"/>
              <w:end w:w="70" w:type="dxa"/>
            </w:tcMar>
          </w:tcPr>
          <w:p>
            <w:pPr>
              <w:jc w:val="center"/>
            </w:pPr>
            <w:r>
              <w:rPr>
                <w:b/>
                <w:color w:val="17365D"/>
                <w:sz w:val="18"/>
              </w:rPr>
              <w:t>WHY NOT A METER?</w:t>
              <w:br/>
            </w:r>
            <w:r>
              <w:rPr>
                <w:sz w:val="16"/>
              </w:rPr>
              <w:t>Ordinary meters/scopes can exceed ratings, load the source, or create grounding problems.</w:t>
            </w:r>
          </w:p>
        </w:tc>
      </w:tr>
    </w:tbl>
    <w:p>
      <w:r>
        <w:br w:type="page"/>
      </w:r>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6 — Electromagnetic Emission Investigation</w:t>
            </w:r>
          </w:p>
          <w:p>
            <w:pPr>
              <w:jc w:val="center"/>
            </w:pPr>
            <w:r>
              <w:rPr>
                <w:color w:val="E6EEF8"/>
                <w:sz w:val="17"/>
              </w:rPr>
              <w:t>Entries 45–50</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45</w:t>
            </w:r>
          </w:p>
        </w:tc>
        <w:tc>
          <w:tcPr>
            <w:tcW w:type="dxa" w:w="9865"/>
            <w:tcMar>
              <w:top w:w="45" w:type="dxa"/>
              <w:start w:w="65" w:type="dxa"/>
              <w:bottom w:w="45" w:type="dxa"/>
              <w:end w:w="65" w:type="dxa"/>
            </w:tcMar>
            <w:vAlign w:val="center"/>
          </w:tcPr>
          <w:p>
            <w:r>
              <w:rPr>
                <w:sz w:val="17"/>
              </w:rPr>
              <w:t>Asked whether the rapid electrical spark also produces an electromagnetic signal that can be detected without a wire connection.</w:t>
            </w:r>
          </w:p>
        </w:tc>
      </w:tr>
      <w:tr>
        <w:tc>
          <w:tcPr>
            <w:tcW w:type="dxa" w:w="765"/>
            <w:tcMar>
              <w:top w:w="45" w:type="dxa"/>
              <w:start w:w="65" w:type="dxa"/>
              <w:bottom w:w="45" w:type="dxa"/>
              <w:end w:w="65" w:type="dxa"/>
            </w:tcMar>
            <w:vAlign w:val="center"/>
          </w:tcPr>
          <w:p>
            <w:pPr>
              <w:jc w:val="center"/>
            </w:pPr>
            <w:r>
              <w:rPr>
                <w:b/>
                <w:color w:val="17365D"/>
                <w:sz w:val="18"/>
              </w:rPr>
              <w:t>46</w:t>
            </w:r>
          </w:p>
        </w:tc>
        <w:tc>
          <w:tcPr>
            <w:tcW w:type="dxa" w:w="9865"/>
            <w:tcMar>
              <w:top w:w="45" w:type="dxa"/>
              <w:start w:w="65" w:type="dxa"/>
              <w:bottom w:w="45" w:type="dxa"/>
              <w:end w:w="65" w:type="dxa"/>
            </w:tcMar>
            <w:vAlign w:val="center"/>
            <w:shd w:fill="F4F8FC"/>
          </w:tcPr>
          <w:p>
            <w:r>
              <w:rPr>
                <w:sz w:val="17"/>
              </w:rPr>
              <w:t>Prepared a battery-powered AM radio, tuned it between stations, and placed it initially about 1-2 meters from the Wimshurst machine.</w:t>
            </w:r>
          </w:p>
        </w:tc>
      </w:tr>
      <w:tr>
        <w:tc>
          <w:tcPr>
            <w:tcW w:type="dxa" w:w="765"/>
            <w:tcMar>
              <w:top w:w="45" w:type="dxa"/>
              <w:start w:w="65" w:type="dxa"/>
              <w:bottom w:w="45" w:type="dxa"/>
              <w:end w:w="65" w:type="dxa"/>
            </w:tcMar>
            <w:vAlign w:val="center"/>
          </w:tcPr>
          <w:p>
            <w:pPr>
              <w:jc w:val="center"/>
            </w:pPr>
            <w:r>
              <w:rPr>
                <w:b/>
                <w:color w:val="17365D"/>
                <w:sz w:val="18"/>
              </w:rPr>
              <w:t>47</w:t>
            </w:r>
          </w:p>
        </w:tc>
        <w:tc>
          <w:tcPr>
            <w:tcW w:type="dxa" w:w="9865"/>
            <w:tcMar>
              <w:top w:w="45" w:type="dxa"/>
              <w:start w:w="65" w:type="dxa"/>
              <w:bottom w:w="45" w:type="dxa"/>
              <w:end w:w="65" w:type="dxa"/>
            </w:tcMar>
            <w:vAlign w:val="center"/>
          </w:tcPr>
          <w:p>
            <w:r>
              <w:rPr>
                <w:sz w:val="17"/>
              </w:rPr>
              <w:t>Planned or performed the radio test with the Leyden jars connected and listened for distinct clicks or pops corresponding to individual energetic sparks.</w:t>
            </w:r>
          </w:p>
        </w:tc>
      </w:tr>
      <w:tr>
        <w:tc>
          <w:tcPr>
            <w:tcW w:type="dxa" w:w="765"/>
            <w:tcMar>
              <w:top w:w="45" w:type="dxa"/>
              <w:start w:w="65" w:type="dxa"/>
              <w:bottom w:w="45" w:type="dxa"/>
              <w:end w:w="65" w:type="dxa"/>
            </w:tcMar>
            <w:vAlign w:val="center"/>
          </w:tcPr>
          <w:p>
            <w:pPr>
              <w:jc w:val="center"/>
            </w:pPr>
            <w:r>
              <w:rPr>
                <w:b/>
                <w:color w:val="17365D"/>
                <w:sz w:val="18"/>
              </w:rPr>
              <w:t>48</w:t>
            </w:r>
          </w:p>
        </w:tc>
        <w:tc>
          <w:tcPr>
            <w:tcW w:type="dxa" w:w="9865"/>
            <w:tcMar>
              <w:top w:w="45" w:type="dxa"/>
              <w:start w:w="65" w:type="dxa"/>
              <w:bottom w:w="45" w:type="dxa"/>
              <w:end w:w="65" w:type="dxa"/>
            </w:tcMar>
            <w:vAlign w:val="center"/>
            <w:shd w:fill="F4F8FC"/>
          </w:tcPr>
          <w:p>
            <w:r>
              <w:rPr>
                <w:sz w:val="17"/>
              </w:rPr>
              <w:t>Planned or performed the radio test with the Leyden jars disconnected and listened for more rapid crackling or buzzing corresponding to the frequent thin discharges.</w:t>
            </w:r>
          </w:p>
        </w:tc>
      </w:tr>
      <w:tr>
        <w:tc>
          <w:tcPr>
            <w:tcW w:type="dxa" w:w="765"/>
            <w:tcMar>
              <w:top w:w="45" w:type="dxa"/>
              <w:start w:w="65" w:type="dxa"/>
              <w:bottom w:w="45" w:type="dxa"/>
              <w:end w:w="65" w:type="dxa"/>
            </w:tcMar>
            <w:vAlign w:val="center"/>
          </w:tcPr>
          <w:p>
            <w:pPr>
              <w:jc w:val="center"/>
            </w:pPr>
            <w:r>
              <w:rPr>
                <w:b/>
                <w:color w:val="17365D"/>
                <w:sz w:val="18"/>
              </w:rPr>
              <w:t>49</w:t>
            </w:r>
          </w:p>
        </w:tc>
        <w:tc>
          <w:tcPr>
            <w:tcW w:type="dxa" w:w="9865"/>
            <w:tcMar>
              <w:top w:w="45" w:type="dxa"/>
              <w:start w:w="65" w:type="dxa"/>
              <w:bottom w:w="45" w:type="dxa"/>
              <w:end w:w="65" w:type="dxa"/>
            </w:tcMar>
            <w:vAlign w:val="center"/>
          </w:tcPr>
          <w:p>
            <w:r>
              <w:rPr>
                <w:sz w:val="17"/>
              </w:rPr>
              <w:t>Compared the expected radio signatures: lower repetition rate but stronger individual impulses with the jars versus higher repetition rate and weaker individual impulses without the jars; optional detection distance can be recorded.</w:t>
            </w:r>
          </w:p>
        </w:tc>
      </w:tr>
      <w:tr>
        <w:tc>
          <w:tcPr>
            <w:tcW w:type="dxa" w:w="765"/>
            <w:tcMar>
              <w:top w:w="45" w:type="dxa"/>
              <w:start w:w="65" w:type="dxa"/>
              <w:bottom w:w="45" w:type="dxa"/>
              <w:end w:w="65" w:type="dxa"/>
            </w:tcMar>
            <w:vAlign w:val="center"/>
          </w:tcPr>
          <w:p>
            <w:pPr>
              <w:jc w:val="center"/>
            </w:pPr>
            <w:r>
              <w:rPr>
                <w:b/>
                <w:color w:val="17365D"/>
                <w:sz w:val="18"/>
              </w:rPr>
              <w:t>50</w:t>
            </w:r>
          </w:p>
        </w:tc>
        <w:tc>
          <w:tcPr>
            <w:tcW w:type="dxa" w:w="9865"/>
            <w:tcMar>
              <w:top w:w="45" w:type="dxa"/>
              <w:start w:w="65" w:type="dxa"/>
              <w:bottom w:w="45" w:type="dxa"/>
              <w:end w:w="65" w:type="dxa"/>
            </w:tcMar>
            <w:vAlign w:val="center"/>
            <w:shd w:fill="F4F8FC"/>
          </w:tcPr>
          <w:p>
            <w:r>
              <w:rPr>
                <w:sz w:val="17"/>
              </w:rPr>
              <w:t>Connected the experiment to the history of early wireless communication: spark-gap transmitters intentionally used rapid electrical discharges to produce broadband electromagnetic energy.</w:t>
            </w:r>
          </w:p>
        </w:tc>
      </w:tr>
    </w:tbl>
    <w:p/>
    <w:tbl>
      <w:tblPr>
        <w:tblStyle w:val="TableGrid"/>
        <w:tblW w:type="auto" w:w="0"/>
        <w:jc w:val="center"/>
        <w:tblLook w:firstColumn="1" w:firstRow="1" w:lastColumn="0" w:lastRow="0" w:noHBand="0" w:noVBand="1" w:val="04A0"/>
      </w:tblPr>
      <w:tblGrid>
        <w:gridCol w:w="3591"/>
        <w:gridCol w:w="3591"/>
        <w:gridCol w:w="3591"/>
      </w:tblGrid>
      <w:tr>
        <w:tc>
          <w:tcPr>
            <w:tcW w:type="dxa" w:w="3591"/>
            <w:shd w:fill="D9EAF7"/>
            <w:tcMar>
              <w:top w:w="65" w:type="dxa"/>
              <w:start w:w="70" w:type="dxa"/>
              <w:bottom w:w="65" w:type="dxa"/>
              <w:end w:w="70" w:type="dxa"/>
            </w:tcMar>
          </w:tcPr>
          <w:p>
            <w:pPr>
              <w:jc w:val="center"/>
            </w:pPr>
            <w:r>
              <w:rPr>
                <w:b/>
                <w:color w:val="17365D"/>
                <w:sz w:val="18"/>
              </w:rPr>
              <w:t>AM RADIO SETUP</w:t>
              <w:br/>
            </w:r>
            <w:r>
              <w:rPr>
                <w:sz w:val="16"/>
              </w:rPr>
              <w:t>Battery-powered AM radio, tuned between stations, initially about 1–2 m away.</w:t>
            </w:r>
          </w:p>
        </w:tc>
        <w:tc>
          <w:tcPr>
            <w:tcW w:type="dxa" w:w="3591"/>
            <w:shd w:fill="FFF2CC"/>
            <w:tcMar>
              <w:top w:w="65" w:type="dxa"/>
              <w:start w:w="70" w:type="dxa"/>
              <w:bottom w:w="65" w:type="dxa"/>
              <w:end w:w="70" w:type="dxa"/>
            </w:tcMar>
          </w:tcPr>
          <w:p>
            <w:pPr>
              <w:jc w:val="center"/>
            </w:pPr>
            <w:r>
              <w:rPr>
                <w:b/>
                <w:color w:val="17365D"/>
                <w:sz w:val="18"/>
              </w:rPr>
              <w:t>WITHOUT JARS</w:t>
              <w:br/>
            </w:r>
            <w:r>
              <w:rPr>
                <w:sz w:val="16"/>
              </w:rPr>
              <w:t>Expected rapid crackling/buzzing from frequent smaller impulses.</w:t>
            </w:r>
          </w:p>
        </w:tc>
        <w:tc>
          <w:tcPr>
            <w:tcW w:type="dxa" w:w="3591"/>
            <w:shd w:fill="E2F0D9"/>
            <w:tcMar>
              <w:top w:w="65" w:type="dxa"/>
              <w:start w:w="70" w:type="dxa"/>
              <w:bottom w:w="65" w:type="dxa"/>
              <w:end w:w="70" w:type="dxa"/>
            </w:tcMar>
          </w:tcPr>
          <w:p>
            <w:pPr>
              <w:jc w:val="center"/>
            </w:pPr>
            <w:r>
              <w:rPr>
                <w:b/>
                <w:color w:val="17365D"/>
                <w:sz w:val="18"/>
              </w:rPr>
              <w:t>WITH JARS</w:t>
              <w:br/>
            </w:r>
            <w:r>
              <w:rPr>
                <w:sz w:val="16"/>
              </w:rPr>
              <w:t>Expected distinct clicks/pops from less frequent, stronger impulses.</w:t>
            </w:r>
          </w:p>
        </w:tc>
      </w:tr>
    </w:tbl>
    <w:p>
      <w:pPr>
        <w:jc w:val="center"/>
      </w:pPr>
      <w:r>
        <w:drawing>
          <wp:inline xmlns:a="http://schemas.openxmlformats.org/drawingml/2006/main" xmlns:pic="http://schemas.openxmlformats.org/drawingml/2006/picture">
            <wp:extent cx="2232000" cy="2346462"/>
            <wp:docPr id="8" name="Picture 8"/>
            <wp:cNvGraphicFramePr>
              <a:graphicFrameLocks noChangeAspect="1"/>
            </wp:cNvGraphicFramePr>
            <a:graphic>
              <a:graphicData uri="http://schemas.openxmlformats.org/drawingml/2006/picture">
                <pic:pic>
                  <pic:nvPicPr>
                    <pic:cNvPr id="0" name="ai_radio_comparison.png"/>
                    <pic:cNvPicPr/>
                  </pic:nvPicPr>
                  <pic:blipFill>
                    <a:blip r:embed="rId16"/>
                    <a:stretch>
                      <a:fillRect/>
                    </a:stretch>
                  </pic:blipFill>
                  <pic:spPr>
                    <a:xfrm>
                      <a:off x="0" y="0"/>
                      <a:ext cx="2232000" cy="2346462"/>
                    </a:xfrm>
                    <a:prstGeom prst="rect"/>
                  </pic:spPr>
                </pic:pic>
              </a:graphicData>
            </a:graphic>
          </wp:inline>
        </w:drawing>
      </w:r>
    </w:p>
    <w:p>
      <w:pPr>
        <w:jc w:val="center"/>
      </w:pPr>
      <w:r>
        <w:rPr>
          <w:i/>
          <w:sz w:val="16"/>
        </w:rPr>
        <w:t>AI-generated explanatory graphic comparing the expected radio impulses with and without Leyden jars.</w:t>
      </w:r>
    </w:p>
    <w:p/>
    <w:tbl>
      <w:tblPr>
        <w:tblW w:type="auto" w:w="0"/>
        <w:tblLook w:firstColumn="1" w:firstRow="1" w:lastColumn="0" w:lastRow="0" w:noHBand="0" w:noVBand="1" w:val="04A0"/>
      </w:tblPr>
      <w:tblGrid>
        <w:gridCol w:w="10772"/>
      </w:tblGrid>
      <w:tr>
        <w:tc>
          <w:tcPr>
            <w:tcW w:type="dxa" w:w="10772"/>
            <w:shd w:fill="FFF2CC"/>
            <w:tcMar>
              <w:top w:w="80" w:type="dxa"/>
              <w:start w:w="80" w:type="dxa"/>
              <w:bottom w:w="80" w:type="dxa"/>
              <w:end w:w="80" w:type="dxa"/>
            </w:tcMar>
          </w:tcPr>
          <w:p>
            <w:pPr>
              <w:jc w:val="center"/>
            </w:pPr>
            <w:r>
              <w:drawing>
                <wp:inline xmlns:a="http://schemas.openxmlformats.org/drawingml/2006/main" xmlns:pic="http://schemas.openxmlformats.org/drawingml/2006/picture">
                  <wp:extent cx="2520000" cy="2246087"/>
                  <wp:docPr id="6" name="Picture 6"/>
                  <wp:cNvGraphicFramePr>
                    <a:graphicFrameLocks noChangeAspect="1"/>
                  </wp:cNvGraphicFramePr>
                  <a:graphic>
                    <a:graphicData uri="http://schemas.openxmlformats.org/drawingml/2006/picture">
                      <pic:pic>
                        <pic:nvPicPr>
                          <pic:cNvPr id="0" name="ai_radio_detection.png"/>
                          <pic:cNvPicPr/>
                        </pic:nvPicPr>
                        <pic:blipFill>
                          <a:blip r:embed="rId14"/>
                          <a:stretch>
                            <a:fillRect/>
                          </a:stretch>
                        </pic:blipFill>
                        <pic:spPr>
                          <a:xfrm>
                            <a:off x="0" y="0"/>
                            <a:ext cx="2520000" cy="2246087"/>
                          </a:xfrm>
                          <a:prstGeom prst="rect"/>
                        </pic:spPr>
                      </pic:pic>
                    </a:graphicData>
                  </a:graphic>
                </wp:inline>
              </w:drawing>
            </w:r>
          </w:p>
          <w:p>
            <w:pPr>
              <w:jc w:val="center"/>
            </w:pPr>
            <w:r>
              <w:rPr>
                <w:i/>
                <w:sz w:val="16"/>
              </w:rPr>
              <w:t>AI-generated AM-radio detection setup — replace with a photograph of the actual experiment.</w:t>
            </w:r>
          </w:p>
        </w:tc>
      </w:tr>
    </w:tbl>
    <w:p>
      <w:r>
        <w:br w:type="page"/>
      </w:r>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7 — Practical Applications &amp; Testatika Extension</w:t>
            </w:r>
          </w:p>
          <w:p>
            <w:pPr>
              <w:jc w:val="center"/>
            </w:pPr>
            <w:r>
              <w:rPr>
                <w:color w:val="E6EEF8"/>
                <w:sz w:val="17"/>
              </w:rPr>
              <w:t>Entries 51–55</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51</w:t>
            </w:r>
          </w:p>
        </w:tc>
        <w:tc>
          <w:tcPr>
            <w:tcW w:type="dxa" w:w="9865"/>
            <w:tcMar>
              <w:top w:w="45" w:type="dxa"/>
              <w:start w:w="65" w:type="dxa"/>
              <w:bottom w:w="45" w:type="dxa"/>
              <w:end w:w="65" w:type="dxa"/>
            </w:tcMar>
            <w:vAlign w:val="center"/>
          </w:tcPr>
          <w:p>
            <w:r>
              <w:rPr>
                <w:sz w:val="17"/>
              </w:rPr>
              <w:t>Researched established applications in which high electrostatic voltage itself is useful, including electrostatic precipitation, ionization, electrostatic coating, particle acceleration, and high-voltage research.</w:t>
            </w:r>
          </w:p>
        </w:tc>
      </w:tr>
      <w:tr>
        <w:tc>
          <w:tcPr>
            <w:tcW w:type="dxa" w:w="765"/>
            <w:tcMar>
              <w:top w:w="45" w:type="dxa"/>
              <w:start w:w="65" w:type="dxa"/>
              <w:bottom w:w="45" w:type="dxa"/>
              <w:end w:w="65" w:type="dxa"/>
            </w:tcMar>
            <w:vAlign w:val="center"/>
          </w:tcPr>
          <w:p>
            <w:pPr>
              <w:jc w:val="center"/>
            </w:pPr>
            <w:r>
              <w:rPr>
                <w:b/>
                <w:color w:val="17365D"/>
                <w:sz w:val="18"/>
              </w:rPr>
              <w:t>52</w:t>
            </w:r>
          </w:p>
        </w:tc>
        <w:tc>
          <w:tcPr>
            <w:tcW w:type="dxa" w:w="9865"/>
            <w:tcMar>
              <w:top w:w="45" w:type="dxa"/>
              <w:start w:w="65" w:type="dxa"/>
              <w:bottom w:w="45" w:type="dxa"/>
              <w:end w:w="65" w:type="dxa"/>
            </w:tcMar>
            <w:vAlign w:val="center"/>
            <w:shd w:fill="F4F8FC"/>
          </w:tcPr>
          <w:p>
            <w:r>
              <w:rPr>
                <w:sz w:val="17"/>
              </w:rPr>
              <w:t>Investigated the engineering problem of converting a very-high-voltage/high-impedance electrostatic output into lower-voltage, higher-current electrical power suitable for ordinary loads.</w:t>
            </w:r>
          </w:p>
        </w:tc>
      </w:tr>
      <w:tr>
        <w:tc>
          <w:tcPr>
            <w:tcW w:type="dxa" w:w="765"/>
            <w:tcMar>
              <w:top w:w="45" w:type="dxa"/>
              <w:start w:w="65" w:type="dxa"/>
              <w:bottom w:w="45" w:type="dxa"/>
              <w:end w:w="65" w:type="dxa"/>
            </w:tcMar>
            <w:vAlign w:val="center"/>
          </w:tcPr>
          <w:p>
            <w:pPr>
              <w:jc w:val="center"/>
            </w:pPr>
            <w:r>
              <w:rPr>
                <w:b/>
                <w:color w:val="17365D"/>
                <w:sz w:val="18"/>
              </w:rPr>
              <w:t>53</w:t>
            </w:r>
          </w:p>
        </w:tc>
        <w:tc>
          <w:tcPr>
            <w:tcW w:type="dxa" w:w="9865"/>
            <w:tcMar>
              <w:top w:w="45" w:type="dxa"/>
              <w:start w:w="65" w:type="dxa"/>
              <w:bottom w:w="45" w:type="dxa"/>
              <w:end w:w="65" w:type="dxa"/>
            </w:tcMar>
            <w:vAlign w:val="center"/>
          </w:tcPr>
          <w:p>
            <w:r>
              <w:rPr>
                <w:sz w:val="17"/>
              </w:rPr>
              <w:t>Introduced the Testatika associated with the Methernitha community in Switzerland as a reported example, under the project's stated premise, of extending Wimshurst/Pidgeon-like electrostatic principles with additional storage, inductive, resonant, rectifying, and conditioning stages.</w:t>
            </w:r>
          </w:p>
        </w:tc>
      </w:tr>
      <w:tr>
        <w:tc>
          <w:tcPr>
            <w:tcW w:type="dxa" w:w="765"/>
            <w:tcMar>
              <w:top w:w="45" w:type="dxa"/>
              <w:start w:w="65" w:type="dxa"/>
              <w:bottom w:w="45" w:type="dxa"/>
              <w:end w:w="65" w:type="dxa"/>
            </w:tcMar>
            <w:vAlign w:val="center"/>
          </w:tcPr>
          <w:p>
            <w:pPr>
              <w:jc w:val="center"/>
            </w:pPr>
            <w:r>
              <w:rPr>
                <w:b/>
                <w:color w:val="17365D"/>
                <w:sz w:val="18"/>
              </w:rPr>
              <w:t>54</w:t>
            </w:r>
          </w:p>
        </w:tc>
        <w:tc>
          <w:tcPr>
            <w:tcW w:type="dxa" w:w="9865"/>
            <w:tcMar>
              <w:top w:w="45" w:type="dxa"/>
              <w:start w:w="65" w:type="dxa"/>
              <w:bottom w:w="45" w:type="dxa"/>
              <w:end w:w="65" w:type="dxa"/>
            </w:tcMar>
            <w:vAlign w:val="center"/>
            <w:shd w:fill="F4F8FC"/>
          </w:tcPr>
          <w:p>
            <w:r>
              <w:rPr>
                <w:sz w:val="17"/>
              </w:rPr>
              <w:t>Developed the conceptual power path: electrostatic generation -&gt; charge collection/storage -&gt; electromagnetic/resonant conversion -&gt; rectification/regulation -&gt; usable DC or AC load.</w:t>
            </w:r>
          </w:p>
        </w:tc>
      </w:tr>
      <w:tr>
        <w:tc>
          <w:tcPr>
            <w:tcW w:type="dxa" w:w="765"/>
            <w:tcMar>
              <w:top w:w="45" w:type="dxa"/>
              <w:start w:w="65" w:type="dxa"/>
              <w:bottom w:w="45" w:type="dxa"/>
              <w:end w:w="65" w:type="dxa"/>
            </w:tcMar>
            <w:vAlign w:val="center"/>
          </w:tcPr>
          <w:p>
            <w:pPr>
              <w:jc w:val="center"/>
            </w:pPr>
            <w:r>
              <w:rPr>
                <w:b/>
                <w:color w:val="17365D"/>
                <w:sz w:val="18"/>
              </w:rPr>
              <w:t>55</w:t>
            </w:r>
          </w:p>
        </w:tc>
        <w:tc>
          <w:tcPr>
            <w:tcW w:type="dxa" w:w="9865"/>
            <w:tcMar>
              <w:top w:w="45" w:type="dxa"/>
              <w:start w:w="65" w:type="dxa"/>
              <w:bottom w:w="45" w:type="dxa"/>
              <w:end w:w="65" w:type="dxa"/>
            </w:tcMar>
            <w:vAlign w:val="center"/>
          </w:tcPr>
          <w:p>
            <w:r>
              <w:rPr>
                <w:sz w:val="17"/>
              </w:rPr>
              <w:t>Considered inductive loads such as motors and transformers and concluded that a complete practical system would require adequate energy buffering and output conditioning to supply starting current, reactive current, controlled voltage, and waveform.</w:t>
            </w:r>
          </w:p>
        </w:tc>
      </w:tr>
    </w:tbl>
    <w:p/>
    <w:tbl>
      <w:tblPr>
        <w:tblStyle w:val="TableGrid"/>
        <w:tblW w:type="auto" w:w="0"/>
        <w:jc w:val="center"/>
        <w:tblLook w:firstColumn="1" w:firstRow="1" w:lastColumn="0" w:lastRow="0" w:noHBand="0" w:noVBand="1" w:val="04A0"/>
      </w:tblPr>
      <w:tblGrid>
        <w:gridCol w:w="3591"/>
        <w:gridCol w:w="3591"/>
        <w:gridCol w:w="3591"/>
      </w:tblGrid>
      <w:tr>
        <w:tc>
          <w:tcPr>
            <w:tcW w:type="dxa" w:w="3591"/>
            <w:shd w:fill="D9EAF7"/>
            <w:tcMar>
              <w:top w:w="65" w:type="dxa"/>
              <w:start w:w="70" w:type="dxa"/>
              <w:bottom w:w="65" w:type="dxa"/>
              <w:end w:w="70" w:type="dxa"/>
            </w:tcMar>
          </w:tcPr>
          <w:p>
            <w:pPr>
              <w:jc w:val="center"/>
            </w:pPr>
            <w:r>
              <w:rPr>
                <w:b/>
                <w:color w:val="17365D"/>
                <w:sz w:val="18"/>
              </w:rPr>
              <w:t>1. GENERATION</w:t>
              <w:br/>
            </w:r>
            <w:r>
              <w:rPr>
                <w:sz w:val="16"/>
              </w:rPr>
              <w:t>Mechanical rotation → electrostatic charge separation → high voltage.</w:t>
            </w:r>
          </w:p>
        </w:tc>
        <w:tc>
          <w:tcPr>
            <w:tcW w:type="dxa" w:w="3591"/>
            <w:shd w:fill="E2F0D9"/>
            <w:tcMar>
              <w:top w:w="65" w:type="dxa"/>
              <w:start w:w="70" w:type="dxa"/>
              <w:bottom w:w="65" w:type="dxa"/>
              <w:end w:w="70" w:type="dxa"/>
            </w:tcMar>
          </w:tcPr>
          <w:p>
            <w:pPr>
              <w:jc w:val="center"/>
            </w:pPr>
            <w:r>
              <w:rPr>
                <w:b/>
                <w:color w:val="17365D"/>
                <w:sz w:val="18"/>
              </w:rPr>
              <w:t>2. CONVERSION</w:t>
              <w:br/>
            </w:r>
            <w:r>
              <w:rPr>
                <w:sz w:val="16"/>
              </w:rPr>
              <w:t>Charge storage → resonant/inductive conversion → rectification/regulation.</w:t>
            </w:r>
          </w:p>
        </w:tc>
        <w:tc>
          <w:tcPr>
            <w:tcW w:type="dxa" w:w="3591"/>
            <w:shd w:fill="FFF2CC"/>
            <w:tcMar>
              <w:top w:w="65" w:type="dxa"/>
              <w:start w:w="70" w:type="dxa"/>
              <w:bottom w:w="65" w:type="dxa"/>
              <w:end w:w="70" w:type="dxa"/>
            </w:tcMar>
          </w:tcPr>
          <w:p>
            <w:pPr>
              <w:jc w:val="center"/>
            </w:pPr>
            <w:r>
              <w:rPr>
                <w:b/>
                <w:color w:val="17365D"/>
                <w:sz w:val="18"/>
              </w:rPr>
              <w:t>3. LOAD</w:t>
              <w:br/>
            </w:r>
            <w:r>
              <w:rPr>
                <w:sz w:val="16"/>
              </w:rPr>
              <w:t>Conditioned electrical output suitable for the intended load.</w:t>
            </w:r>
          </w:p>
        </w:tc>
      </w:tr>
    </w:tbl>
    <w:p>
      <w:pPr>
        <w:jc w:val="center"/>
      </w:pPr>
      <w:r>
        <w:drawing>
          <wp:inline xmlns:a="http://schemas.openxmlformats.org/drawingml/2006/main" xmlns:pic="http://schemas.openxmlformats.org/drawingml/2006/picture">
            <wp:extent cx="4320000" cy="678347"/>
            <wp:docPr id="9" name="Picture 9"/>
            <wp:cNvGraphicFramePr>
              <a:graphicFrameLocks noChangeAspect="1"/>
            </wp:cNvGraphicFramePr>
            <a:graphic>
              <a:graphicData uri="http://schemas.openxmlformats.org/drawingml/2006/picture">
                <pic:pic>
                  <pic:nvPicPr>
                    <pic:cNvPr id="0" name="ai_power_path.png"/>
                    <pic:cNvPicPr/>
                  </pic:nvPicPr>
                  <pic:blipFill>
                    <a:blip r:embed="rId17"/>
                    <a:stretch>
                      <a:fillRect/>
                    </a:stretch>
                  </pic:blipFill>
                  <pic:spPr>
                    <a:xfrm>
                      <a:off x="0" y="0"/>
                      <a:ext cx="4320000" cy="678347"/>
                    </a:xfrm>
                    <a:prstGeom prst="rect"/>
                  </pic:spPr>
                </pic:pic>
              </a:graphicData>
            </a:graphic>
          </wp:inline>
        </w:drawing>
      </w:r>
    </w:p>
    <w:p>
      <w:pPr>
        <w:jc w:val="center"/>
      </w:pPr>
      <w:r>
        <w:rPr>
          <w:i/>
          <w:sz w:val="16"/>
        </w:rPr>
        <w:t>AI-generated explanatory diagram: electrostatic generation → storage → conversion/conditioning → useful load.</w:t>
      </w:r>
    </w:p>
    <w:p/>
    <w:p>
      <w:pPr>
        <w:jc w:val="center"/>
      </w:pPr>
      <w:r>
        <w:drawing>
          <wp:inline xmlns:a="http://schemas.openxmlformats.org/drawingml/2006/main" xmlns:pic="http://schemas.openxmlformats.org/drawingml/2006/picture">
            <wp:extent cx="2592000" cy="1685508"/>
            <wp:docPr id="1" name="Picture 1"/>
            <wp:cNvGraphicFramePr>
              <a:graphicFrameLocks noChangeAspect="1"/>
            </wp:cNvGraphicFramePr>
            <a:graphic>
              <a:graphicData uri="http://schemas.openxmlformats.org/drawingml/2006/picture">
                <pic:pic>
                  <pic:nvPicPr>
                    <pic:cNvPr id="0" name="Paul Baumann and the 3 kw Tabletop Unit.jpg"/>
                    <pic:cNvPicPr/>
                  </pic:nvPicPr>
                  <pic:blipFill>
                    <a:blip r:embed="rId9"/>
                    <a:stretch>
                      <a:fillRect/>
                    </a:stretch>
                  </pic:blipFill>
                  <pic:spPr>
                    <a:xfrm>
                      <a:off x="0" y="0"/>
                      <a:ext cx="2592000" cy="1685508"/>
                    </a:xfrm>
                    <a:prstGeom prst="rect"/>
                  </pic:spPr>
                </pic:pic>
              </a:graphicData>
            </a:graphic>
          </wp:inline>
        </w:drawing>
      </w:r>
    </w:p>
    <w:p>
      <w:pPr>
        <w:jc w:val="center"/>
      </w:pPr>
      <w:r>
        <w:rPr>
          <w:i/>
          <w:sz w:val="15"/>
        </w:rPr>
        <w:t>Historical Testatika photograph — Paul Baumann beside a tabletop unit.</w:t>
      </w:r>
    </w:p>
    <w:p>
      <w:r>
        <w:br w:type="page"/>
      </w:r>
    </w:p>
    <w:tbl>
      <w:tblPr>
        <w:tblW w:type="auto" w:w="0"/>
        <w:tblLook w:firstColumn="1" w:firstRow="1" w:lastColumn="0" w:lastRow="0" w:noHBand="0" w:noVBand="1" w:val="04A0"/>
      </w:tblPr>
      <w:tblGrid>
        <w:gridCol w:w="10772"/>
      </w:tblGrid>
      <w:tr>
        <w:tc>
          <w:tcPr>
            <w:tcW w:type="dxa" w:w="10772"/>
            <w:shd w:fill="17365D"/>
            <w:tcMar>
              <w:top w:w="70" w:type="dxa"/>
              <w:start w:w="80" w:type="dxa"/>
              <w:bottom w:w="70" w:type="dxa"/>
              <w:end w:w="80" w:type="dxa"/>
            </w:tcMar>
          </w:tcPr>
          <w:p>
            <w:pPr>
              <w:jc w:val="center"/>
            </w:pPr>
            <w:r>
              <w:rPr>
                <w:b/>
                <w:color w:val="FFFFFF"/>
                <w:sz w:val="28"/>
              </w:rPr>
              <w:t>Phase 8 — Analysis, Documentation &amp; Presentation</w:t>
            </w:r>
          </w:p>
          <w:p>
            <w:pPr>
              <w:jc w:val="center"/>
            </w:pPr>
            <w:r>
              <w:rPr>
                <w:color w:val="E6EEF8"/>
                <w:sz w:val="17"/>
              </w:rPr>
              <w:t>Entries 56–60</w:t>
            </w:r>
          </w:p>
        </w:tc>
      </w:tr>
    </w:tbl>
    <w:tbl>
      <w:tblPr>
        <w:tblStyle w:val="TableGrid"/>
        <w:tblW w:type="auto" w:w="0"/>
        <w:jc w:val="center"/>
        <w:tblLayout w:type="fixed"/>
        <w:tblLook w:firstColumn="1" w:firstRow="1" w:lastColumn="0" w:lastRow="0" w:noHBand="0" w:noVBand="1" w:val="04A0"/>
      </w:tblPr>
      <w:tblGrid>
        <w:gridCol w:w="5386"/>
        <w:gridCol w:w="5386"/>
      </w:tblGrid>
      <w:tr>
        <w:tc>
          <w:tcPr>
            <w:tcW w:type="dxa" w:w="765"/>
            <w:shd w:fill="D9EAF7"/>
            <w:tcMar>
              <w:top w:w="45" w:type="dxa"/>
              <w:start w:w="65" w:type="dxa"/>
              <w:bottom w:w="45" w:type="dxa"/>
              <w:end w:w="65" w:type="dxa"/>
            </w:tcMar>
          </w:tcPr>
          <w:p>
            <w:pPr>
              <w:jc w:val="center"/>
            </w:pPr>
            <w:r>
              <w:rPr>
                <w:b/>
                <w:color w:val="17365D"/>
                <w:sz w:val="17"/>
              </w:rPr>
              <w:t>ENTRY</w:t>
            </w:r>
          </w:p>
        </w:tc>
        <w:tc>
          <w:tcPr>
            <w:tcW w:type="dxa" w:w="9865"/>
            <w:shd w:fill="D9EAF7"/>
            <w:tcMar>
              <w:top w:w="45" w:type="dxa"/>
              <w:start w:w="65" w:type="dxa"/>
              <w:bottom w:w="45" w:type="dxa"/>
              <w:end w:w="65" w:type="dxa"/>
            </w:tcMar>
          </w:tcPr>
          <w:p>
            <w:pPr>
              <w:jc w:val="center"/>
            </w:pPr>
            <w:r>
              <w:rPr>
                <w:b/>
                <w:color w:val="17365D"/>
                <w:sz w:val="17"/>
              </w:rPr>
              <w:t>PROJECT LOG</w:t>
            </w:r>
          </w:p>
        </w:tc>
      </w:tr>
      <w:tr>
        <w:tc>
          <w:tcPr>
            <w:tcW w:type="dxa" w:w="765"/>
            <w:tcMar>
              <w:top w:w="45" w:type="dxa"/>
              <w:start w:w="65" w:type="dxa"/>
              <w:bottom w:w="45" w:type="dxa"/>
              <w:end w:w="65" w:type="dxa"/>
            </w:tcMar>
            <w:vAlign w:val="center"/>
          </w:tcPr>
          <w:p>
            <w:pPr>
              <w:jc w:val="center"/>
            </w:pPr>
            <w:r>
              <w:rPr>
                <w:b/>
                <w:color w:val="17365D"/>
                <w:sz w:val="18"/>
              </w:rPr>
              <w:t>56</w:t>
            </w:r>
          </w:p>
        </w:tc>
        <w:tc>
          <w:tcPr>
            <w:tcW w:type="dxa" w:w="9865"/>
            <w:tcMar>
              <w:top w:w="45" w:type="dxa"/>
              <w:start w:w="65" w:type="dxa"/>
              <w:bottom w:w="45" w:type="dxa"/>
              <w:end w:w="65" w:type="dxa"/>
            </w:tcMar>
            <w:vAlign w:val="center"/>
            <w:shd w:fill="F4F8FC"/>
          </w:tcPr>
          <w:p>
            <w:r>
              <w:rPr>
                <w:sz w:val="17"/>
              </w:rPr>
              <w:t>Compiled the observations, equations, measurements, assumptions, and limitations into the comprehensive investigatory report.</w:t>
            </w:r>
          </w:p>
        </w:tc>
      </w:tr>
      <w:tr>
        <w:tc>
          <w:tcPr>
            <w:tcW w:type="dxa" w:w="765"/>
            <w:tcMar>
              <w:top w:w="45" w:type="dxa"/>
              <w:start w:w="65" w:type="dxa"/>
              <w:bottom w:w="45" w:type="dxa"/>
              <w:end w:w="65" w:type="dxa"/>
            </w:tcMar>
            <w:vAlign w:val="center"/>
          </w:tcPr>
          <w:p>
            <w:pPr>
              <w:jc w:val="center"/>
            </w:pPr>
            <w:r>
              <w:rPr>
                <w:b/>
                <w:color w:val="17365D"/>
                <w:sz w:val="18"/>
              </w:rPr>
              <w:t>57</w:t>
            </w:r>
          </w:p>
        </w:tc>
        <w:tc>
          <w:tcPr>
            <w:tcW w:type="dxa" w:w="9865"/>
            <w:tcMar>
              <w:top w:w="45" w:type="dxa"/>
              <w:start w:w="65" w:type="dxa"/>
              <w:bottom w:w="45" w:type="dxa"/>
              <w:end w:w="65" w:type="dxa"/>
            </w:tcMar>
            <w:vAlign w:val="center"/>
          </w:tcPr>
          <w:p>
            <w:r>
              <w:rPr>
                <w:sz w:val="17"/>
              </w:rPr>
              <w:t>Prepared diagrams and illustrative images explaining charge density, electric field, capacitance, spark-gap measurement, power, and electromagnetic detection.</w:t>
            </w:r>
          </w:p>
        </w:tc>
      </w:tr>
      <w:tr>
        <w:tc>
          <w:tcPr>
            <w:tcW w:type="dxa" w:w="765"/>
            <w:tcMar>
              <w:top w:w="45" w:type="dxa"/>
              <w:start w:w="65" w:type="dxa"/>
              <w:bottom w:w="45" w:type="dxa"/>
              <w:end w:w="65" w:type="dxa"/>
            </w:tcMar>
            <w:vAlign w:val="center"/>
          </w:tcPr>
          <w:p>
            <w:pPr>
              <w:jc w:val="center"/>
            </w:pPr>
            <w:r>
              <w:rPr>
                <w:b/>
                <w:color w:val="17365D"/>
                <w:sz w:val="18"/>
              </w:rPr>
              <w:t>58</w:t>
            </w:r>
          </w:p>
        </w:tc>
        <w:tc>
          <w:tcPr>
            <w:tcW w:type="dxa" w:w="9865"/>
            <w:tcMar>
              <w:top w:w="45" w:type="dxa"/>
              <w:start w:w="65" w:type="dxa"/>
              <w:bottom w:w="45" w:type="dxa"/>
              <w:end w:w="65" w:type="dxa"/>
            </w:tcMar>
            <w:vAlign w:val="center"/>
            <w:shd w:fill="F4F8FC"/>
          </w:tcPr>
          <w:p>
            <w:r>
              <w:rPr>
                <w:sz w:val="17"/>
              </w:rPr>
              <w:t>Developed the PowerPoint presentation so the live demonstration and technical explanation follow the same progression as the investigation.</w:t>
            </w:r>
          </w:p>
        </w:tc>
      </w:tr>
      <w:tr>
        <w:tc>
          <w:tcPr>
            <w:tcW w:type="dxa" w:w="765"/>
            <w:tcMar>
              <w:top w:w="45" w:type="dxa"/>
              <w:start w:w="65" w:type="dxa"/>
              <w:bottom w:w="45" w:type="dxa"/>
              <w:end w:w="65" w:type="dxa"/>
            </w:tcMar>
            <w:vAlign w:val="center"/>
          </w:tcPr>
          <w:p>
            <w:pPr>
              <w:jc w:val="center"/>
            </w:pPr>
            <w:r>
              <w:rPr>
                <w:b/>
                <w:color w:val="17365D"/>
                <w:sz w:val="18"/>
              </w:rPr>
              <w:t>59</w:t>
            </w:r>
          </w:p>
        </w:tc>
        <w:tc>
          <w:tcPr>
            <w:tcW w:type="dxa" w:w="9865"/>
            <w:tcMar>
              <w:top w:w="45" w:type="dxa"/>
              <w:start w:w="65" w:type="dxa"/>
              <w:bottom w:w="45" w:type="dxa"/>
              <w:end w:w="65" w:type="dxa"/>
            </w:tcMar>
            <w:vAlign w:val="center"/>
          </w:tcPr>
          <w:p>
            <w:r>
              <w:rPr>
                <w:sz w:val="17"/>
              </w:rPr>
              <w:t>Reviewed the conclusions and safety procedures, identified which illustrative observation images should be replaced by actual experiment photographs, and prepared the final demonstration sequence.</w:t>
            </w:r>
          </w:p>
        </w:tc>
      </w:tr>
      <w:tr>
        <w:tc>
          <w:tcPr>
            <w:tcW w:type="dxa" w:w="765"/>
            <w:tcMar>
              <w:top w:w="45" w:type="dxa"/>
              <w:start w:w="65" w:type="dxa"/>
              <w:bottom w:w="45" w:type="dxa"/>
              <w:end w:w="65" w:type="dxa"/>
            </w:tcMar>
            <w:vAlign w:val="center"/>
          </w:tcPr>
          <w:p>
            <w:pPr>
              <w:jc w:val="center"/>
            </w:pPr>
            <w:r>
              <w:rPr>
                <w:b/>
                <w:color w:val="17365D"/>
                <w:sz w:val="18"/>
              </w:rPr>
              <w:t>60</w:t>
            </w:r>
          </w:p>
        </w:tc>
        <w:tc>
          <w:tcPr>
            <w:tcW w:type="dxa" w:w="9865"/>
            <w:tcMar>
              <w:top w:w="45" w:type="dxa"/>
              <w:start w:w="65" w:type="dxa"/>
              <w:bottom w:w="45" w:type="dxa"/>
              <w:end w:w="65" w:type="dxa"/>
            </w:tcMar>
            <w:vAlign w:val="center"/>
            <w:shd w:fill="F4F8FC"/>
          </w:tcPr>
          <w:p>
            <w:r>
              <w:rPr>
                <w:sz w:val="17"/>
              </w:rPr>
              <w:t>Completed the project package and final presentation plan: demonstrate the spark gap, compare with and without Leyden jars, estimate voltage, explain voltage/current/power, detect the spark with an AM radio, and conclude with practical electrostatic-power applications.</w:t>
            </w:r>
          </w:p>
        </w:tc>
      </w:tr>
    </w:tbl>
    <w:p/>
    <w:tbl>
      <w:tblPr>
        <w:tblStyle w:val="TableGrid"/>
        <w:tblW w:type="auto" w:w="0"/>
        <w:jc w:val="center"/>
        <w:tblLook w:firstColumn="1" w:firstRow="1" w:lastColumn="0" w:lastRow="0" w:noHBand="0" w:noVBand="1" w:val="04A0"/>
      </w:tblPr>
      <w:tblGrid>
        <w:gridCol w:w="5386"/>
        <w:gridCol w:w="5386"/>
      </w:tblGrid>
      <w:tr>
        <w:tc>
          <w:tcPr>
            <w:tcW w:type="dxa" w:w="5386"/>
            <w:shd w:fill="D9EAF7"/>
            <w:tcMar>
              <w:top w:w="65" w:type="dxa"/>
              <w:start w:w="70" w:type="dxa"/>
              <w:bottom w:w="65" w:type="dxa"/>
              <w:end w:w="70" w:type="dxa"/>
            </w:tcMar>
          </w:tcPr>
          <w:p>
            <w:pPr>
              <w:jc w:val="center"/>
            </w:pPr>
            <w:r>
              <w:rPr>
                <w:b/>
                <w:color w:val="17365D"/>
                <w:sz w:val="18"/>
              </w:rPr>
              <w:t>FINAL DEMONSTRATION</w:t>
              <w:br/>
            </w:r>
            <w:r>
              <w:rPr>
                <w:sz w:val="16"/>
              </w:rPr>
              <w:t>Spark gap → jars/no jars → voltage estimate → power explanation → AM-radio detection.</w:t>
            </w:r>
          </w:p>
        </w:tc>
        <w:tc>
          <w:tcPr>
            <w:tcW w:type="dxa" w:w="5386"/>
            <w:shd w:fill="E2F0D9"/>
            <w:tcMar>
              <w:top w:w="65" w:type="dxa"/>
              <w:start w:w="70" w:type="dxa"/>
              <w:bottom w:w="65" w:type="dxa"/>
              <w:end w:w="70" w:type="dxa"/>
            </w:tcMar>
          </w:tcPr>
          <w:p>
            <w:pPr>
              <w:jc w:val="center"/>
            </w:pPr>
            <w:r>
              <w:rPr>
                <w:b/>
                <w:color w:val="17365D"/>
                <w:sz w:val="18"/>
              </w:rPr>
              <w:t>FINAL RESULT</w:t>
              <w:br/>
            </w:r>
            <w:r>
              <w:rPr>
                <w:sz w:val="16"/>
              </w:rPr>
              <w:t>The project links electrostatics, capacitance, breakdown, power, electromagnetism, and practical energy conversion.</w:t>
            </w:r>
          </w:p>
        </w:tc>
      </w:tr>
    </w:tbl>
    <w:p>
      <w:pPr>
        <w:jc w:val="center"/>
      </w:pPr>
      <w:r>
        <w:rPr>
          <w:b/>
          <w:color w:val="17365D"/>
          <w:sz w:val="22"/>
        </w:rPr>
        <w:t>End of 60-Entry Investigatory Project Development Logbook</w:t>
      </w:r>
    </w:p>
    <w:p>
      <w:r>
        <w:br w:type="page"/>
      </w:r>
    </w:p>
    <w:p>
      <w:pPr>
        <w:jc w:val="center"/>
      </w:pPr>
      <w:r>
        <w:rPr>
          <w:b/>
          <w:sz w:val="32"/>
        </w:rPr>
        <w:t>Original Illustrated 60-Entry Overview</w:t>
      </w:r>
    </w:p>
    <w:p>
      <w:pPr>
        <w:jc w:val="center"/>
      </w:pPr>
      <w:r>
        <w:rPr>
          <w:i/>
          <w:sz w:val="18"/>
        </w:rPr>
        <w:t>Reference image from the earlier version; the preceding pages contain the editable text and individual images.</w:t>
      </w:r>
    </w:p>
    <w:p>
      <w:pPr>
        <w:jc w:val="center"/>
      </w:pPr>
      <w:r>
        <w:drawing>
          <wp:inline xmlns:a="http://schemas.openxmlformats.org/drawingml/2006/main" xmlns:pic="http://schemas.openxmlformats.org/drawingml/2006/picture">
            <wp:extent cx="6660000" cy="9990000"/>
            <wp:docPr id="11" name="Picture 11"/>
            <wp:cNvGraphicFramePr>
              <a:graphicFrameLocks noChangeAspect="1"/>
            </wp:cNvGraphicFramePr>
            <a:graphic>
              <a:graphicData uri="http://schemas.openxmlformats.org/drawingml/2006/picture">
                <pic:pic>
                  <pic:nvPicPr>
                    <pic:cNvPr id="0" name="a_full_page_document_poster_style_layout_like_a.png"/>
                    <pic:cNvPicPr/>
                  </pic:nvPicPr>
                  <pic:blipFill>
                    <a:blip r:embed="rId19"/>
                    <a:stretch>
                      <a:fillRect/>
                    </a:stretch>
                  </pic:blipFill>
                  <pic:spPr>
                    <a:xfrm>
                      <a:off x="0" y="0"/>
                      <a:ext cx="6660000" cy="9990000"/>
                    </a:xfrm>
                    <a:prstGeom prst="rect"/>
                  </pic:spPr>
                </pic:pic>
              </a:graphicData>
            </a:graphic>
          </wp:inline>
        </w:drawing>
      </w:r>
    </w:p>
    <w:sectPr w:rsidR="00FC693F" w:rsidRPr="0006063C" w:rsidSect="00034616">
      <w:pgSz w:w="11906" w:h="16838"/>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