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val="0"/>
          <w:i w:val="0"/>
          <w:sz w:val="22"/>
        </w:rPr>
        <w:t>Republic of the Philippines</w:t>
      </w:r>
    </w:p>
    <w:p>
      <w:pPr>
        <w:spacing w:after="0"/>
        <w:jc w:val="center"/>
      </w:pPr>
      <w:r>
        <w:rPr>
          <w:rFonts w:ascii="Arial" w:hAnsi="Arial"/>
          <w:b w:val="0"/>
          <w:i w:val="0"/>
          <w:sz w:val="22"/>
        </w:rPr>
        <w:t>Region X</w:t>
      </w:r>
    </w:p>
    <w:p>
      <w:pPr>
        <w:spacing w:after="0"/>
        <w:jc w:val="center"/>
      </w:pPr>
      <w:r>
        <w:rPr>
          <w:rFonts w:ascii="Arial" w:hAnsi="Arial"/>
          <w:b w:val="0"/>
          <w:i w:val="0"/>
          <w:sz w:val="22"/>
        </w:rPr>
        <w:t>Division of Misamis Oriental</w:t>
      </w:r>
    </w:p>
    <w:p>
      <w:pPr>
        <w:spacing w:after="360"/>
        <w:jc w:val="center"/>
      </w:pPr>
      <w:r>
        <w:rPr>
          <w:rFonts w:ascii="Arial" w:hAnsi="Arial"/>
          <w:b/>
          <w:i w:val="0"/>
          <w:sz w:val="24"/>
        </w:rPr>
        <w:t>MISAMIS ORIENTAL NATIONAL HIGH SCHOOL</w:t>
      </w:r>
    </w:p>
    <w:p>
      <w:pPr>
        <w:spacing w:after="80"/>
        <w:jc w:val="center"/>
      </w:pPr>
      <w:r>
        <w:rPr>
          <w:rFonts w:ascii="Arial" w:hAnsi="Arial"/>
          <w:b/>
          <w:i w:val="0"/>
          <w:sz w:val="36"/>
        </w:rPr>
        <w:t>WIMSHURST ELECTROSTATIC GENERATOR</w:t>
      </w:r>
    </w:p>
    <w:p>
      <w:pPr>
        <w:spacing w:after="200"/>
        <w:jc w:val="center"/>
      </w:pPr>
      <w:r>
        <w:rPr>
          <w:rFonts w:ascii="Arial" w:hAnsi="Arial"/>
          <w:b/>
          <w:i w:val="0"/>
          <w:sz w:val="30"/>
        </w:rPr>
        <w:t>Investigatory Project Report</w:t>
      </w:r>
    </w:p>
    <w:p>
      <w:pPr>
        <w:spacing w:after="400"/>
        <w:jc w:val="center"/>
      </w:pPr>
      <w:r>
        <w:rPr>
          <w:rFonts w:ascii="Arial" w:hAnsi="Arial"/>
          <w:b w:val="0"/>
          <w:i w:val="0"/>
          <w:sz w:val="24"/>
        </w:rPr>
        <w:t>High Voltage, Electrostatic Force, Capacitance, Spark Discharge,</w:t>
        <w:br/>
        <w:t>Electromagnetic Emissions, and Usable-Power Conversion</w:t>
      </w:r>
    </w:p>
    <w:p>
      <w:pPr>
        <w:spacing w:after="80"/>
        <w:jc w:val="center"/>
      </w:pPr>
      <w:r>
        <w:rPr>
          <w:rFonts w:ascii="Arial" w:hAnsi="Arial"/>
          <w:b/>
          <w:i w:val="0"/>
          <w:sz w:val="24"/>
        </w:rPr>
        <w:t>Emmanuel D. Bongcas</w:t>
      </w:r>
    </w:p>
    <w:p>
      <w:pPr>
        <w:spacing w:after="440"/>
        <w:jc w:val="center"/>
      </w:pPr>
      <w:r>
        <w:rPr>
          <w:rFonts w:ascii="Arial" w:hAnsi="Arial"/>
          <w:b w:val="0"/>
          <w:i/>
          <w:sz w:val="22"/>
        </w:rPr>
        <w:t>and Project Group Members</w:t>
      </w:r>
    </w:p>
    <w:p>
      <w:pPr>
        <w:spacing w:after="80"/>
        <w:jc w:val="center"/>
      </w:pPr>
      <w:r>
        <w:rPr>
          <w:rFonts w:ascii="Arial" w:hAnsi="Arial"/>
          <w:b w:val="0"/>
          <w:i w:val="0"/>
          <w:sz w:val="22"/>
        </w:rPr>
        <w:t>A Science Investigatory Project</w:t>
      </w:r>
    </w:p>
    <w:p>
      <w:pPr>
        <w:spacing w:after="80"/>
        <w:jc w:val="center"/>
      </w:pPr>
      <w:r>
        <w:rPr>
          <w:rFonts w:ascii="Arial" w:hAnsi="Arial"/>
          <w:b/>
          <w:i w:val="0"/>
          <w:sz w:val="22"/>
        </w:rPr>
        <w:t>Misamis Oriental National High School</w:t>
      </w:r>
    </w:p>
    <w:p>
      <w:pPr>
        <w:spacing w:after="0"/>
        <w:jc w:val="center"/>
      </w:pPr>
      <w:r>
        <w:rPr>
          <w:rFonts w:ascii="Arial" w:hAnsi="Arial"/>
          <w:b w:val="0"/>
          <w:i w:val="0"/>
          <w:sz w:val="22"/>
        </w:rPr>
        <w:t>Science Fair 2026</w:t>
      </w:r>
    </w:p>
    <w:p>
      <w:r>
        <w:br w:type="page"/>
      </w:r>
    </w:p>
    <w:p>
      <w:pPr>
        <w:pStyle w:val="Heading1"/>
        <w:jc w:val="center"/>
      </w:pPr>
      <w:r>
        <w:t>TABLE OF CONTENTS</w:t>
      </w:r>
    </w:p>
    <w:p>
      <w:r>
        <w:t>Abstract</w:t>
      </w:r>
    </w:p>
    <w:p>
      <w:r>
        <w:t>Sustainable Development Goals</w:t>
      </w:r>
    </w:p>
    <w:p>
      <w:r>
        <w:t>Chapter I — Introduction</w:t>
      </w:r>
    </w:p>
    <w:p>
      <w:r>
        <w:t xml:space="preserve">  Background and Rationale</w:t>
      </w:r>
    </w:p>
    <w:p>
      <w:r>
        <w:t xml:space="preserve">  Features and Specifications</w:t>
      </w:r>
    </w:p>
    <w:p>
      <w:r>
        <w:t xml:space="preserve">  Research Questions and Objectives</w:t>
      </w:r>
    </w:p>
    <w:p>
      <w:r>
        <w:t xml:space="preserve">  Historical Development: Holtz, Wimshurst, Pidgeon, and Testatika</w:t>
      </w:r>
    </w:p>
    <w:p>
      <w:r>
        <w:t>Chapter II — Materials and Methods</w:t>
      </w:r>
    </w:p>
    <w:p>
      <w:r>
        <w:t xml:space="preserve">  Apparatus and Materials</w:t>
      </w:r>
    </w:p>
    <w:p>
      <w:r>
        <w:t xml:space="preserve">  Operating and Safety Procedures</w:t>
      </w:r>
    </w:p>
    <w:p>
      <w:r>
        <w:t xml:space="preserve">  Experimental Procedures</w:t>
      </w:r>
    </w:p>
    <w:p>
      <w:r>
        <w:t>Chapter III — Results and Discussion</w:t>
      </w:r>
    </w:p>
    <w:p>
      <w:r>
        <w:t xml:space="preserve">  Styrofoam-Ball Electrostatic Force Experiment</w:t>
      </w:r>
    </w:p>
    <w:p>
      <w:r>
        <w:t xml:space="preserve">  Spark and Leyden-Jar Investigation</w:t>
      </w:r>
    </w:p>
    <w:p>
      <w:r>
        <w:t xml:space="preserve">  Spark-Gap Voltage Estimation</w:t>
      </w:r>
    </w:p>
    <w:p>
      <w:r>
        <w:t xml:space="preserve">  Voltage, Current, and Power Analysis</w:t>
      </w:r>
    </w:p>
    <w:p>
      <w:r>
        <w:t xml:space="preserve">  AM-Radio Electromagnetic Emission Investigation</w:t>
      </w:r>
    </w:p>
    <w:p>
      <w:r>
        <w:t xml:space="preserve">  Practical Applications and Testatika Extension</w:t>
      </w:r>
    </w:p>
    <w:p>
      <w:r>
        <w:t xml:space="preserve">  Supplemental Usable-Power Proof-of-Concept</w:t>
      </w:r>
    </w:p>
    <w:p>
      <w:r>
        <w:t>Chapter IV — Conclusions and Recommendations</w:t>
      </w:r>
    </w:p>
    <w:p>
      <w:r>
        <w:t>Acknowledgements</w:t>
      </w:r>
    </w:p>
    <w:p>
      <w:r>
        <w:t>References / Bibliography</w:t>
      </w:r>
    </w:p>
    <w:p>
      <w:r>
        <w:br w:type="page"/>
      </w:r>
    </w:p>
    <w:p>
      <w:pPr>
        <w:pStyle w:val="Heading1"/>
        <w:jc w:val="center"/>
      </w:pPr>
      <w:r>
        <w:t>ABSTRACT</w:t>
      </w:r>
    </w:p>
    <w:p>
      <w:pPr>
        <w:jc w:val="both"/>
      </w:pPr>
      <w:r>
        <w:t>This investigatory project studies the Wimshurst electrostatic generator as a system for demonstrating and analyzing electrostatic induction, charge density, electric fields, capacitance, air breakdown, electrical power, electromagnetic emissions, and possible methods of converting high-voltage electrostatic output into a more useful electrical form. The project follows the progression documented in the accompanying 60-entry development logbook: background research, electrostatic theory, force demonstrations, controlled spark experiments, quantitative voltage and power analysis, electromagnetic detection, and practical-application research.</w:t>
      </w:r>
    </w:p>
    <w:p>
      <w:pPr>
        <w:jc w:val="both"/>
      </w:pPr>
      <w:r>
        <w:t>The experiments showed that the machine can produce strong electrostatic effects even though its average current is very small. A suspended Styrofoam ball was first attracted to a charged terminal by polarization, then repelled after contact transferred charge to the ball. With Leyden jars connected, the output produced slower, thicker, brighter, and more energetic sparks. With the jars disconnected, the machine instead produced a rapid, thin blue discharge. This behavior is consistent with Q = CV and E = 1/2 CV²: lower effective capacitance requires less charge to reach a similar breakdown voltage, but stores less energy for each discharge.</w:t>
      </w:r>
    </w:p>
    <w:p>
      <w:pPr>
        <w:jc w:val="both"/>
      </w:pPr>
      <w:r>
        <w:t>Because ordinary voltmeters and oscilloscope probes are unsuitable for direct connection to a tens-of-kilovolts, very-high-impedance electrostatic source, the maximum repeatable air-gap distance was selected as the principal voltage-estimation method. Using approximately 3 kV/mm as an educational estimate for dry air, a 10 mm repeatable spark gap corresponds to about 30 kV. Electrical power was analyzed using P = VI; for example, 30,000 V at 10 µA corresponds to only 0.30 W of average electrical power.</w:t>
      </w:r>
    </w:p>
    <w:p>
      <w:pPr>
        <w:jc w:val="both"/>
      </w:pPr>
      <w:r>
        <w:t>The electromagnetic-emission experiment produced an important result. During rotation, an AM radio detected strong repetitive interference from the brushes and metallic sectors, masking any separate spark signal. After the electrodes were separated, the Leyden jars were charged, disk rotation was stopped, and the stored charge was deliberately discharged. The radio then produced a distinct sharp blip exactly with the spark, experimentally isolating the spark discharge as a source of electromagnetic radiation.</w:t>
      </w:r>
    </w:p>
    <w:p>
      <w:pPr>
        <w:jc w:val="both"/>
      </w:pPr>
      <w:r>
        <w:t>Finally, the project examined the historical progression from Holtz to Wimshurst to Pidgeon and, under the project's stated premise, the reported Testatika architecture. This led to a supplemental engineering question: whether Wimshurst output can be accumulated in capacitance, transferred in controlled pulses through an inductive or resonant stage, rectified, buffered, and delivered to a small low-voltage load. The proposed target of approximately 0.25 W remains a proof-of-concept research objective and depends on first measuring the actual average energy available from the student machine.</w:t>
      </w:r>
    </w:p>
    <w:p>
      <w:pPr>
        <w:pStyle w:val="Heading1"/>
        <w:jc w:val="center"/>
      </w:pPr>
      <w:r>
        <w:t>SUSTAINABLE DEVELOPMENT GOALS</w:t>
      </w:r>
    </w:p>
    <w:p>
      <w:pPr>
        <w:pStyle w:val="Heading2"/>
      </w:pPr>
      <w:r>
        <w:t>SDG 7 — Affordable and Clean Energy</w:t>
      </w:r>
    </w:p>
    <w:p>
      <w:pPr>
        <w:jc w:val="both"/>
      </w:pPr>
      <w:r>
        <w:t>The project explores mechanical-to-electrical energy conversion and asks how electrostatic energy might be collected and conditioned into a useful form. It encourages investigation of alternative energy-conversion methods while emphasizing that usable power must be demonstrated by measurement, not by voltage alone.</w:t>
      </w:r>
    </w:p>
    <w:p>
      <w:pPr>
        <w:pStyle w:val="Heading2"/>
      </w:pPr>
      <w:r>
        <w:t>SDG 9 — Industry, Innovation, and Infrastructure</w:t>
      </w:r>
    </w:p>
    <w:p>
      <w:pPr>
        <w:jc w:val="both"/>
      </w:pPr>
      <w:r>
        <w:t>The project connects historical electrical machines with modern engineering concepts such as energy storage, impedance conversion, resonance, rectification, measurement, and experimental control. It promotes innovation by treating the Wimshurst machine as both a scientific instrument and a platform for further engineering research.</w:t>
      </w:r>
    </w:p>
    <w:p>
      <w:pPr>
        <w:pStyle w:val="Heading2"/>
      </w:pPr>
      <w:r>
        <w:t>SDG 13 — Climate Action</w:t>
      </w:r>
    </w:p>
    <w:p>
      <w:pPr>
        <w:jc w:val="both"/>
      </w:pPr>
      <w:r>
        <w:t>The apparatus produces no combustion emissions during operation. As an educational project, it encourages students to investigate energy conversion, efficiency, and low-emission technologies while distinguishing demonstrational electrostatic generation from practical large-scale energy systems.</w:t>
      </w:r>
    </w:p>
    <w:p>
      <w:r>
        <w:br w:type="page"/>
      </w:r>
    </w:p>
    <w:p>
      <w:pPr>
        <w:pStyle w:val="Heading1"/>
        <w:jc w:val="center"/>
      </w:pPr>
      <w:r>
        <w:t>CHAPTER I</w:t>
      </w:r>
    </w:p>
    <w:p>
      <w:pPr>
        <w:spacing w:after="200"/>
        <w:jc w:val="center"/>
      </w:pPr>
      <w:r>
        <w:rPr>
          <w:rFonts w:ascii="Arial" w:hAnsi="Arial"/>
          <w:b/>
          <w:i w:val="0"/>
          <w:sz w:val="28"/>
        </w:rPr>
        <w:t>INTRODUCTION</w:t>
      </w:r>
    </w:p>
    <w:p>
      <w:pPr>
        <w:pStyle w:val="Heading2"/>
      </w:pPr>
      <w:r>
        <w:t>Background and Rationale</w:t>
      </w:r>
    </w:p>
    <w:p>
      <w:pPr>
        <w:jc w:val="both"/>
      </w:pPr>
      <w:r>
        <w:t>The Wimshurst machine is a late nineteenth-century electrostatic influence generator that uses two insulating disks rotating in opposite directions. Conductive sectors, neutralizer bars, brushes, collecting combs, output electrodes, and optional Leyden jars cooperate to separate charge and raise the electrical potential between the output terminals. Unlike a battery or conventional electromagnetic generator, the machine makes charge separation, electric-field buildup, capacitance, and breakdown directly visible.</w:t>
      </w:r>
    </w:p>
    <w:p>
      <w:pPr>
        <w:jc w:val="both"/>
      </w:pPr>
      <w:r>
        <w:t>This year's investigation extends beyond simply producing a spark. The accompanying 60-entry logbook defines a sequence of questions and experiments addressing how high voltage is produced, how capacitance changes the character of the discharge, how voltage can be estimated without directly connecting ordinary instruments, why high voltage does not necessarily mean high power, whether the discharge produces detectable electromagnetic radiation, and how electrostatic energy might be converted into a lower-voltage form useful to a load.</w:t>
      </w:r>
    </w:p>
    <w:p>
      <w:pPr>
        <w:pStyle w:val="Heading2"/>
      </w:pPr>
      <w:r>
        <w:t>Features and Specifications</w:t>
      </w:r>
    </w:p>
    <w:p>
      <w:pPr>
        <w:pStyle w:val="ListBullet"/>
      </w:pPr>
      <w:r>
        <w:t>Two counter-rotating insulating disks carrying conductive sectors.</w:t>
      </w:r>
    </w:p>
    <w:p>
      <w:pPr>
        <w:pStyle w:val="ListBullet"/>
      </w:pPr>
      <w:r>
        <w:t>Neutralizer bars and brushes that reinforce charge separation by electrostatic influence.</w:t>
      </w:r>
    </w:p>
    <w:p>
      <w:pPr>
        <w:pStyle w:val="ListBullet"/>
      </w:pPr>
      <w:r>
        <w:t>Charge-collection combs and adjustable output electrodes.</w:t>
      </w:r>
    </w:p>
    <w:p>
      <w:pPr>
        <w:pStyle w:val="ListBullet"/>
      </w:pPr>
      <w:r>
        <w:t>Leyden jars that increase output capacitance and stored discharge energy.</w:t>
      </w:r>
    </w:p>
    <w:p>
      <w:pPr>
        <w:pStyle w:val="ListBullet"/>
      </w:pPr>
      <w:r>
        <w:t>Manual mechanical drive, allowing direct observation of mechanical-to-electrical energy conversion.</w:t>
      </w:r>
    </w:p>
    <w:p>
      <w:pPr>
        <w:pStyle w:val="ListBullet"/>
      </w:pPr>
      <w:r>
        <w:t>Visible spark discharge and rapid blue discharge modes depending on whether Leyden jars are connected.</w:t>
      </w:r>
    </w:p>
    <w:p>
      <w:pPr>
        <w:pStyle w:val="ListBullet"/>
      </w:pPr>
      <w:r>
        <w:t>Suitability for electrostatic force, air-breakdown, capacitance, power, and electromagnetic-emission experiments.</w:t>
      </w:r>
    </w:p>
    <w:p>
      <w:pPr>
        <w:pStyle w:val="Heading2"/>
      </w:pPr>
      <w:r>
        <w:t>Research Questions and Objectives</w:t>
      </w:r>
    </w:p>
    <w:p>
      <w:pPr>
        <w:pStyle w:val="ListNumber"/>
      </w:pPr>
      <w:r>
        <w:t>How does the Wimshurst machine generate and accumulate high electrostatic voltage?</w:t>
      </w:r>
    </w:p>
    <w:p>
      <w:pPr>
        <w:pStyle w:val="ListNumber"/>
      </w:pPr>
      <w:r>
        <w:t>How do surface charge density, electric field strength, and capacitance influence air breakdown?</w:t>
      </w:r>
    </w:p>
    <w:p>
      <w:pPr>
        <w:pStyle w:val="ListNumber"/>
      </w:pPr>
      <w:r>
        <w:t>What changes when the Leyden jars are connected or disconnected?</w:t>
      </w:r>
    </w:p>
    <w:p>
      <w:pPr>
        <w:pStyle w:val="ListNumber"/>
      </w:pPr>
      <w:r>
        <w:t>Can maximum repeatable spark-gap distance provide a satisfactory indirect estimate of high voltage?</w:t>
      </w:r>
    </w:p>
    <w:p>
      <w:pPr>
        <w:pStyle w:val="ListNumber"/>
      </w:pPr>
      <w:r>
        <w:t>Why are ordinary voltmeters and oscilloscopes inappropriate for direct measurement of the machine?</w:t>
      </w:r>
    </w:p>
    <w:p>
      <w:pPr>
        <w:pStyle w:val="ListNumber"/>
      </w:pPr>
      <w:r>
        <w:t>How can a machine with tens of kilovolts still have only a small average power output?</w:t>
      </w:r>
    </w:p>
    <w:p>
      <w:pPr>
        <w:pStyle w:val="ListNumber"/>
      </w:pPr>
      <w:r>
        <w:t>Can electrostatic activity and spark discharge be detected as electromagnetic interference by an AM receiver?</w:t>
      </w:r>
    </w:p>
    <w:p>
      <w:pPr>
        <w:pStyle w:val="ListNumber"/>
      </w:pPr>
      <w:r>
        <w:t>What practical applications use high electrostatic voltage directly?</w:t>
      </w:r>
    </w:p>
    <w:p>
      <w:pPr>
        <w:pStyle w:val="ListNumber"/>
      </w:pPr>
      <w:r>
        <w:t>How do Holtz, Wimshurst, Pidgeon, and the reported Testatika architecture form a useful historical and engineering progression?</w:t>
      </w:r>
    </w:p>
    <w:p>
      <w:pPr>
        <w:pStyle w:val="ListNumber"/>
      </w:pPr>
      <w:r>
        <w:t>Can the Wimshurst output, in principle, be accumulated and converted into a small amount of lower-voltage usable power?</w:t>
      </w:r>
    </w:p>
    <w:p>
      <w:pPr>
        <w:pStyle w:val="Heading2"/>
      </w:pPr>
      <w:r>
        <w:t>Historical Development: Holtz → Wimshurst → Pidgeon → Testatika</w:t>
      </w:r>
    </w:p>
    <w:p>
      <w:pPr>
        <w:jc w:val="both"/>
      </w:pPr>
      <w:r>
        <w:t>The research places the Wimshurst machine within a longer development of electrostatic influence machines. The Holtz machine of the mid-1860s demonstrated regenerative electrostatic influence but normally required an initial priming charge. James Wimshurst's early-1880s design improved practical reliability through counter-rotating sectored disks and effective self-excitation. W. R. Pidgeon's 1898 influence machine is especially relevant because contemporary descriptions explicitly coordinate charge collection with changing capacitance: a sector is charged when its capacitance is relatively high and delivers charge when capacitance is lower. From V = Q/C, lowering capacitance while approximately retaining charge raises potential.</w:t>
      </w:r>
    </w:p>
    <w:p>
      <w:pPr>
        <w:jc w:val="both"/>
      </w:pPr>
      <w:r>
        <w:t>The Testatika associated with Paul Baumann and the Methernitha community in Linden, Switzerland is treated differently because its complete internal circuitry was not publicly documented. Under the premise used by this project, photographs and reconstruction literature suggest an electrostatic front end related to historical influence machines, followed by substantial capacitive, inductive, magnetic, rectifying, and conditioning structures. For this report, established Wimshurst/Pidgeon physics is distinguished from reported Testatika behavior and later reconstruction hypotheses.</w:t>
      </w:r>
    </w:p>
    <w:p>
      <w:r>
        <w:br w:type="page"/>
      </w:r>
    </w:p>
    <w:p>
      <w:pPr>
        <w:pStyle w:val="Heading1"/>
        <w:jc w:val="center"/>
      </w:pPr>
      <w:r>
        <w:t>CHAPTER II</w:t>
      </w:r>
    </w:p>
    <w:p>
      <w:pPr>
        <w:spacing w:after="200"/>
        <w:jc w:val="center"/>
      </w:pPr>
      <w:r>
        <w:rPr>
          <w:rFonts w:ascii="Arial" w:hAnsi="Arial"/>
          <w:b/>
          <w:i w:val="0"/>
          <w:sz w:val="28"/>
        </w:rPr>
        <w:t>MATERIALS AND METHODS</w:t>
      </w:r>
    </w:p>
    <w:p>
      <w:pPr>
        <w:pStyle w:val="Heading2"/>
      </w:pPr>
      <w:r>
        <w:t>A. Apparatus and Materials</w:t>
      </w:r>
    </w:p>
    <w:tbl>
      <w:tblPr>
        <w:tblStyle w:val="TableGrid"/>
        <w:tblW w:type="auto" w:w="0"/>
        <w:jc w:val="center"/>
        <w:tblLook w:firstColumn="1" w:firstRow="1" w:lastColumn="0" w:lastRow="0" w:noHBand="0" w:noVBand="1" w:val="04A0"/>
      </w:tblPr>
      <w:tblGrid>
        <w:gridCol w:w="4706"/>
        <w:gridCol w:w="4706"/>
      </w:tblGrid>
      <w:tr>
        <w:tc>
          <w:tcPr>
            <w:tcW w:type="dxa" w:w="4706"/>
            <w:shd w:fill="D9EAF7"/>
            <w:vAlign w:val="center"/>
          </w:tcPr>
          <w:p>
            <w:r>
              <w:rPr>
                <w:b/>
              </w:rPr>
              <w:t>Item</w:t>
            </w:r>
          </w:p>
        </w:tc>
        <w:tc>
          <w:tcPr>
            <w:tcW w:type="dxa" w:w="4706"/>
            <w:shd w:fill="D9EAF7"/>
            <w:vAlign w:val="center"/>
          </w:tcPr>
          <w:p>
            <w:r>
              <w:rPr>
                <w:b/>
              </w:rPr>
              <w:t>Purpose</w:t>
            </w:r>
          </w:p>
        </w:tc>
      </w:tr>
      <w:tr>
        <w:tc>
          <w:tcPr>
            <w:tcW w:type="dxa" w:w="4706"/>
            <w:vAlign w:val="center"/>
          </w:tcPr>
          <w:p>
            <w:r>
              <w:t>Wimshurst machine</w:t>
            </w:r>
          </w:p>
        </w:tc>
        <w:tc>
          <w:tcPr>
            <w:tcW w:type="dxa" w:w="4706"/>
            <w:vAlign w:val="center"/>
          </w:tcPr>
          <w:p>
            <w:r>
              <w:t>Primary electrostatic generator used for all demonstrations and tests.</w:t>
            </w:r>
          </w:p>
        </w:tc>
      </w:tr>
      <w:tr>
        <w:tc>
          <w:tcPr>
            <w:tcW w:type="dxa" w:w="4706"/>
            <w:vAlign w:val="center"/>
          </w:tcPr>
          <w:p>
            <w:r>
              <w:t>Adjustable discharge electrodes</w:t>
            </w:r>
          </w:p>
        </w:tc>
        <w:tc>
          <w:tcPr>
            <w:tcW w:type="dxa" w:w="4706"/>
            <w:vAlign w:val="center"/>
          </w:tcPr>
          <w:p>
            <w:r>
              <w:t>Used to observe sparks and set/measure the air gap.</w:t>
            </w:r>
          </w:p>
        </w:tc>
      </w:tr>
      <w:tr>
        <w:tc>
          <w:tcPr>
            <w:tcW w:type="dxa" w:w="4706"/>
            <w:vAlign w:val="center"/>
          </w:tcPr>
          <w:p>
            <w:r>
              <w:t>Leyden jars</w:t>
            </w:r>
          </w:p>
        </w:tc>
        <w:tc>
          <w:tcPr>
            <w:tcW w:type="dxa" w:w="4706"/>
            <w:vAlign w:val="center"/>
          </w:tcPr>
          <w:p>
            <w:r>
              <w:t>High-voltage capacitors used to compare stored charge and discharge energy.</w:t>
            </w:r>
          </w:p>
        </w:tc>
      </w:tr>
      <w:tr>
        <w:tc>
          <w:tcPr>
            <w:tcW w:type="dxa" w:w="4706"/>
            <w:vAlign w:val="center"/>
          </w:tcPr>
          <w:p>
            <w:r>
              <w:t>Metric ruler or caliper</w:t>
            </w:r>
          </w:p>
        </w:tc>
        <w:tc>
          <w:tcPr>
            <w:tcW w:type="dxa" w:w="4706"/>
            <w:vAlign w:val="center"/>
          </w:tcPr>
          <w:p>
            <w:r>
              <w:t>Measures maximum repeatable spark-gap distance.</w:t>
            </w:r>
          </w:p>
        </w:tc>
      </w:tr>
      <w:tr>
        <w:tc>
          <w:tcPr>
            <w:tcW w:type="dxa" w:w="4706"/>
            <w:vAlign w:val="center"/>
          </w:tcPr>
          <w:p>
            <w:r>
              <w:t>Suspended Styrofoam ball and insulating thread</w:t>
            </w:r>
          </w:p>
        </w:tc>
        <w:tc>
          <w:tcPr>
            <w:tcW w:type="dxa" w:w="4706"/>
            <w:vAlign w:val="center"/>
          </w:tcPr>
          <w:p>
            <w:r>
              <w:t>Demonstrates polarization, attraction, contact charging, and repulsion.</w:t>
            </w:r>
          </w:p>
        </w:tc>
      </w:tr>
      <w:tr>
        <w:tc>
          <w:tcPr>
            <w:tcW w:type="dxa" w:w="4706"/>
            <w:vAlign w:val="center"/>
          </w:tcPr>
          <w:p>
            <w:r>
              <w:t>Battery-powered AM radio</w:t>
            </w:r>
          </w:p>
        </w:tc>
        <w:tc>
          <w:tcPr>
            <w:tcW w:type="dxa" w:w="4706"/>
            <w:vAlign w:val="center"/>
          </w:tcPr>
          <w:p>
            <w:r>
              <w:t>Detects electromagnetic interference and transient radiation.</w:t>
            </w:r>
          </w:p>
        </w:tc>
      </w:tr>
      <w:tr>
        <w:tc>
          <w:tcPr>
            <w:tcW w:type="dxa" w:w="4706"/>
            <w:vAlign w:val="center"/>
          </w:tcPr>
          <w:p>
            <w:r>
              <w:t>Metallic ruler/conductor</w:t>
            </w:r>
          </w:p>
        </w:tc>
        <w:tc>
          <w:tcPr>
            <w:tcW w:type="dxa" w:w="4706"/>
            <w:vAlign w:val="center"/>
          </w:tcPr>
          <w:p>
            <w:r>
              <w:t>Used in the isolated Leyden-jar discharge test after disk rotation stopped.</w:t>
            </w:r>
          </w:p>
        </w:tc>
      </w:tr>
      <w:tr>
        <w:tc>
          <w:tcPr>
            <w:tcW w:type="dxa" w:w="4706"/>
            <w:vAlign w:val="center"/>
          </w:tcPr>
          <w:p>
            <w:r>
              <w:t>Dry non-metallic work surface</w:t>
            </w:r>
          </w:p>
        </w:tc>
        <w:tc>
          <w:tcPr>
            <w:tcW w:type="dxa" w:w="4706"/>
            <w:vAlign w:val="center"/>
          </w:tcPr>
          <w:p>
            <w:r>
              <w:t>Reduces leakage and provides a safer experimental setup.</w:t>
            </w:r>
          </w:p>
        </w:tc>
      </w:tr>
      <w:tr>
        <w:tc>
          <w:tcPr>
            <w:tcW w:type="dxa" w:w="4706"/>
            <w:vAlign w:val="center"/>
          </w:tcPr>
          <w:p>
            <w:r>
              <w:t>Notebook / 60-entry logbook</w:t>
            </w:r>
          </w:p>
        </w:tc>
        <w:tc>
          <w:tcPr>
            <w:tcW w:type="dxa" w:w="4706"/>
            <w:vAlign w:val="center"/>
          </w:tcPr>
          <w:p>
            <w:r>
              <w:t>Records observations, hypotheses, procedures, calculations, and conclusions.</w:t>
            </w:r>
          </w:p>
        </w:tc>
      </w:tr>
    </w:tbl>
    <w:p>
      <w:pPr>
        <w:pStyle w:val="Heading2"/>
      </w:pPr>
      <w:r>
        <w:t>B. Operating Procedure</w:t>
      </w:r>
    </w:p>
    <w:p>
      <w:pPr>
        <w:pStyle w:val="ListNumber"/>
      </w:pPr>
      <w:r>
        <w:t>Place the Wimshurst machine on a dry, non-metallic surface and inspect all mechanical clearances.</w:t>
      </w:r>
    </w:p>
    <w:p>
      <w:pPr>
        <w:pStyle w:val="ListNumber"/>
      </w:pPr>
      <w:r>
        <w:t>Set the discharge electrodes to the required spacing and confirm the Leyden-jar configuration for the intended test.</w:t>
      </w:r>
    </w:p>
    <w:p>
      <w:pPr>
        <w:pStyle w:val="ListNumber"/>
      </w:pPr>
      <w:r>
        <w:t>Rotate the handle smoothly so the two disks counter-rotate and the influence process builds charge.</w:t>
      </w:r>
    </w:p>
    <w:p>
      <w:pPr>
        <w:pStyle w:val="ListNumber"/>
      </w:pPr>
      <w:r>
        <w:t>Observe the discharge only from a safe distance; do not touch terminals or Leyden jars during or immediately after operation.</w:t>
      </w:r>
    </w:p>
    <w:p>
      <w:pPr>
        <w:pStyle w:val="ListNumber"/>
      </w:pPr>
      <w:r>
        <w:t>Before changing connections, deliberately discharge the Leyden jars using an appropriate insulated discharge method.</w:t>
      </w:r>
    </w:p>
    <w:p>
      <w:pPr>
        <w:pStyle w:val="Heading2"/>
      </w:pPr>
      <w:r>
        <w:t>C. Safety Precautions</w:t>
      </w:r>
    </w:p>
    <w:p>
      <w:pPr>
        <w:pStyle w:val="ListBullet"/>
      </w:pPr>
      <w:r>
        <w:t>Keep hands away from the output electrodes, collectors, and Leyden-jar terminals during operation.</w:t>
      </w:r>
    </w:p>
    <w:p>
      <w:pPr>
        <w:pStyle w:val="ListBullet"/>
      </w:pPr>
      <w:r>
        <w:t>Always discharge the Leyden jars before reconfiguring the apparatus.</w:t>
      </w:r>
    </w:p>
    <w:p>
      <w:pPr>
        <w:pStyle w:val="ListBullet"/>
      </w:pPr>
      <w:r>
        <w:t>Do not connect an ordinary voltmeter, standard oscilloscope probe, phone, or other low-voltage electronics directly to the high-voltage output.</w:t>
      </w:r>
    </w:p>
    <w:p>
      <w:pPr>
        <w:pStyle w:val="ListBullet"/>
      </w:pPr>
      <w:r>
        <w:t>Operate in a dry area and keep the apparatus away from flammable vapors, sensitive electronics, and persons with implanted electronic medical devices.</w:t>
      </w:r>
    </w:p>
    <w:p>
      <w:pPr>
        <w:pStyle w:val="ListBullet"/>
      </w:pPr>
      <w:r>
        <w:t>Any future experiment adding larger high-voltage capacitors, switching, transformers, or resonant circuits should be enclosed and adult-supervised.</w:t>
      </w:r>
    </w:p>
    <w:p>
      <w:pPr>
        <w:pStyle w:val="Heading2"/>
      </w:pPr>
      <w:r>
        <w:t>D. Experimental Procedures</w:t>
      </w:r>
    </w:p>
    <w:p>
      <w:pPr>
        <w:pStyle w:val="Heading3"/>
      </w:pPr>
      <w:r>
        <w:t>Experiment 1 — Styrofoam-Ball Attraction and Repulsion</w:t>
      </w:r>
    </w:p>
    <w:p>
      <w:pPr>
        <w:pStyle w:val="ListNumber"/>
      </w:pPr>
      <w:r>
        <w:t>Suspend a lightweight Styrofoam ball from a thin insulating thread so it can move freely.</w:t>
      </w:r>
    </w:p>
    <w:p>
      <w:pPr>
        <w:pStyle w:val="ListNumber"/>
      </w:pPr>
      <w:r>
        <w:t>Bring the initially neutral ball near one charged output terminal without touching it and observe attraction.</w:t>
      </w:r>
    </w:p>
    <w:p>
      <w:pPr>
        <w:pStyle w:val="ListNumber"/>
      </w:pPr>
      <w:r>
        <w:t>Allow the ball to touch the terminal. Charge transfers by conduction.</w:t>
      </w:r>
    </w:p>
    <w:p>
      <w:pPr>
        <w:pStyle w:val="ListNumber"/>
      </w:pPr>
      <w:r>
        <w:t>Observe the ball being repelled from the terminal after it acquires the same polarity.</w:t>
      </w:r>
    </w:p>
    <w:p>
      <w:pPr>
        <w:pStyle w:val="ListNumber"/>
      </w:pPr>
      <w:r>
        <w:t>Allow it to move toward the opposite-polarity terminal and observe the repeated attraction/contact/repulsion cycle.</w:t>
      </w:r>
    </w:p>
    <w:p>
      <w:pPr>
        <w:pStyle w:val="Heading3"/>
      </w:pPr>
      <w:r>
        <w:t>Experiment 2 — Leyden Jars Connected vs. Disconnected</w:t>
      </w:r>
    </w:p>
    <w:p>
      <w:pPr>
        <w:pStyle w:val="ListNumber"/>
      </w:pPr>
      <w:r>
        <w:t>Operate the machine with Leyden jars connected and record spark appearance, sound, frequency, and maximum repeatable gap.</w:t>
      </w:r>
    </w:p>
    <w:p>
      <w:pPr>
        <w:pStyle w:val="ListNumber"/>
      </w:pPr>
      <w:r>
        <w:t>Safely discharge the machine and disconnect the Leyden jars.</w:t>
      </w:r>
    </w:p>
    <w:p>
      <w:pPr>
        <w:pStyle w:val="ListNumber"/>
      </w:pPr>
      <w:r>
        <w:t>Repeat under approximately the same electrode geometry and cranking conditions.</w:t>
      </w:r>
    </w:p>
    <w:p>
      <w:pPr>
        <w:pStyle w:val="ListNumber"/>
      </w:pPr>
      <w:r>
        <w:t>Compare the rapid thin blue discharge without jars with the slower, thicker, brighter spark with jars.</w:t>
      </w:r>
    </w:p>
    <w:p>
      <w:pPr>
        <w:pStyle w:val="Heading3"/>
      </w:pPr>
      <w:r>
        <w:t>Experiment 3 — Spark-Gap Voltage Estimation</w:t>
      </w:r>
    </w:p>
    <w:p>
      <w:pPr>
        <w:jc w:val="both"/>
      </w:pPr>
      <w:r>
        <w:t>Measure the maximum repeatable electrode spacing d. Use the approximate educational air-breakdown relation V ≈ (3 kV/mm)d. Because humidity, pressure, temperature, electrode curvature, surface condition, and field nonuniformity affect breakdown, report the result as an estimate rather than a precision voltage measurement.</w:t>
      </w:r>
    </w:p>
    <w:p>
      <w:pPr>
        <w:pStyle w:val="Heading3"/>
      </w:pPr>
      <w:r>
        <w:t>Experiment 4 — AM-Radio Electromagnetic Detection</w:t>
      </w:r>
    </w:p>
    <w:p>
      <w:pPr>
        <w:pStyle w:val="ListNumber"/>
      </w:pPr>
      <w:r>
        <w:t>Place a battery-powered AM radio approximately 1–2 m from the machine and tune between stations.</w:t>
      </w:r>
    </w:p>
    <w:p>
      <w:pPr>
        <w:pStyle w:val="ListNumber"/>
      </w:pPr>
      <w:r>
        <w:t>Operate the disks and identify the strong repetitive interference associated with brush/sector motion.</w:t>
      </w:r>
    </w:p>
    <w:p>
      <w:pPr>
        <w:pStyle w:val="ListNumber"/>
      </w:pPr>
      <w:r>
        <w:t>Repeat without Leyden jars and compare the received noise.</w:t>
      </w:r>
    </w:p>
    <w:p>
      <w:pPr>
        <w:pStyle w:val="ListNumber"/>
      </w:pPr>
      <w:r>
        <w:t>With Leyden jars connected, move the electrodes far enough apart that no automatic spark occurs. Rotate the disks several turns to charge the jars.</w:t>
      </w:r>
    </w:p>
    <w:p>
      <w:pPr>
        <w:pStyle w:val="ListNumber"/>
      </w:pPr>
      <w:r>
        <w:t>Stop rotation completely so brush/sector interference ceases.</w:t>
      </w:r>
    </w:p>
    <w:p>
      <w:pPr>
        <w:pStyle w:val="ListNumber"/>
      </w:pPr>
      <w:r>
        <w:t>Deliberately discharge the stored charge with a metallic conductor and listen for a sharp radio transient coincident with the spark.</w:t>
      </w:r>
    </w:p>
    <w:p>
      <w:pPr>
        <w:pStyle w:val="Heading2"/>
      </w:pPr>
      <w:r>
        <w:t>Detailed Wimshurst Machine Diagram</w:t>
      </w:r>
    </w:p>
    <w:p>
      <w:pPr>
        <w:jc w:val="center"/>
      </w:pPr>
      <w:r>
        <w:drawing>
          <wp:inline xmlns:a="http://schemas.openxmlformats.org/drawingml/2006/main" xmlns:pic="http://schemas.openxmlformats.org/drawingml/2006/picture">
            <wp:extent cx="5580000" cy="3943248"/>
            <wp:docPr id="1" name="Picture 1"/>
            <wp:cNvGraphicFramePr>
              <a:graphicFrameLocks noChangeAspect="1"/>
            </wp:cNvGraphicFramePr>
            <a:graphic>
              <a:graphicData uri="http://schemas.openxmlformats.org/drawingml/2006/picture">
                <pic:pic>
                  <pic:nvPicPr>
                    <pic:cNvPr id="0" name="template_image1.png"/>
                    <pic:cNvPicPr/>
                  </pic:nvPicPr>
                  <pic:blipFill>
                    <a:blip r:embed="rId9"/>
                    <a:stretch>
                      <a:fillRect/>
                    </a:stretch>
                  </pic:blipFill>
                  <pic:spPr>
                    <a:xfrm>
                      <a:off x="0" y="0"/>
                      <a:ext cx="5580000" cy="3943248"/>
                    </a:xfrm>
                    <a:prstGeom prst="rect"/>
                  </pic:spPr>
                </pic:pic>
              </a:graphicData>
            </a:graphic>
          </wp:inline>
        </w:drawing>
      </w:r>
    </w:p>
    <w:p>
      <w:pPr>
        <w:spacing w:after="80"/>
        <w:jc w:val="center"/>
      </w:pPr>
      <w:r>
        <w:rPr>
          <w:rFonts w:ascii="Arial" w:hAnsi="Arial"/>
          <w:b w:val="0"/>
          <w:i/>
          <w:sz w:val="18"/>
        </w:rPr>
        <w:t>Figure 1. Labeled Wimshurst machine components from the prior project report.</w:t>
      </w:r>
    </w:p>
    <w:p>
      <w:r>
        <w:br w:type="page"/>
      </w:r>
    </w:p>
    <w:p>
      <w:pPr>
        <w:pStyle w:val="Heading1"/>
        <w:jc w:val="center"/>
      </w:pPr>
      <w:r>
        <w:t>CHAPTER III</w:t>
      </w:r>
    </w:p>
    <w:p>
      <w:pPr>
        <w:spacing w:after="200"/>
        <w:jc w:val="center"/>
      </w:pPr>
      <w:r>
        <w:rPr>
          <w:rFonts w:ascii="Arial" w:hAnsi="Arial"/>
          <w:b/>
          <w:i w:val="0"/>
          <w:sz w:val="28"/>
        </w:rPr>
        <w:t>RESULTS AND DISCUSSION</w:t>
      </w:r>
    </w:p>
    <w:p>
      <w:pPr>
        <w:pStyle w:val="Heading2"/>
      </w:pPr>
      <w:r>
        <w:t>1. Electrostatic Theory and Charge Density</w:t>
      </w:r>
    </w:p>
    <w:p>
      <w:pPr>
        <w:jc w:val="both"/>
      </w:pPr>
      <w:r>
        <w:t>The experimental observations are consistent with the sequence charge accumulation → surface charge density → electric field → potential difference → air breakdown → spark. Surface charge density is represented by σ = Q/A. Concentrating charge on a smaller conductive area increases surface charge density and can produce a stronger local electric field. Electrode curvature therefore matters: the field becomes especially intense near small-radius surfaces and points.</w:t>
      </w:r>
    </w:p>
    <w:p>
      <w:pPr>
        <w:jc w:val="both"/>
      </w:pPr>
      <w:r>
        <w:t>Capacitance is described by Q = CV, or V = Q/C. This relation is central to the Leyden-jar comparison. The Leyden jars increase effective capacitance, allowing substantially more charge to be accumulated before the terminal voltage reaches breakdown. Capacitor energy is E = 1/2 CV², so at a similar breakdown voltage, greater capacitance means much more stored energy is available to the spark.</w:t>
      </w:r>
    </w:p>
    <w:p>
      <w:pPr>
        <w:pStyle w:val="Heading2"/>
      </w:pPr>
      <w:r>
        <w:t>2. Styrofoam-Ball Electrostatic Force Experiment</w:t>
      </w:r>
    </w:p>
    <w:p>
      <w:pPr>
        <w:jc w:val="both"/>
      </w:pPr>
      <w:r>
        <w:t>The initially neutral Styrofoam ball was attracted to a charged terminal. The electric field polarized the ball so that opposite charge was effectively closer to the terminal than like charge, producing a net attractive force. After the ball touched the terminal, charge transferred by conduction. The ball then carried the same polarity as that terminal and was repelled. It could subsequently be attracted to the opposite terminal, touch it, change net charge, and be repelled again.</w:t>
      </w:r>
    </w:p>
    <w:p>
      <w:pPr>
        <w:jc w:val="both"/>
      </w:pPr>
      <w:r>
        <w:t>This experiment demonstrates that a Wimshurst machine can produce a strong electrostatic force on a very light object even though its continuous current is extremely small. The force is related to Coulomb's law, F = k|q₁q₂|/r², where k ≈ 8.99 × 10⁹ N·m²/C².</w:t>
      </w:r>
    </w:p>
    <w:p>
      <w:pPr>
        <w:pStyle w:val="Heading2"/>
      </w:pPr>
      <w:r>
        <w:t>3. Spark and Leyden-Jar Investigation</w:t>
      </w:r>
    </w:p>
    <w:p>
      <w:pPr>
        <w:jc w:val="both"/>
      </w:pPr>
      <w:r>
        <w:t>With the Leyden jars connected, the machine produced the familiar bright, energetic spark: relatively thick, bright, and accompanied by a sharp audible snap. After the jars were safely disconnected, the discharge changed dramatically to a rapid, thin blue stream. The most useful explanation is the change in effective capacitance. Without the jars, much less charge is required to raise the output to air-breakdown potential, so breakdown occurs more frequently, but each discharge contains much less stored energy.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D9EAF7"/>
            <w:vAlign w:val="center"/>
          </w:tcPr>
          <w:p>
            <w:r>
              <w:rPr>
                <w:b/>
              </w:rPr>
              <w:t>Configuration</w:t>
            </w:r>
          </w:p>
        </w:tc>
        <w:tc>
          <w:tcPr>
            <w:tcW w:type="dxa" w:w="3137"/>
            <w:shd w:fill="D9EAF7"/>
            <w:vAlign w:val="center"/>
          </w:tcPr>
          <w:p>
            <w:r>
              <w:rPr>
                <w:b/>
              </w:rPr>
              <w:t>Observed discharge</w:t>
            </w:r>
          </w:p>
        </w:tc>
        <w:tc>
          <w:tcPr>
            <w:tcW w:type="dxa" w:w="3137"/>
            <w:shd w:fill="D9EAF7"/>
            <w:vAlign w:val="center"/>
          </w:tcPr>
          <w:p>
            <w:r>
              <w:rPr>
                <w:b/>
              </w:rPr>
              <w:t>Interpretation</w:t>
            </w:r>
          </w:p>
        </w:tc>
      </w:tr>
      <w:tr>
        <w:tc>
          <w:tcPr>
            <w:tcW w:type="dxa" w:w="3137"/>
            <w:vAlign w:val="center"/>
          </w:tcPr>
          <w:p>
            <w:r>
              <w:t>Leyden jars connected</w:t>
            </w:r>
          </w:p>
        </w:tc>
        <w:tc>
          <w:tcPr>
            <w:tcW w:type="dxa" w:w="3137"/>
            <w:vAlign w:val="center"/>
          </w:tcPr>
          <w:p>
            <w:r>
              <w:t>Slower, thicker, brighter, louder sparks</w:t>
            </w:r>
          </w:p>
        </w:tc>
        <w:tc>
          <w:tcPr>
            <w:tcW w:type="dxa" w:w="3137"/>
            <w:vAlign w:val="center"/>
          </w:tcPr>
          <w:p>
            <w:r>
              <w:t>Higher capacitance stores more charge and energy before breakdown.</w:t>
            </w:r>
          </w:p>
        </w:tc>
      </w:tr>
      <w:tr>
        <w:tc>
          <w:tcPr>
            <w:tcW w:type="dxa" w:w="3137"/>
            <w:vAlign w:val="center"/>
          </w:tcPr>
          <w:p>
            <w:r>
              <w:t>Leyden jars disconnected</w:t>
            </w:r>
          </w:p>
        </w:tc>
        <w:tc>
          <w:tcPr>
            <w:tcW w:type="dxa" w:w="3137"/>
            <w:vAlign w:val="center"/>
          </w:tcPr>
          <w:p>
            <w:r>
              <w:t>Rapid, thin blue discharge</w:t>
            </w:r>
          </w:p>
        </w:tc>
        <w:tc>
          <w:tcPr>
            <w:tcW w:type="dxa" w:w="3137"/>
            <w:vAlign w:val="center"/>
          </w:tcPr>
          <w:p>
            <w:r>
              <w:t>Lower capacitance reaches breakdown with less accumulated charge; energy per discharge is smaller.</w:t>
            </w:r>
          </w:p>
        </w:tc>
      </w:tr>
    </w:tbl>
    <w:p>
      <w:pPr>
        <w:jc w:val="center"/>
      </w:pPr>
      <w:r>
        <w:drawing>
          <wp:inline xmlns:a="http://schemas.openxmlformats.org/drawingml/2006/main" xmlns:pic="http://schemas.openxmlformats.org/drawingml/2006/picture">
            <wp:extent cx="3780000" cy="2458033"/>
            <wp:docPr id="2" name="Picture 2"/>
            <wp:cNvGraphicFramePr>
              <a:graphicFrameLocks noChangeAspect="1"/>
            </wp:cNvGraphicFramePr>
            <a:graphic>
              <a:graphicData uri="http://schemas.openxmlformats.org/drawingml/2006/picture">
                <pic:pic>
                  <pic:nvPicPr>
                    <pic:cNvPr id="0" name="log_image3.jpg"/>
                    <pic:cNvPicPr/>
                  </pic:nvPicPr>
                  <pic:blipFill>
                    <a:blip r:embed="rId10"/>
                    <a:stretch>
                      <a:fillRect/>
                    </a:stretch>
                  </pic:blipFill>
                  <pic:spPr>
                    <a:xfrm>
                      <a:off x="0" y="0"/>
                      <a:ext cx="3780000" cy="2458033"/>
                    </a:xfrm>
                    <a:prstGeom prst="rect"/>
                  </pic:spPr>
                </pic:pic>
              </a:graphicData>
            </a:graphic>
          </wp:inline>
        </w:drawing>
      </w:r>
    </w:p>
    <w:p>
      <w:pPr>
        <w:spacing w:after="80"/>
        <w:jc w:val="center"/>
      </w:pPr>
      <w:r>
        <w:rPr>
          <w:rFonts w:ascii="Arial" w:hAnsi="Arial"/>
          <w:b w:val="0"/>
          <w:i/>
          <w:sz w:val="18"/>
        </w:rPr>
        <w:t>Figure 2. Supplied project photograph of the Wimshurst spark discharge.</w:t>
      </w:r>
    </w:p>
    <w:p>
      <w:pPr>
        <w:pStyle w:val="Heading2"/>
      </w:pPr>
      <w:r>
        <w:t>4. Spark-Gap Voltage Estimation and Why Direct Measurement Was Not Used</w:t>
      </w:r>
    </w:p>
    <w:p>
      <w:pPr>
        <w:jc w:val="both"/>
      </w:pPr>
      <w:r>
        <w:t>The maximum repeatable spark gap was selected as the most practical quantitative indicator of voltage. For an educational estimate, dry air is often approximated as breaking down near 3 kV/mm. Therefore, a repeatable 10 mm spark gap gives V ≈ 3 kV/mm × 10 mm ≈ 30 kV. The result must be presented as approximate because breakdown depends on atmospheric and electrode conditions.</w:t>
      </w:r>
    </w:p>
    <w:p>
      <w:pPr>
        <w:jc w:val="both"/>
      </w:pPr>
      <w:r>
        <w:t>An ordinary digital voltmeter is not suitable because the Wimshurst voltage can greatly exceed its insulation and input ratings. In addition, the machine is a very-high-impedance source, so the finite input resistance and capacitance of an ordinary meter can substantially load the source and alter the voltage being measured. A standard oscilloscope is also inappropriate: normal probes are not rated for tens of kilovolts, and many oscilloscope ground clips are connected to protective earth, which can create a dangerous discharge path or short one side of a floating electrostatic source.</w:t>
      </w:r>
    </w:p>
    <w:p>
      <w:pPr>
        <w:jc w:val="both"/>
      </w:pPr>
      <w:r>
        <w:t>A properly designed high-voltage divider or specialized electrostatic voltmeter could measure the voltage more directly, but such equipment was not available within the project schedule. For this investigation, the air gap is satisfactory because air breakdown is itself the physical event being studied, requires no direct electrical connection to the generator, and gives an order-of-magnitude estimate appropriate to the experiment.</w:t>
      </w:r>
    </w:p>
    <w:p>
      <w:pPr>
        <w:pStyle w:val="Heading2"/>
      </w:pPr>
      <w:r>
        <w:t>5. Voltage, Current, and Power</w:t>
      </w:r>
    </w:p>
    <w:p>
      <w:pPr>
        <w:jc w:val="both"/>
      </w:pPr>
      <w:r>
        <w:t>High voltage does not by itself imply high power. Electrical power is P = VI. Current must be converted to amperes before calculation. For example, if the generator is operating at an estimated 30,000 V and an average current of 10 µA, then 10 µA = 0.000010 A and P = 30,000 × 0.000010 = 0.30 W.</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D9EAF7"/>
            <w:vAlign w:val="center"/>
          </w:tcPr>
          <w:p>
            <w:r>
              <w:rPr>
                <w:b/>
              </w:rPr>
              <w:t>Estimated voltage</w:t>
            </w:r>
          </w:p>
        </w:tc>
        <w:tc>
          <w:tcPr>
            <w:tcW w:type="dxa" w:w="3137"/>
            <w:shd w:fill="D9EAF7"/>
            <w:vAlign w:val="center"/>
          </w:tcPr>
          <w:p>
            <w:r>
              <w:rPr>
                <w:b/>
              </w:rPr>
              <w:t>Illustrative average current</w:t>
            </w:r>
          </w:p>
        </w:tc>
        <w:tc>
          <w:tcPr>
            <w:tcW w:type="dxa" w:w="3137"/>
            <w:shd w:fill="D9EAF7"/>
            <w:vAlign w:val="center"/>
          </w:tcPr>
          <w:p>
            <w:r>
              <w:rPr>
                <w:b/>
              </w:rPr>
              <w:t>Calculated average power</w:t>
            </w:r>
          </w:p>
        </w:tc>
      </w:tr>
      <w:tr>
        <w:tc>
          <w:tcPr>
            <w:tcW w:type="dxa" w:w="3137"/>
            <w:vAlign w:val="center"/>
          </w:tcPr>
          <w:p>
            <w:r>
              <w:t>10 kV</w:t>
            </w:r>
          </w:p>
        </w:tc>
        <w:tc>
          <w:tcPr>
            <w:tcW w:type="dxa" w:w="3137"/>
            <w:vAlign w:val="center"/>
          </w:tcPr>
          <w:p>
            <w:r>
              <w:t>5 µA</w:t>
            </w:r>
          </w:p>
        </w:tc>
        <w:tc>
          <w:tcPr>
            <w:tcW w:type="dxa" w:w="3137"/>
            <w:vAlign w:val="center"/>
          </w:tcPr>
          <w:p>
            <w:r>
              <w:t>0.05 W</w:t>
            </w:r>
          </w:p>
        </w:tc>
      </w:tr>
      <w:tr>
        <w:tc>
          <w:tcPr>
            <w:tcW w:type="dxa" w:w="3137"/>
            <w:vAlign w:val="center"/>
          </w:tcPr>
          <w:p>
            <w:r>
              <w:t>20 kV</w:t>
            </w:r>
          </w:p>
        </w:tc>
        <w:tc>
          <w:tcPr>
            <w:tcW w:type="dxa" w:w="3137"/>
            <w:vAlign w:val="center"/>
          </w:tcPr>
          <w:p>
            <w:r>
              <w:t>10 µA</w:t>
            </w:r>
          </w:p>
        </w:tc>
        <w:tc>
          <w:tcPr>
            <w:tcW w:type="dxa" w:w="3137"/>
            <w:vAlign w:val="center"/>
          </w:tcPr>
          <w:p>
            <w:r>
              <w:t>0.20 W</w:t>
            </w:r>
          </w:p>
        </w:tc>
      </w:tr>
      <w:tr>
        <w:tc>
          <w:tcPr>
            <w:tcW w:type="dxa" w:w="3137"/>
            <w:vAlign w:val="center"/>
          </w:tcPr>
          <w:p>
            <w:r>
              <w:t>30 kV</w:t>
            </w:r>
          </w:p>
        </w:tc>
        <w:tc>
          <w:tcPr>
            <w:tcW w:type="dxa" w:w="3137"/>
            <w:vAlign w:val="center"/>
          </w:tcPr>
          <w:p>
            <w:r>
              <w:t>10 µA</w:t>
            </w:r>
          </w:p>
        </w:tc>
        <w:tc>
          <w:tcPr>
            <w:tcW w:type="dxa" w:w="3137"/>
            <w:vAlign w:val="center"/>
          </w:tcPr>
          <w:p>
            <w:r>
              <w:t>0.30 W</w:t>
            </w:r>
          </w:p>
        </w:tc>
      </w:tr>
      <w:tr>
        <w:tc>
          <w:tcPr>
            <w:tcW w:type="dxa" w:w="3137"/>
            <w:vAlign w:val="center"/>
          </w:tcPr>
          <w:p>
            <w:r>
              <w:t>30 kV</w:t>
            </w:r>
          </w:p>
        </w:tc>
        <w:tc>
          <w:tcPr>
            <w:tcW w:type="dxa" w:w="3137"/>
            <w:vAlign w:val="center"/>
          </w:tcPr>
          <w:p>
            <w:r>
              <w:t>20 µA</w:t>
            </w:r>
          </w:p>
        </w:tc>
        <w:tc>
          <w:tcPr>
            <w:tcW w:type="dxa" w:w="3137"/>
            <w:vAlign w:val="center"/>
          </w:tcPr>
          <w:p>
            <w:r>
              <w:t>0.60 W</w:t>
            </w:r>
          </w:p>
        </w:tc>
      </w:tr>
      <w:tr>
        <w:tc>
          <w:tcPr>
            <w:tcW w:type="dxa" w:w="3137"/>
            <w:vAlign w:val="center"/>
          </w:tcPr>
          <w:p>
            <w:r>
              <w:t>50 kV</w:t>
            </w:r>
          </w:p>
        </w:tc>
        <w:tc>
          <w:tcPr>
            <w:tcW w:type="dxa" w:w="3137"/>
            <w:vAlign w:val="center"/>
          </w:tcPr>
          <w:p>
            <w:r>
              <w:t>10 µA</w:t>
            </w:r>
          </w:p>
        </w:tc>
        <w:tc>
          <w:tcPr>
            <w:tcW w:type="dxa" w:w="3137"/>
            <w:vAlign w:val="center"/>
          </w:tcPr>
          <w:p>
            <w:r>
              <w:t>0.50 W</w:t>
            </w:r>
          </w:p>
        </w:tc>
      </w:tr>
    </w:tbl>
    <w:p>
      <w:pPr>
        <w:jc w:val="both"/>
      </w:pPr>
      <w:r>
        <w:t>These current values are illustrative unless separately measured. The calculation is included to show why a spectacular spark can coexist with modest average electrical power. The instantaneous power during a Leyden-jar spark can be much higher for a very short time because stored capacitor energy is released rapidly; that is different from the average power continuously produced by the generator.</w:t>
      </w:r>
    </w:p>
    <w:p>
      <w:pPr>
        <w:pStyle w:val="Heading2"/>
      </w:pPr>
      <w:r>
        <w:t>6. AM-Radio Electromagnetic Emission Investigation</w:t>
      </w:r>
    </w:p>
    <w:p>
      <w:pPr>
        <w:jc w:val="both"/>
      </w:pPr>
      <w:r>
        <w:t>The initial AM-radio test did not clearly reveal the spark discharge. Instead, the radio detected strong repetitive interference whenever the disks were rotating. The sound corresponded closely with the brushes contacting the metallic sectors, indicating that the brush-and-sector system itself was a strong source of repetitive broadband electromagnetic interference.</w:t>
      </w:r>
    </w:p>
    <w:p>
      <w:pPr>
        <w:jc w:val="both"/>
      </w:pPr>
      <w:r>
        <w:t>Removing the Leyden jars and producing the rapid thin blue discharge did not produce a noticeable change in the received noise. The same brush/sector interference remained dominant, so any electromagnetic contribution from the blue discharge could not be distinguished under normal rotation.</w:t>
      </w:r>
    </w:p>
    <w:p>
      <w:pPr>
        <w:jc w:val="both"/>
      </w:pPr>
      <w:r>
        <w:t>A modified experiment successfully isolated the spark. The discharge electrodes were moved far enough apart that no automatic discharge could occur. The disks were rotated several turns to charge the Leyden jars, and rotation was then stopped. With the brushes and sectors stationary, the stored charge was deliberately discharged using a metallic ruler. At the exact moment of the spark, the AM radio produced a distinct sharp blip.</w:t>
      </w:r>
    </w:p>
    <w:p>
      <w:pPr>
        <w:jc w:val="both"/>
      </w:pPr>
      <w:r>
        <w:t>This result provides positive experimental evidence that the Leyden-jar spark itself produces an electromagnetic transient. It also illustrates the scientific method: the first test produced an ambiguous result; a masking source was hypothesized; the procedure was redesigned to isolate the independent variable; and the revised test supported the hypothesis.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D9EAF7"/>
            <w:vAlign w:val="center"/>
          </w:tcPr>
          <w:p>
            <w:r>
              <w:rPr>
                <w:b/>
              </w:rPr>
              <w:t>Condition</w:t>
            </w:r>
          </w:p>
        </w:tc>
        <w:tc>
          <w:tcPr>
            <w:tcW w:type="dxa" w:w="3137"/>
            <w:shd w:fill="D9EAF7"/>
            <w:vAlign w:val="center"/>
          </w:tcPr>
          <w:p>
            <w:r>
              <w:rPr>
                <w:b/>
              </w:rPr>
              <w:t>AM-radio observation</w:t>
            </w:r>
          </w:p>
        </w:tc>
        <w:tc>
          <w:tcPr>
            <w:tcW w:type="dxa" w:w="3137"/>
            <w:shd w:fill="D9EAF7"/>
            <w:vAlign w:val="center"/>
          </w:tcPr>
          <w:p>
            <w:r>
              <w:rPr>
                <w:b/>
              </w:rPr>
              <w:t>Conclusion</w:t>
            </w:r>
          </w:p>
        </w:tc>
      </w:tr>
      <w:tr>
        <w:tc>
          <w:tcPr>
            <w:tcW w:type="dxa" w:w="3137"/>
            <w:vAlign w:val="center"/>
          </w:tcPr>
          <w:p>
            <w:r>
              <w:t>Disks rotating, jars connected</w:t>
            </w:r>
          </w:p>
        </w:tc>
        <w:tc>
          <w:tcPr>
            <w:tcW w:type="dxa" w:w="3137"/>
            <w:vAlign w:val="center"/>
          </w:tcPr>
          <w:p>
            <w:r>
              <w:t>Strong repetitive buzzing/crackling; spark not separately identifiable</w:t>
            </w:r>
          </w:p>
        </w:tc>
        <w:tc>
          <w:tcPr>
            <w:tcW w:type="dxa" w:w="3137"/>
            <w:vAlign w:val="center"/>
          </w:tcPr>
          <w:p>
            <w:r>
              <w:t>Brush/sector interference masks the spark.</w:t>
            </w:r>
          </w:p>
        </w:tc>
      </w:tr>
      <w:tr>
        <w:tc>
          <w:tcPr>
            <w:tcW w:type="dxa" w:w="3137"/>
            <w:vAlign w:val="center"/>
          </w:tcPr>
          <w:p>
            <w:r>
              <w:t>Disks rotating, jars disconnected</w:t>
            </w:r>
          </w:p>
        </w:tc>
        <w:tc>
          <w:tcPr>
            <w:tcW w:type="dxa" w:w="3137"/>
            <w:vAlign w:val="center"/>
          </w:tcPr>
          <w:p>
            <w:r>
              <w:t>No noticeable change from sector noise</w:t>
            </w:r>
          </w:p>
        </w:tc>
        <w:tc>
          <w:tcPr>
            <w:tcW w:type="dxa" w:w="3137"/>
            <w:vAlign w:val="center"/>
          </w:tcPr>
          <w:p>
            <w:r>
              <w:t>Blue discharge not distinguishable above brush/sector interference.</w:t>
            </w:r>
          </w:p>
        </w:tc>
      </w:tr>
      <w:tr>
        <w:tc>
          <w:tcPr>
            <w:tcW w:type="dxa" w:w="3137"/>
            <w:vAlign w:val="center"/>
          </w:tcPr>
          <w:p>
            <w:r>
              <w:t>Disks stopped after charging jars; deliberate discharge</w:t>
            </w:r>
          </w:p>
        </w:tc>
        <w:tc>
          <w:tcPr>
            <w:tcW w:type="dxa" w:w="3137"/>
            <w:vAlign w:val="center"/>
          </w:tcPr>
          <w:p>
            <w:r>
              <w:t>Distinct sharp blip coincident with spark</w:t>
            </w:r>
          </w:p>
        </w:tc>
        <w:tc>
          <w:tcPr>
            <w:tcW w:type="dxa" w:w="3137"/>
            <w:vAlign w:val="center"/>
          </w:tcPr>
          <w:p>
            <w:r>
              <w:t>Spark discharge independently produces detectable electromagnetic radiation.</w:t>
            </w:r>
          </w:p>
        </w:tc>
      </w:tr>
    </w:tbl>
    <w:p>
      <w:pPr>
        <w:pStyle w:val="Heading2"/>
      </w:pPr>
      <w:r>
        <w:t>7. Practical Applications</w:t>
      </w:r>
    </w:p>
    <w:p>
      <w:pPr>
        <w:jc w:val="both"/>
      </w:pPr>
      <w:r>
        <w:t>High electrostatic voltage has direct practical uses where voltage and electric field are more important than continuous high current. Examples include electrostatic precipitation, ionization, electrostatic coating and painting, particle manipulation or acceleration, electrostatic demonstrations, and high-voltage research. These applications help show that the Wimshurst principle is not limited to visual sparks.</w:t>
      </w:r>
    </w:p>
    <w:p>
      <w:pPr>
        <w:pStyle w:val="Heading2"/>
      </w:pPr>
      <w:r>
        <w:t>8. Testatika Research Extension</w:t>
      </w:r>
    </w:p>
    <w:p>
      <w:pPr>
        <w:jc w:val="both"/>
      </w:pPr>
      <w:r>
        <w:t>The Testatika research was used as an engineering extension rather than as a claim that the classroom Wimshurst machine itself can directly power ordinary appliances. The reported Testatika architecture is important because it frames the rotating electrostatic generator as only the front end of a larger energy-processing system. The conceptual path is electrostatic generation → charge collection/storage → controlled pulsing or oscillation → inductive/resonant conversion → rectification and buffering → conditioned output.</w:t>
      </w:r>
    </w:p>
    <w:p>
      <w:pPr>
        <w:jc w:val="both"/>
      </w:pPr>
      <w:r>
        <w:t>The Pidgeon machine provides an especially useful bridge. Pidgeon's documented variable-capacitance cycle charges sectors when capacitance is relatively high and collects them when capacitance is lower. The reported/reconstructed Testatika architecture adds substantial cylindrical, magnetic, inductive, capacitive, and valve-like structures. Exact internal connections are not completely documented, so this report treats detailed component functions and self-rotation mechanisms as reported or reconstructed rather than established facts.</w:t>
      </w:r>
    </w:p>
    <w:p>
      <w:pPr>
        <w:jc w:val="center"/>
      </w:pPr>
      <w:r>
        <w:drawing>
          <wp:inline xmlns:a="http://schemas.openxmlformats.org/drawingml/2006/main" xmlns:pic="http://schemas.openxmlformats.org/drawingml/2006/picture">
            <wp:extent cx="3960000" cy="2575082"/>
            <wp:docPr id="3" name="Picture 3"/>
            <wp:cNvGraphicFramePr>
              <a:graphicFrameLocks noChangeAspect="1"/>
            </wp:cNvGraphicFramePr>
            <a:graphic>
              <a:graphicData uri="http://schemas.openxmlformats.org/drawingml/2006/picture">
                <pic:pic>
                  <pic:nvPicPr>
                    <pic:cNvPr id="0" name="log_image3.jpg"/>
                    <pic:cNvPicPr/>
                  </pic:nvPicPr>
                  <pic:blipFill>
                    <a:blip r:embed="rId10"/>
                    <a:stretch>
                      <a:fillRect/>
                    </a:stretch>
                  </pic:blipFill>
                  <pic:spPr>
                    <a:xfrm>
                      <a:off x="0" y="0"/>
                      <a:ext cx="3960000" cy="2575082"/>
                    </a:xfrm>
                    <a:prstGeom prst="rect"/>
                  </pic:spPr>
                </pic:pic>
              </a:graphicData>
            </a:graphic>
          </wp:inline>
        </w:drawing>
      </w:r>
    </w:p>
    <w:p>
      <w:pPr>
        <w:spacing w:after="80"/>
        <w:jc w:val="center"/>
      </w:pPr>
      <w:r>
        <w:rPr>
          <w:rFonts w:ascii="Arial" w:hAnsi="Arial"/>
          <w:b w:val="0"/>
          <w:i/>
          <w:sz w:val="18"/>
        </w:rPr>
        <w:t>Figure 3. Historical Testatika photograph — Paul Baumann beside a tabletop unit.</w:t>
      </w:r>
    </w:p>
    <w:p>
      <w:pPr>
        <w:pStyle w:val="Heading2"/>
      </w:pPr>
      <w:r>
        <w:t>9. Supplemental Research Extension — Converting Wimshurst Output into Usable Power</w:t>
      </w:r>
    </w:p>
    <w:p>
      <w:pPr>
        <w:jc w:val="both"/>
      </w:pPr>
      <w:r>
        <w:t>A supplemental proof-of-concept asks whether the high-voltage, high-impedance Wimshurst output can be accumulated and converted into a lower-voltage, higher-current form suitable for a small load. This extension deliberately does not depend on the reported Testatika self-rotation mechanism. It borrows only conventional engineering ideas: high-voltage charge storage, controlled pulsed discharge, inductive or resonant conversion, rectification, output storage, and regulation.</w:t>
      </w:r>
    </w:p>
    <w:p>
      <w:pPr>
        <w:jc w:val="both"/>
      </w:pPr>
      <w:r>
        <w:t>The proposed functional chain is: Wimshurst generator → high-voltage capacitance → controlled pulse → transformer or LC/transformer stage → rectification → low-voltage reservoir capacitor → calibrated load. The decisive feasibility quantity is average energy production, not peak spark voltage.</w:t>
      </w:r>
    </w:p>
    <w:p>
      <w:pPr>
        <w:jc w:val="both"/>
      </w:pPr>
      <w:r>
        <w:t>For example, if the actual machine were experimentally shown to provide about 25 kV at an average charging current of 20 µA, then P = VI = 25,000 × 0.000020 = 0.50 W. If an illustrative overall conversion efficiency of 48% were achieved, the output would be about 0.24 W. These figures are not measurements of the student machine; they show the input-power level that would be required for a target near 0.25 W.</w:t>
      </w:r>
    </w:p>
    <w:p>
      <w:pPr>
        <w:jc w:val="both"/>
      </w:pPr>
      <w:r>
        <w:t>A better characterization method is to charge a known safely rated capacitance, calculate stored energy E = 1/2 CV², measure the charging time t, and estimate average charging power as Pavg ≈ E/t. Only after the source is characterized should energy be transferred through an inductive conversion stage and measured at a low-voltage resistive load.</w:t>
      </w:r>
    </w:p>
    <w:p>
      <w:pPr>
        <w:pStyle w:val="Heading2"/>
      </w:pPr>
      <w:r>
        <w:t>Sources of Error and Experimental Limitations</w:t>
      </w:r>
    </w:p>
    <w:p>
      <w:pPr>
        <w:pStyle w:val="ListBullet"/>
      </w:pPr>
      <w:r>
        <w:t>Humidity and surface moisture increase electrostatic leakage and alter air-breakdown distance.</w:t>
      </w:r>
    </w:p>
    <w:p>
      <w:pPr>
        <w:pStyle w:val="ListBullet"/>
      </w:pPr>
      <w:r>
        <w:t>Manual cranking speed is not perfectly constant.</w:t>
      </w:r>
    </w:p>
    <w:p>
      <w:pPr>
        <w:pStyle w:val="ListBullet"/>
      </w:pPr>
      <w:r>
        <w:t>Electrode curvature, alignment, and surface condition affect local electric-field strength.</w:t>
      </w:r>
    </w:p>
    <w:p>
      <w:pPr>
        <w:pStyle w:val="ListBullet"/>
      </w:pPr>
      <w:r>
        <w:t>Spark-gap voltage is an indirect estimate, not a calibrated direct measurement.</w:t>
      </w:r>
    </w:p>
    <w:p>
      <w:pPr>
        <w:pStyle w:val="ListBullet"/>
      </w:pPr>
      <w:r>
        <w:t>The project did not directly measure microampere-scale average current from the high-voltage output.</w:t>
      </w:r>
    </w:p>
    <w:p>
      <w:pPr>
        <w:pStyle w:val="ListBullet"/>
      </w:pPr>
      <w:r>
        <w:t>AM-radio sensitivity, automatic gain control, bandwidth, distance, orientation, and local interference affect received signals.</w:t>
      </w:r>
    </w:p>
    <w:p>
      <w:pPr>
        <w:pStyle w:val="ListBullet"/>
      </w:pPr>
      <w:r>
        <w:t>Testatika internal circuitry and reported power ratings are not completely established by publicly available authenticated engineering documentation.</w:t>
      </w:r>
    </w:p>
    <w:p>
      <w:pPr>
        <w:pStyle w:val="ListBullet"/>
      </w:pPr>
      <w:r>
        <w:t>The proposed 0.25 W conversion system is a research extension and has not yet been built or experimentally validated.</w:t>
      </w:r>
    </w:p>
    <w:p>
      <w:r>
        <w:br w:type="page"/>
      </w:r>
    </w:p>
    <w:p>
      <w:pPr>
        <w:pStyle w:val="Heading1"/>
        <w:jc w:val="center"/>
      </w:pPr>
      <w:r>
        <w:t>CHAPTER IV</w:t>
      </w:r>
    </w:p>
    <w:p>
      <w:pPr>
        <w:spacing w:after="200"/>
        <w:jc w:val="center"/>
      </w:pPr>
      <w:r>
        <w:rPr>
          <w:rFonts w:ascii="Arial" w:hAnsi="Arial"/>
          <w:b/>
          <w:i w:val="0"/>
          <w:sz w:val="28"/>
        </w:rPr>
        <w:t>CONCLUSIONS AND RECOMMENDATIONS</w:t>
      </w:r>
    </w:p>
    <w:p>
      <w:pPr>
        <w:pStyle w:val="Heading2"/>
      </w:pPr>
      <w:r>
        <w:t>Conclusions</w:t>
      </w:r>
    </w:p>
    <w:p>
      <w:pPr>
        <w:pStyle w:val="ListNumber"/>
      </w:pPr>
      <w:r>
        <w:t>The Wimshurst machine successfully demonstrates conversion of mechanical motion into separated electrostatic charge and very high electrical potential.</w:t>
      </w:r>
    </w:p>
    <w:p>
      <w:pPr>
        <w:pStyle w:val="ListNumber"/>
      </w:pPr>
      <w:r>
        <w:t>Surface charge density and electric-field concentration are central to understanding why breakdown begins at the output electrodes.</w:t>
      </w:r>
    </w:p>
    <w:p>
      <w:pPr>
        <w:pStyle w:val="ListNumber"/>
      </w:pPr>
      <w:r>
        <w:t>The Styrofoam-ball experiment demonstrated polarization, electrostatic attraction, charge transfer by contact, and repulsion of like charges.</w:t>
      </w:r>
    </w:p>
    <w:p>
      <w:pPr>
        <w:pStyle w:val="ListNumber"/>
      </w:pPr>
      <w:r>
        <w:t>Leyden jars do not simply 'increase the voltage.' Their major observed effect is to increase effective capacitance, allowing more charge and substantially more energy to be stored before discharge. This produces slower, thicker, brighter, and more energetic sparks.</w:t>
      </w:r>
    </w:p>
    <w:p>
      <w:pPr>
        <w:pStyle w:val="ListNumber"/>
      </w:pPr>
      <w:r>
        <w:t>Without Leyden jars, the lower effective capacitance reaches breakdown after less charge accumulation, producing a rapid thin blue discharge with much less energy per event.</w:t>
      </w:r>
    </w:p>
    <w:p>
      <w:pPr>
        <w:pStyle w:val="ListNumber"/>
      </w:pPr>
      <w:r>
        <w:t>Maximum repeatable spark-gap distance is a reasonable indirect voltage-estimation method for this school investigation when specialized high-voltage measurement equipment is unavailable. Ordinary meters and oscilloscope probes should not be connected directly.</w:t>
      </w:r>
    </w:p>
    <w:p>
      <w:pPr>
        <w:pStyle w:val="ListNumber"/>
      </w:pPr>
      <w:r>
        <w:t>Power must be evaluated from both voltage and current. Tens of kilovolts can correspond to only fractions of a watt when average current is in the microampere range.</w:t>
      </w:r>
    </w:p>
    <w:p>
      <w:pPr>
        <w:pStyle w:val="ListNumber"/>
      </w:pPr>
      <w:r>
        <w:t>The AM-radio experiment confirmed that the machine produces electromagnetic interference from at least two sources. Brush/sector motion produces strong repetitive interference, while an isolated Leyden-jar spark produces a distinct electromagnetic transient detectable as a sharp radio blip.</w:t>
      </w:r>
    </w:p>
    <w:p>
      <w:pPr>
        <w:pStyle w:val="ListNumber"/>
      </w:pPr>
      <w:r>
        <w:t>The historical research shows a useful conceptual progression from Holtz influence generation, to Wimshurst self-exciting counter-rotating disks, to Pidgeon's explicit variable-capacitance cycle, and then to the reported Testatika concept of combining an electrostatic front end with additional power-conversion stages.</w:t>
      </w:r>
    </w:p>
    <w:p>
      <w:pPr>
        <w:pStyle w:val="ListNumber"/>
      </w:pPr>
      <w:r>
        <w:t>The usable-power extension remains a future proof-of-concept. A target near 0.25 W is meaningful only if the actual Wimshurst source is first shown by energy measurement to supply sufficient average electrical power.</w:t>
      </w:r>
    </w:p>
    <w:p>
      <w:pPr>
        <w:pStyle w:val="Heading2"/>
      </w:pPr>
      <w:r>
        <w:t>Recommendations for Future Work</w:t>
      </w:r>
    </w:p>
    <w:p>
      <w:pPr>
        <w:pStyle w:val="ListNumber"/>
      </w:pPr>
      <w:r>
        <w:t>Record the actual maximum repeatable spark gap under known room conditions and repeat the measurement several times.</w:t>
      </w:r>
    </w:p>
    <w:p>
      <w:pPr>
        <w:pStyle w:val="ListNumber"/>
      </w:pPr>
      <w:r>
        <w:t>Measure or estimate the machine's average energy production by timing the charge of a known, properly rated high-voltage capacitance rather than assuming current values.</w:t>
      </w:r>
    </w:p>
    <w:p>
      <w:pPr>
        <w:pStyle w:val="ListNumber"/>
      </w:pPr>
      <w:r>
        <w:t>Photograph the actual Styrofoam-ball, spark-gap, Leyden-jar, and AM-radio setups for the final report and presentation.</w:t>
      </w:r>
    </w:p>
    <w:p>
      <w:pPr>
        <w:pStyle w:val="ListNumber"/>
      </w:pPr>
      <w:r>
        <w:t>Repeat the AM-radio experiment at different distances and orientations, and if available compare AM with a simple broadband detector or loop antenna.</w:t>
      </w:r>
    </w:p>
    <w:p>
      <w:pPr>
        <w:pStyle w:val="ListNumber"/>
      </w:pPr>
      <w:r>
        <w:t>Investigate humidity quantitatively and correlate it with spark-gap distance and discharge consistency.</w:t>
      </w:r>
    </w:p>
    <w:p>
      <w:pPr>
        <w:pStyle w:val="ListNumber"/>
      </w:pPr>
      <w:r>
        <w:t>Treat the proposed 0.25 W converter as a separate supervised engineering project, beginning with energy characterization and a calibrated resistive load.</w:t>
      </w:r>
    </w:p>
    <w:p>
      <w:pPr>
        <w:pStyle w:val="ListNumber"/>
      </w:pPr>
      <w:r>
        <w:t>Continue the Holtz–Wimshurst–Pidgeon–Testatika research while clearly distinguishing established historical physics from reported observations and reconstruction hypotheses.</w:t>
      </w:r>
    </w:p>
    <w:p>
      <w:pPr>
        <w:pStyle w:val="Heading1"/>
        <w:jc w:val="center"/>
      </w:pPr>
      <w:r>
        <w:t>ACKNOWLEDGEMENTS</w:t>
      </w:r>
    </w:p>
    <w:p>
      <w:pPr>
        <w:jc w:val="both"/>
      </w:pPr>
      <w:r>
        <w:t>We would like to express our sincere gratitude to our science teacher and school for the opportunity to conduct this investigatory project and for the guidance provided throughout its development. We also thank our parents and family members for their assistance, encouragement, materials, technical discussion, and support during the experiments and preparation of the logbook, report, and presentation.</w:t>
      </w:r>
    </w:p>
    <w:p>
      <w:pPr>
        <w:jc w:val="both"/>
      </w:pPr>
      <w:r>
        <w:t>We also acknowledge the authors, museums, researchers, and historical archives whose publications and preserved descriptions made it possible to study the development of electrostatic influence machines and to place the Wimshurst machine in its broader scientific and engineering context.</w:t>
      </w:r>
    </w:p>
    <w:p>
      <w:pPr>
        <w:pStyle w:val="Heading1"/>
        <w:jc w:val="center"/>
      </w:pPr>
      <w:r>
        <w:t>REFERENCES / BIBLIOGRAPHY</w:t>
      </w:r>
    </w:p>
    <w:p>
      <w:pPr>
        <w:ind w:left="340" w:hanging="340"/>
      </w:pPr>
      <w:r>
        <w:t>Asrowi, R. H., Budi, E., &amp; Nasbey, H. (2023). Development of the Wimshurst Machine as a Learning Media on Static Electricity Material for Junior High Schools. Current STEAM and Education Research, 1(2), 41–52.</w:t>
      </w:r>
    </w:p>
    <w:p>
      <w:pPr>
        <w:ind w:left="340" w:hanging="340"/>
      </w:pPr>
      <w:r>
        <w:t>Simon, A. W. (1926). The Theory of Wimshurst’s Alternating Static Machine. Physical Review, 28(3), 545.</w:t>
      </w:r>
    </w:p>
    <w:p>
      <w:pPr>
        <w:ind w:left="340" w:hanging="340"/>
      </w:pPr>
      <w:r>
        <w:t>Marshall, A. W. (1908). The “Wimshurst” Machine, How to Make and Use It. Spon &amp; Chamberlain.</w:t>
      </w:r>
    </w:p>
    <w:p>
      <w:pPr>
        <w:ind w:left="340" w:hanging="340"/>
      </w:pPr>
      <w:r>
        <w:t>Ford, R. A. (1991). Homemade Lightning: Creative Experiments in High Voltage Electronics. TAB Books.</w:t>
      </w:r>
    </w:p>
    <w:p>
      <w:pPr>
        <w:ind w:left="340" w:hanging="340"/>
      </w:pPr>
      <w:r>
        <w:t>Munguía Aguilar, H. (2014). The Wimshurst Machine as an Electric Circuit. Universidad de Sonora.</w:t>
      </w:r>
    </w:p>
    <w:p>
      <w:pPr>
        <w:ind w:left="340" w:hanging="340"/>
      </w:pPr>
      <w:r>
        <w:t>California Institute of Technology. (2022). The Wimshurst Machine — Caltech Magazine.</w:t>
      </w:r>
    </w:p>
    <w:p>
      <w:pPr>
        <w:ind w:left="340" w:hanging="340"/>
      </w:pPr>
      <w:r>
        <w:t>Smithsonian Institution, National Museum of American History. Holtz-type influence machine.</w:t>
      </w:r>
    </w:p>
    <w:p>
      <w:pPr>
        <w:ind w:left="340" w:hanging="340"/>
      </w:pPr>
      <w:r>
        <w:t>Smithsonian Institution, National Museum of American History. Wimshurst-type influence machine.</w:t>
      </w:r>
    </w:p>
    <w:p>
      <w:pPr>
        <w:ind w:left="340" w:hanging="340"/>
      </w:pPr>
      <w:r>
        <w:t>Nature (10 November 1898). Contemporary report on W. R. Pidgeon’s influence machine and its maximum/minimum capacitance operation.</w:t>
      </w:r>
    </w:p>
    <w:p>
      <w:pPr>
        <w:ind w:left="340" w:hanging="340"/>
      </w:pPr>
      <w:r>
        <w:t>Conner, C., et al. (2018). Energy Harvesting with a Liquid-Metal Microfluidic Influence Machine. arXiv:1803.02454.</w:t>
      </w:r>
    </w:p>
    <w:p>
      <w:pPr>
        <w:ind w:left="340" w:hanging="340"/>
      </w:pPr>
      <w:r>
        <w:t>Supplemental project source: From Holtz to Wimshurst to Pidgeon to Testatika — Student Research Guide.</w:t>
      </w:r>
    </w:p>
    <w:p>
      <w:pPr>
        <w:ind w:left="340" w:hanging="340"/>
      </w:pPr>
      <w:r>
        <w:t>Supplemental project source: The Methernitha Testatika — History, Electrostatic Architecture, and the Conversion of High Voltage into Usable Power.</w:t>
      </w:r>
    </w:p>
    <w:p>
      <w:pPr>
        <w:ind w:left="340" w:hanging="340"/>
      </w:pPr>
      <w:r>
        <w:t>Supplemental project source: Converting a Standard Wimshurst Machine into a Small Usable-Power Source — Testatika-Inspired Proof-of-Concept Architecture.</w:t>
      </w:r>
    </w:p>
    <w:sectPr w:rsidR="00FC693F" w:rsidRPr="0006063C" w:rsidSect="00034616">
      <w:footerReference w:type="default" r:id="rId11"/>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Wimshurst Electrostatic Generator — Investigatory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