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Holtz to Wimshurst to Pidgeon to Testatika</w:t>
      </w:r>
    </w:p>
    <w:p>
      <w:pPr>
        <w:jc w:val="center"/>
      </w:pPr>
      <w:r>
        <w:rPr>
          <w:b/>
          <w:sz w:val="28"/>
        </w:rPr>
        <w:t>Student Research Guide for the Wimshurst Investigatory Project</w:t>
      </w:r>
    </w:p>
    <w:p>
      <w:pPr>
        <w:jc w:val="center"/>
      </w:pPr>
      <w:r>
        <w:rPr>
          <w:i/>
        </w:rPr>
        <w:t>Research objective: trace the evolution of electrostatic influence machines and identify which ideas help explain the later Testatika architecture.</w:t>
      </w:r>
    </w:p>
    <w:tbl>
      <w:tblPr>
        <w:tblW w:type="auto" w:w="0"/>
        <w:jc w:val="center"/>
        <w:tblLook w:firstColumn="1" w:firstRow="1" w:lastColumn="0" w:lastRow="0" w:noHBand="0" w:noVBand="1" w:val="04A0"/>
      </w:tblPr>
      <w:tblGrid>
        <w:gridCol w:w="10206"/>
      </w:tblGrid>
      <w:tr>
        <w:tc>
          <w:tcPr>
            <w:tcW w:type="dxa" w:w="10206"/>
            <w:shd w:fill="FFF2CC"/>
          </w:tcPr>
          <w:p>
            <w:r>
              <w:rPr>
                <w:b/>
                <w:color w:val="17365D"/>
              </w:rPr>
              <w:t>Important research distinction</w:t>
              <w:br/>
            </w:r>
            <w:r>
              <w:t>Holtz, Wimshurst, and Pidgeon are documented historical influence machines. The Testatika section is different: detailed internal schematics were not publicly disclosed, so descriptions of how it relates to Pidgeon/Wimshurst must be presented as reported observations and reconstruction hypotheses rather than as fully documented historical fact.</w:t>
            </w:r>
          </w:p>
        </w:tc>
      </w:tr>
    </w:tbl>
    <w:p/>
    <w:p>
      <w:pPr>
        <w:pStyle w:val="Heading1"/>
      </w:pPr>
      <w:r>
        <w:t>1. Research Question</w:t>
      </w:r>
    </w:p>
    <w:p>
      <w:r>
        <w:t>How did electrostatic generator design evolve from the Holtz influence machine through the Wimshurst and Pidgeon machines, and how can those developments be used to understand the electrostatic front end attributed to the Testatika?</w:t>
      </w:r>
    </w:p>
    <w:p>
      <w:r>
        <w:t>The students should not merely collect dates. For each machine, identify the engineering problem being addressed, the physical principle used, the important components, and what new idea was added to the progression.</w:t>
      </w:r>
    </w:p>
    <w:p>
      <w:pPr>
        <w:pStyle w:val="Heading1"/>
      </w:pPr>
      <w:r>
        <w:t>2. Historical and Technical Progression</w:t>
      </w:r>
    </w:p>
    <w:p>
      <w:pPr>
        <w:pStyle w:val="Heading2"/>
      </w:pPr>
      <w:r>
        <w:t>2.1 Holtz Influence Machine — c. 1865</w:t>
      </w:r>
    </w:p>
    <w:p>
      <w:r>
        <w:t>Wilhelm Holtz developed an important induction-based electrostatic machine in the mid-1860s. Unlike earlier friction machines, it used electrostatic influence: an existing charge redistributes charge on a nearby conductor without direct electrical contact.</w:t>
      </w:r>
    </w:p>
    <w:p>
      <w:r>
        <w:t>A typical Holtz design used one fixed glass plate and a slightly smaller rotating glass plate. The fixed plate had windows and paper sectors or inductors. Pointed brass collectors gathered charge from the rotating plate and could conduct it to Leyden jars. A significant practical limitation was that the machine normally had to be primed with an initial charge before the regenerative charging process could begin.</w:t>
      </w:r>
    </w:p>
    <w:tbl>
      <w:tblPr>
        <w:tblW w:type="auto" w:w="0"/>
        <w:jc w:val="center"/>
        <w:tblLook w:firstColumn="1" w:firstRow="1" w:lastColumn="0" w:lastRow="0" w:noHBand="0" w:noVBand="1" w:val="04A0"/>
      </w:tblPr>
      <w:tblGrid>
        <w:gridCol w:w="10206"/>
      </w:tblGrid>
      <w:tr>
        <w:tc>
          <w:tcPr>
            <w:tcW w:type="dxa" w:w="10206"/>
            <w:shd w:fill="EAF2F8"/>
          </w:tcPr>
          <w:p>
            <w:r>
              <w:rPr>
                <w:b/>
                <w:color w:val="17365D"/>
              </w:rPr>
              <w:t>Key contribution to trace</w:t>
              <w:br/>
            </w:r>
            <w:r>
              <w:t>Holtz demonstrates the central influence-machine idea: mechanical motion plus electrostatic induction can repeatedly separate and accumulate charge. This moves electrostatic generation beyond simple friction.</w:t>
            </w:r>
          </w:p>
        </w:tc>
      </w:tr>
    </w:tbl>
    <w:p/>
    <w:p>
      <w:pPr>
        <w:pStyle w:val="Heading2"/>
      </w:pPr>
      <w:r>
        <w:t>2.2 Wimshurst Influence Machine — early 1880s</w:t>
      </w:r>
    </w:p>
    <w:p>
      <w:r>
        <w:t>James Wimshurst developed a more robust influence machine using two insulating disks rotating in opposite directions. Metallic sectors, neutralizer bars and brushes, collecting combs, output electrodes, and optional Leyden jars form the familiar arrangement used in this science project.</w:t>
      </w:r>
    </w:p>
    <w:p>
      <w:r>
        <w:t>A major improvement was practical self-excitation: the Wimshurst machine normally did not require the deliberate external priming needed by earlier Holtz machines. Small residual electrical imbalances can be reinforced by the counter-rotating influence process.</w:t>
      </w:r>
    </w:p>
    <w:tbl>
      <w:tblPr>
        <w:tblW w:type="auto" w:w="0"/>
        <w:jc w:val="center"/>
        <w:tblLook w:firstColumn="1" w:firstRow="1" w:lastColumn="0" w:lastRow="0" w:noHBand="0" w:noVBand="1" w:val="04A0"/>
      </w:tblPr>
      <w:tblGrid>
        <w:gridCol w:w="10206"/>
      </w:tblGrid>
      <w:tr>
        <w:tc>
          <w:tcPr>
            <w:tcW w:type="dxa" w:w="10206"/>
            <w:shd w:fill="EAF2F8"/>
          </w:tcPr>
          <w:p>
            <w:r>
              <w:rPr>
                <w:b/>
                <w:color w:val="17365D"/>
              </w:rPr>
              <w:t>Key contribution to trace</w:t>
              <w:br/>
            </w:r>
            <w:r>
              <w:t>Wimshurst combines counter-rotating disks, regenerative charge multiplication, reliable collection, and capacitor storage. The student's machine directly demonstrates these principles through sparks, Leyden-jar tests, charge attraction/repulsion, and spark-gap voltage estimation.</w:t>
            </w:r>
          </w:p>
        </w:tc>
      </w:tr>
    </w:tbl>
    <w:p/>
    <w:p>
      <w:pPr>
        <w:pStyle w:val="Heading2"/>
      </w:pPr>
      <w:r>
        <w:t>2.3 Pidgeon Influence Machine — 1898</w:t>
      </w:r>
    </w:p>
    <w:p>
      <w:r>
        <w:t>W. R. Pidgeon's 1898 machine is especially important to the research because its contemporary description explicitly uses changing capacitance as part of the generating process. It used two glass disks rotating in opposite directions. Narrow radial tin-foil sectors were coated with insulating wax except for small projecting brass knobs, while fixed inductors, earthing brushes, exploring points, and collecting brushes controlled the charging cycle.</w:t>
      </w:r>
    </w:p>
    <w:p>
      <w:r>
        <w:t>The reported operating sequence is the important part: a sector was earthed while it passed the fixed inductor, when its electrical capacity (capacitance) was greatest. The sector later delivered its charge to the main collector when it was electrically farthest from the inductor, when its capacitance was smallest. If charge is approximately retained during this motion, reducing capacitance raises potential.</w:t>
      </w:r>
    </w:p>
    <w:p>
      <w:pPr>
        <w:jc w:val="center"/>
      </w:pPr>
      <w:r>
        <w:rPr>
          <w:b/>
          <w:sz w:val="32"/>
        </w:rPr>
        <w:t>Q = C V      therefore      V = Q / C</w:t>
      </w:r>
    </w:p>
    <w:p>
      <w:pPr>
        <w:jc w:val="center"/>
      </w:pPr>
      <w:r>
        <w:rPr>
          <w:b/>
          <w:sz w:val="26"/>
        </w:rPr>
        <w:t>For approximately constant Q:     C ↓  →  V ↑</w:t>
      </w:r>
    </w:p>
    <w:tbl>
      <w:tblPr>
        <w:tblW w:type="auto" w:w="0"/>
        <w:jc w:val="center"/>
        <w:tblLook w:firstColumn="1" w:firstRow="1" w:lastColumn="0" w:lastRow="0" w:noHBand="0" w:noVBand="1" w:val="04A0"/>
      </w:tblPr>
      <w:tblGrid>
        <w:gridCol w:w="10206"/>
      </w:tblGrid>
      <w:tr>
        <w:tc>
          <w:tcPr>
            <w:tcW w:type="dxa" w:w="10206"/>
            <w:shd w:fill="E2F0D9"/>
          </w:tcPr>
          <w:p>
            <w:r>
              <w:rPr>
                <w:b/>
                <w:color w:val="17365D"/>
              </w:rPr>
              <w:t>Key contribution to trace</w:t>
              <w:br/>
            </w:r>
            <w:r>
              <w:t>Pidgeon makes variable capacitance an explicit part of the electrostatic generation cycle: charge a sector when capacitance is relatively high, then collect it when capacitance is relatively low and its potential is correspondingly higher.</w:t>
            </w:r>
          </w:p>
        </w:tc>
      </w:tr>
    </w:tbl>
    <w:p/>
    <w:p>
      <w:pPr>
        <w:pStyle w:val="Heading2"/>
      </w:pPr>
      <w:r>
        <w:t>2.4 Testatika — Later Electrostatic/Power-Conversion Architecture</w:t>
      </w:r>
    </w:p>
    <w:p>
      <w:r>
        <w:t>The Testatika machines are associated with Paul Baumann and the Methernitha community in Linden, Switzerland. Photographs show counter-rotating disks and an electrostatic architecture that visually recalls historical influence machines. However, the complete internal circuit was not publicly documented.</w:t>
      </w:r>
    </w:p>
    <w:p>
      <w:r>
        <w:t>Independent reconstruction literature argues that calling the Testatika simply a modified Wimshurst machine is incomplete. That literature interprets its charge-separation and collection system as being closer in principle to Pidgeon's variable-capacitance arrangement, while retaining the broader heritage of Holtz/Wimshurst influence generation. It further proposes that the electrostatic generator is only the front end of a larger system involving charge storage and electromagnetic conversion/conditioning.</w:t>
      </w:r>
    </w:p>
    <w:tbl>
      <w:tblPr>
        <w:tblW w:type="auto" w:w="0"/>
        <w:jc w:val="center"/>
        <w:tblLook w:firstColumn="1" w:firstRow="1" w:lastColumn="0" w:lastRow="0" w:noHBand="0" w:noVBand="1" w:val="04A0"/>
      </w:tblPr>
      <w:tblGrid>
        <w:gridCol w:w="10206"/>
      </w:tblGrid>
      <w:tr>
        <w:tc>
          <w:tcPr>
            <w:tcW w:type="dxa" w:w="10206"/>
            <w:shd w:fill="FCE4D6"/>
          </w:tcPr>
          <w:p>
            <w:r>
              <w:rPr>
                <w:b/>
                <w:color w:val="17365D"/>
              </w:rPr>
              <w:t>Research rule for students</w:t>
              <w:br/>
            </w:r>
            <w:r>
              <w:t>Write 'reported,' 'proposed,' 'reconstruction literature suggests,' or 'under the Testatika premise used by this project' when discussing undisclosed Testatika circuitry. Do not present a reconstruction as though it were an authenticated Methernitha schematic.</w:t>
            </w:r>
          </w:p>
        </w:tc>
      </w:tr>
    </w:tbl>
    <w:p/>
    <w:p>
      <w:pPr>
        <w:pStyle w:val="Heading1"/>
      </w:pPr>
      <w:r>
        <w:t>3. Why These Machines Form a Useful Conceptual Bridge</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fill="D9EAF7"/>
          </w:tcPr>
          <w:p>
            <w:r>
              <w:rPr>
                <w:b/>
              </w:rPr>
              <w:t>Machine</w:t>
            </w:r>
          </w:p>
        </w:tc>
        <w:tc>
          <w:tcPr>
            <w:tcW w:type="dxa" w:w="2551"/>
            <w:shd w:fill="D9EAF7"/>
          </w:tcPr>
          <w:p>
            <w:r>
              <w:rPr>
                <w:b/>
              </w:rPr>
              <w:t>Main development</w:t>
            </w:r>
          </w:p>
        </w:tc>
        <w:tc>
          <w:tcPr>
            <w:tcW w:type="dxa" w:w="2551"/>
            <w:shd w:fill="D9EAF7"/>
          </w:tcPr>
          <w:p>
            <w:r>
              <w:rPr>
                <w:b/>
              </w:rPr>
              <w:t>Important principle</w:t>
            </w:r>
          </w:p>
        </w:tc>
        <w:tc>
          <w:tcPr>
            <w:tcW w:type="dxa" w:w="2551"/>
            <w:shd w:fill="D9EAF7"/>
          </w:tcPr>
          <w:p>
            <w:r>
              <w:rPr>
                <w:b/>
              </w:rPr>
              <w:t>Connection to next step</w:t>
            </w:r>
          </w:p>
        </w:tc>
      </w:tr>
      <w:tr>
        <w:tc>
          <w:tcPr>
            <w:tcW w:type="dxa" w:w="2551"/>
            <w:vAlign w:val="center"/>
          </w:tcPr>
          <w:p>
            <w:r>
              <w:t>Holtz</w:t>
            </w:r>
          </w:p>
        </w:tc>
        <w:tc>
          <w:tcPr>
            <w:tcW w:type="dxa" w:w="2551"/>
            <w:vAlign w:val="center"/>
          </w:tcPr>
          <w:p>
            <w:r>
              <w:t>Induction-based influence generation</w:t>
            </w:r>
          </w:p>
        </w:tc>
        <w:tc>
          <w:tcPr>
            <w:tcW w:type="dxa" w:w="2551"/>
            <w:vAlign w:val="center"/>
          </w:tcPr>
          <w:p>
            <w:r>
              <w:t>Regenerative electrostatic induction</w:t>
            </w:r>
          </w:p>
        </w:tc>
        <w:tc>
          <w:tcPr>
            <w:tcW w:type="dxa" w:w="2551"/>
            <w:vAlign w:val="center"/>
          </w:tcPr>
          <w:p>
            <w:r>
              <w:t>Establishes influence generation without relying primarily on friction.</w:t>
            </w:r>
          </w:p>
        </w:tc>
      </w:tr>
      <w:tr>
        <w:tc>
          <w:tcPr>
            <w:tcW w:type="dxa" w:w="2551"/>
            <w:vAlign w:val="center"/>
          </w:tcPr>
          <w:p>
            <w:r>
              <w:t>Wimshurst</w:t>
            </w:r>
          </w:p>
        </w:tc>
        <w:tc>
          <w:tcPr>
            <w:tcW w:type="dxa" w:w="2551"/>
            <w:vAlign w:val="center"/>
          </w:tcPr>
          <w:p>
            <w:r>
              <w:t>Counter-rotating sectored disks and reliable self-excitation</w:t>
            </w:r>
          </w:p>
        </w:tc>
        <w:tc>
          <w:tcPr>
            <w:tcW w:type="dxa" w:w="2551"/>
            <w:vAlign w:val="center"/>
          </w:tcPr>
          <w:p>
            <w:r>
              <w:t>Charge multiplication, collection, Leyden-jar storage</w:t>
            </w:r>
          </w:p>
        </w:tc>
        <w:tc>
          <w:tcPr>
            <w:tcW w:type="dxa" w:w="2551"/>
            <w:vAlign w:val="center"/>
          </w:tcPr>
          <w:p>
            <w:r>
              <w:t>Makes influence generation robust and experimentally accessible.</w:t>
            </w:r>
          </w:p>
        </w:tc>
      </w:tr>
      <w:tr>
        <w:tc>
          <w:tcPr>
            <w:tcW w:type="dxa" w:w="2551"/>
            <w:vAlign w:val="center"/>
          </w:tcPr>
          <w:p>
            <w:r>
              <w:t>Pidgeon</w:t>
            </w:r>
          </w:p>
        </w:tc>
        <w:tc>
          <w:tcPr>
            <w:tcW w:type="dxa" w:w="2551"/>
            <w:vAlign w:val="center"/>
          </w:tcPr>
          <w:p>
            <w:r>
              <w:t>Charging/collection coordinated with changing capacitance</w:t>
            </w:r>
          </w:p>
        </w:tc>
        <w:tc>
          <w:tcPr>
            <w:tcW w:type="dxa" w:w="2551"/>
            <w:vAlign w:val="center"/>
          </w:tcPr>
          <w:p>
            <w:r>
              <w:t>Q = CV; lower C can produce higher V for retained Q</w:t>
            </w:r>
          </w:p>
        </w:tc>
        <w:tc>
          <w:tcPr>
            <w:tcW w:type="dxa" w:w="2551"/>
            <w:vAlign w:val="center"/>
          </w:tcPr>
          <w:p>
            <w:r>
              <w:t>Makes variable capacitance central to the generation cycle.</w:t>
            </w:r>
          </w:p>
        </w:tc>
      </w:tr>
      <w:tr>
        <w:tc>
          <w:tcPr>
            <w:tcW w:type="dxa" w:w="2551"/>
            <w:vAlign w:val="center"/>
          </w:tcPr>
          <w:p>
            <w:r>
              <w:t>Testatika</w:t>
            </w:r>
          </w:p>
        </w:tc>
        <w:tc>
          <w:tcPr>
            <w:tcW w:type="dxa" w:w="2551"/>
            <w:vAlign w:val="center"/>
          </w:tcPr>
          <w:p>
            <w:r>
              <w:t>Reported electrostatic front end plus additional conversion stages</w:t>
            </w:r>
          </w:p>
        </w:tc>
        <w:tc>
          <w:tcPr>
            <w:tcW w:type="dxa" w:w="2551"/>
            <w:vAlign w:val="center"/>
          </w:tcPr>
          <w:p>
            <w:r>
              <w:t>Variable-capacitance interpretation plus storage/conversion hypotheses</w:t>
            </w:r>
          </w:p>
        </w:tc>
        <w:tc>
          <w:tcPr>
            <w:tcW w:type="dxa" w:w="2551"/>
            <w:vAlign w:val="center"/>
          </w:tcPr>
          <w:p>
            <w:r>
              <w:t>Attempts to continue beyond high-voltage electrostatics toward conditioned electrical output.</w:t>
            </w:r>
          </w:p>
        </w:tc>
      </w:tr>
    </w:tbl>
    <w:p>
      <w:pPr>
        <w:pStyle w:val="Heading1"/>
      </w:pPr>
      <w:r>
        <w:t>4. Conceptual Evolution Diagram</w:t>
      </w:r>
    </w:p>
    <w:tbl>
      <w:tblPr>
        <w:tblW w:type="auto" w:w="0"/>
        <w:jc w:val="center"/>
        <w:tblLook w:firstColumn="1" w:firstRow="1" w:lastColumn="0" w:lastRow="0" w:noHBand="0" w:noVBand="1" w:val="04A0"/>
      </w:tblPr>
      <w:tblGrid>
        <w:gridCol w:w="10206"/>
      </w:tblGrid>
      <w:tr>
        <w:tc>
          <w:tcPr>
            <w:tcW w:type="dxa" w:w="10206"/>
            <w:shd w:fill="EAF2F8"/>
          </w:tcPr>
          <w:p>
            <w:pPr>
              <w:jc w:val="center"/>
            </w:pPr>
            <w:r>
              <w:rPr>
                <w:b/>
                <w:color w:val="17365D"/>
                <w:sz w:val="24"/>
              </w:rPr>
              <w:t>HOLTZ — c. 1865</w:t>
              <w:br/>
            </w:r>
            <w:r>
              <w:t>Electrostatic influence</w:t>
              <w:br/>
              <w:t>Fixed + rotating plate</w:t>
              <w:br/>
              <w:t>Usually requires priming</w:t>
            </w:r>
          </w:p>
        </w:tc>
      </w:tr>
    </w:tbl>
    <w:p>
      <w:pPr>
        <w:jc w:val="center"/>
      </w:pPr>
      <w:r>
        <w:rPr>
          <w:b/>
        </w:rPr>
        <w:t>↓</w:t>
      </w:r>
    </w:p>
    <w:tbl>
      <w:tblPr>
        <w:tblW w:type="auto" w:w="0"/>
        <w:jc w:val="center"/>
        <w:tblLook w:firstColumn="1" w:firstRow="1" w:lastColumn="0" w:lastRow="0" w:noHBand="0" w:noVBand="1" w:val="04A0"/>
      </w:tblPr>
      <w:tblGrid>
        <w:gridCol w:w="10206"/>
      </w:tblGrid>
      <w:tr>
        <w:tc>
          <w:tcPr>
            <w:tcW w:type="dxa" w:w="10206"/>
            <w:shd w:fill="DDEBF7"/>
          </w:tcPr>
          <w:p>
            <w:pPr>
              <w:jc w:val="center"/>
            </w:pPr>
            <w:r>
              <w:rPr>
                <w:b/>
                <w:color w:val="17365D"/>
                <w:sz w:val="24"/>
              </w:rPr>
              <w:t>WIMSHURST — early 1880s</w:t>
              <w:br/>
            </w:r>
            <w:r>
              <w:t>Counter-rotating disks</w:t>
              <w:br/>
              <w:t>Self-excitation</w:t>
              <w:br/>
              <w:t>Charge collection + Leyden jars</w:t>
            </w:r>
          </w:p>
        </w:tc>
      </w:tr>
    </w:tbl>
    <w:p>
      <w:pPr>
        <w:jc w:val="center"/>
      </w:pPr>
      <w:r>
        <w:rPr>
          <w:b/>
        </w:rPr>
        <w:t>↓</w:t>
      </w:r>
    </w:p>
    <w:tbl>
      <w:tblPr>
        <w:tblW w:type="auto" w:w="0"/>
        <w:jc w:val="center"/>
        <w:tblLook w:firstColumn="1" w:firstRow="1" w:lastColumn="0" w:lastRow="0" w:noHBand="0" w:noVBand="1" w:val="04A0"/>
      </w:tblPr>
      <w:tblGrid>
        <w:gridCol w:w="10206"/>
      </w:tblGrid>
      <w:tr>
        <w:tc>
          <w:tcPr>
            <w:tcW w:type="dxa" w:w="10206"/>
            <w:shd w:fill="E2F0D9"/>
          </w:tcPr>
          <w:p>
            <w:pPr>
              <w:jc w:val="center"/>
            </w:pPr>
            <w:r>
              <w:rPr>
                <w:b/>
                <w:color w:val="17365D"/>
                <w:sz w:val="24"/>
              </w:rPr>
              <w:t>PIDGEON — 1898</w:t>
              <w:br/>
            </w:r>
            <w:r>
              <w:t>Controlled variable capacitance</w:t>
              <w:br/>
              <w:t>Charge at higher C</w:t>
              <w:br/>
              <w:t>Collect at lower C</w:t>
            </w:r>
          </w:p>
        </w:tc>
      </w:tr>
    </w:tbl>
    <w:p>
      <w:pPr>
        <w:jc w:val="center"/>
      </w:pPr>
      <w:r>
        <w:rPr>
          <w:b/>
        </w:rPr>
        <w:t>↓</w:t>
      </w:r>
    </w:p>
    <w:tbl>
      <w:tblPr>
        <w:tblW w:type="auto" w:w="0"/>
        <w:jc w:val="center"/>
        <w:tblLook w:firstColumn="1" w:firstRow="1" w:lastColumn="0" w:lastRow="0" w:noHBand="0" w:noVBand="1" w:val="04A0"/>
      </w:tblPr>
      <w:tblGrid>
        <w:gridCol w:w="10206"/>
      </w:tblGrid>
      <w:tr>
        <w:tc>
          <w:tcPr>
            <w:tcW w:type="dxa" w:w="10206"/>
            <w:shd w:fill="FFF2CC"/>
          </w:tcPr>
          <w:p>
            <w:pPr>
              <w:jc w:val="center"/>
            </w:pPr>
            <w:r>
              <w:rPr>
                <w:b/>
                <w:color w:val="17365D"/>
                <w:sz w:val="24"/>
              </w:rPr>
              <w:t>TESTATIKA</w:t>
              <w:br/>
            </w:r>
            <w:r>
              <w:t>Reported electrostatic front end</w:t>
              <w:br/>
              <w:t>Storage + proposed resonant/inductive conversion</w:t>
              <w:br/>
              <w:t>Conditioned output</w:t>
            </w:r>
          </w:p>
        </w:tc>
      </w:tr>
    </w:tbl>
    <w:p>
      <w:pPr>
        <w:pStyle w:val="Heading1"/>
      </w:pPr>
      <w:r>
        <w:t>5. Connection to the Students' Wimshurst Experiments</w:t>
      </w:r>
    </w:p>
    <w:p>
      <w:r>
        <w:t>The historical research should be tied directly to the experiments rather than treated as a separate history assignment.</w:t>
      </w:r>
    </w:p>
    <w:p>
      <w:pPr>
        <w:pStyle w:val="ListBullet"/>
      </w:pPr>
      <w:r>
        <w:t>Attraction/repulsion of a lightweight Styrofoam ball demonstrates electric fields, polarization, charge transfer, and electrostatic force.</w:t>
      </w:r>
    </w:p>
    <w:p>
      <w:pPr>
        <w:pStyle w:val="ListBullet"/>
      </w:pPr>
      <w:r>
        <w:t>The spark demonstrates air ionization and dielectric breakdown at high electric field strength.</w:t>
      </w:r>
    </w:p>
    <w:p>
      <w:pPr>
        <w:pStyle w:val="ListBullet"/>
      </w:pPr>
      <w:r>
        <w:t>Removing the Leyden jars demonstrates the effect of lower effective capacitance: less charge is required to reach breakdown, so the discharge becomes rapid and thin.</w:t>
      </w:r>
    </w:p>
    <w:p>
      <w:pPr>
        <w:pStyle w:val="ListBullet"/>
      </w:pPr>
      <w:r>
        <w:t>Connecting the Leyden jars increases stored charge and energy per discharge, consistent with E = 1/2 C V².</w:t>
      </w:r>
    </w:p>
    <w:p>
      <w:pPr>
        <w:pStyle w:val="ListBullet"/>
      </w:pPr>
      <w:r>
        <w:t>Spark-gap distance provides an indirect estimate of voltage when a properly rated high-voltage measurement system is unavailable.</w:t>
      </w:r>
    </w:p>
    <w:p>
      <w:pPr>
        <w:pStyle w:val="ListBullet"/>
      </w:pPr>
      <w:r>
        <w:t>The Pidgeon research extends Q = CV from a stationary output capacitor to mechanically changing capacitance during rotation.</w:t>
      </w:r>
    </w:p>
    <w:p>
      <w:pPr>
        <w:pStyle w:val="ListBullet"/>
      </w:pPr>
      <w:r>
        <w:t>The Testatika research asks the next engineering question: how might high-voltage electrostatic energy be stored, converted, and conditioned for a useful load?</w:t>
      </w:r>
    </w:p>
    <w:p>
      <w:pPr>
        <w:pStyle w:val="Heading1"/>
      </w:pPr>
      <w:r>
        <w:t>6. Student Research Steps</w:t>
      </w:r>
    </w:p>
    <w:p>
      <w:r>
        <w:rPr>
          <w:b/>
          <w:color w:val="1F4E79"/>
        </w:rPr>
        <w:t>Research Step 1 — Holtz</w:t>
      </w:r>
    </w:p>
    <w:p>
      <w:r>
        <w:t>Find when Wilhelm Holtz introduced his influence machine. Identify the fixed plate, rotating plate, windows/sectors, collectors, neutralizer, Leyden jar, and the need for priming. Explain electrostatic induction in the student's own words.</w:t>
      </w:r>
    </w:p>
    <w:p>
      <w:r>
        <w:rPr>
          <w:b/>
          <w:color w:val="1F4E79"/>
        </w:rPr>
        <w:t>Research Step 2 — Wimshurst</w:t>
      </w:r>
    </w:p>
    <w:p>
      <w:r>
        <w:t>Research James Wimshurst's early-1880s design. Identify the two counter-rotating disks, metallic sectors, neutralizer bars, brushes, collectors, terminals, and Leyden jars. Explain why self-excitation was an important improvement.</w:t>
      </w:r>
    </w:p>
    <w:p>
      <w:r>
        <w:rPr>
          <w:b/>
          <w:color w:val="1F4E79"/>
        </w:rPr>
        <w:t>Research Step 3 — Compare Holtz and Wimshurst</w:t>
      </w:r>
    </w:p>
    <w:p>
      <w:r>
        <w:t>Create a short comparison identifying what remained the same and what Wimshurst changed. Focus on induction, disk arrangement, priming/self-starting, charge collection, and storage.</w:t>
      </w:r>
    </w:p>
    <w:p>
      <w:r>
        <w:rPr>
          <w:b/>
          <w:color w:val="1F4E79"/>
        </w:rPr>
        <w:t>Research Step 4 — Pidgeon</w:t>
      </w:r>
    </w:p>
    <w:p>
      <w:r>
        <w:t>Read the 1898 description of W. R. Pidgeon's machine. Identify the two rotating disks, insulated sectors and brass knobs, fixed inductors, earthing brushes, and main collectors.</w:t>
      </w:r>
    </w:p>
    <w:p>
      <w:r>
        <w:rPr>
          <w:b/>
          <w:color w:val="1F4E79"/>
        </w:rPr>
        <w:t>Research Step 5 — Variable Capacitance</w:t>
      </w:r>
    </w:p>
    <w:p>
      <w:r>
        <w:t>Explain the Pidgeon cycle using Q = CV and V = Q/C. Describe why charging at maximum capacitance and collecting at minimum capacitance can raise the potential.</w:t>
      </w:r>
    </w:p>
    <w:p>
      <w:r>
        <w:rPr>
          <w:b/>
          <w:color w:val="1F4E79"/>
        </w:rPr>
        <w:t>Research Step 6 — Relate Pidgeon to the Leyden-Jar Experiment</w:t>
      </w:r>
    </w:p>
    <w:p>
      <w:r>
        <w:t>Compare mechanically varying capacitance in Pidgeon's machine with the student's observation that adding or removing Leyden jars changes charge storage, discharge frequency, and discharge energy.</w:t>
      </w:r>
    </w:p>
    <w:p>
      <w:r>
        <w:rPr>
          <w:b/>
          <w:color w:val="1F4E79"/>
        </w:rPr>
        <w:t>Research Step 7 — Testatika History</w:t>
      </w:r>
    </w:p>
    <w:p>
      <w:r>
        <w:t>Research Paul Baumann, Methernitha, Linden, Switzerland, and the publicly reported Testatika demonstrations. Separate observable features from claims about internal operation.</w:t>
      </w:r>
    </w:p>
    <w:p>
      <w:r>
        <w:rPr>
          <w:b/>
          <w:color w:val="1F4E79"/>
        </w:rPr>
        <w:t>Research Step 8 — Testatika Architecture</w:t>
      </w:r>
    </w:p>
    <w:p>
      <w:r>
        <w:t>Using reconstruction literature, identify why some researchers describe the electrostatic front end as more Pidgeon-like than a conventional Wimshurst. Record this explicitly as a reconstruction hypothesis.</w:t>
      </w:r>
    </w:p>
    <w:p>
      <w:r>
        <w:rPr>
          <w:b/>
          <w:color w:val="1F4E79"/>
        </w:rPr>
        <w:t>Research Step 9 — Power Conversion Question</w:t>
      </w:r>
    </w:p>
    <w:p>
      <w:r>
        <w:t>Investigate why a high-voltage, high-impedance electrostatic source is not automatically a useful power supply. Identify the possible roles of capacitance, inductance, resonance, rectification, regulation, and energy buffering.</w:t>
      </w:r>
    </w:p>
    <w:p>
      <w:r>
        <w:rPr>
          <w:b/>
          <w:color w:val="1F4E79"/>
        </w:rPr>
        <w:t>Research Step 10 — Final Synthesis</w:t>
      </w:r>
    </w:p>
    <w:p>
      <w:r>
        <w:t>Prepare a one-page explanation of the progression Holtz → Wimshurst → Pidgeon → Testatika and connect each stage to a principle demonstrated or researched in the science project.</w:t>
      </w:r>
    </w:p>
    <w:p>
      <w:pPr>
        <w:pStyle w:val="Heading1"/>
      </w:pPr>
      <w:r>
        <w:t>7. Questions Students Should Be Able to Answer</w:t>
      </w:r>
    </w:p>
    <w:p>
      <w:pPr>
        <w:pStyle w:val="ListNumber"/>
      </w:pPr>
      <w:r>
        <w:t>What is an electrostatic influence machine, and how does it differ from a simple friction generator?</w:t>
      </w:r>
    </w:p>
    <w:p>
      <w:pPr>
        <w:pStyle w:val="ListNumber"/>
      </w:pPr>
      <w:r>
        <w:t>Why did a Holtz machine generally require priming?</w:t>
      </w:r>
    </w:p>
    <w:p>
      <w:pPr>
        <w:pStyle w:val="ListNumber"/>
      </w:pPr>
      <w:r>
        <w:t>What made the Wimshurst design more reliable and self-starting?</w:t>
      </w:r>
    </w:p>
    <w:p>
      <w:pPr>
        <w:pStyle w:val="ListNumber"/>
      </w:pPr>
      <w:r>
        <w:t>What role do Leyden jars play in the Wimshurst machine?</w:t>
      </w:r>
    </w:p>
    <w:p>
      <w:pPr>
        <w:pStyle w:val="ListNumber"/>
      </w:pPr>
      <w:r>
        <w:t>What does Q = CV mean physically?</w:t>
      </w:r>
    </w:p>
    <w:p>
      <w:pPr>
        <w:pStyle w:val="ListNumber"/>
      </w:pPr>
      <w:r>
        <w:t>Why does reducing capacitance raise voltage when charge is approximately retained?</w:t>
      </w:r>
    </w:p>
    <w:p>
      <w:pPr>
        <w:pStyle w:val="ListNumber"/>
      </w:pPr>
      <w:r>
        <w:t>How did Pidgeon deliberately use maximum and minimum capacitance during a disk's rotation?</w:t>
      </w:r>
    </w:p>
    <w:p>
      <w:pPr>
        <w:pStyle w:val="ListNumber"/>
      </w:pPr>
      <w:r>
        <w:t>Why is Pidgeon's design particularly relevant when researching the Testatika?</w:t>
      </w:r>
    </w:p>
    <w:p>
      <w:pPr>
        <w:pStyle w:val="ListNumber"/>
      </w:pPr>
      <w:r>
        <w:t>Which Testatika features are visible or reported, and which proposed functions come from later reconstruction literature?</w:t>
      </w:r>
    </w:p>
    <w:p>
      <w:pPr>
        <w:pStyle w:val="ListNumber"/>
      </w:pPr>
      <w:r>
        <w:t>Why would additional conversion stages be needed to turn electrostatic high voltage into electrical power suitable for ordinary loads?</w:t>
      </w:r>
    </w:p>
    <w:p>
      <w:pPr>
        <w:pStyle w:val="Heading1"/>
      </w:pPr>
      <w:r>
        <w:t>8. Suggested Research Output</w:t>
      </w:r>
    </w:p>
    <w:p>
      <w:r>
        <w:t>For each of the four machines, students should produce a short research note containing: inventor/group and approximate date; labeled sketch or image; major components; operating principle; improvement over the preceding machine; equations or physical principles involved; and a short statement explaining its relevance to the Wimshurst project.</w:t>
      </w:r>
    </w:p>
    <w:p>
      <w:r>
        <w:t>The final synthesis should emphasize that the sequence is a useful historical/technical framework, not a claim that each inventor directly designed the next machine.</w:t>
      </w:r>
    </w:p>
    <w:p>
      <w:pPr>
        <w:pStyle w:val="Heading1"/>
      </w:pPr>
      <w:r>
        <w:t>9. Research Sources</w:t>
      </w:r>
    </w:p>
    <w:p>
      <w:r>
        <w:rPr>
          <w:b/>
        </w:rPr>
        <w:t>Smithsonian Institution / National Museum of American History — Holtz-type influence machine</w:t>
      </w:r>
    </w:p>
    <w:p>
      <w:r>
        <w:t>https://www.si.edu/object/holtz-type-influence-machine%3Anmah_1270592</w:t>
      </w:r>
    </w:p>
    <w:p>
      <w:pPr>
        <w:ind w:left="283"/>
      </w:pPr>
      <w:r>
        <w:t>Primary museum reference for Holtz design, induction, priming, collectors, and Leyden-jar use.</w:t>
      </w:r>
    </w:p>
    <w:p>
      <w:r>
        <w:rPr>
          <w:b/>
        </w:rPr>
        <w:t>Smithsonian Institution — Wimshurst-type influence machine</w:t>
      </w:r>
    </w:p>
    <w:p>
      <w:r>
        <w:t>https://www.si.edu/object/nmah_712393</w:t>
      </w:r>
    </w:p>
    <w:p>
      <w:pPr>
        <w:ind w:left="283"/>
      </w:pPr>
      <w:r>
        <w:t>Museum reference for Wimshurst's early-1880s design, counter-rotating disks, sectors, neutralizers, collectors, Leyden jars, and lack of required priming.</w:t>
      </w:r>
    </w:p>
    <w:p>
      <w:r>
        <w:rPr>
          <w:b/>
        </w:rPr>
        <w:t>Nature, 10 November 1898 — report on W. R. Pidgeon's influence machine</w:t>
      </w:r>
    </w:p>
    <w:p>
      <w:r>
        <w:t>https://www.nature.com/articles/059046b0</w:t>
      </w:r>
    </w:p>
    <w:p>
      <w:pPr>
        <w:ind w:left="283"/>
      </w:pPr>
      <w:r>
        <w:t>Contemporary source explicitly describing charging at maximum capacitance and collecting at minimum capacitance.</w:t>
      </w:r>
    </w:p>
    <w:p>
      <w:r>
        <w:rPr>
          <w:b/>
        </w:rPr>
        <w:t>Novak Corp. — Back-Engineered Methernitha Testatika notes</w:t>
      </w:r>
    </w:p>
    <w:p>
      <w:r>
        <w:t>https://www.novakcorp.com/energy/experiments/testatika.htm</w:t>
      </w:r>
    </w:p>
    <w:p>
      <w:pPr>
        <w:ind w:left="283"/>
      </w:pPr>
      <w:r>
        <w:t>Use only as reconstruction literature for proposed Testatika/Pidgeon relationships and auxiliary conversion circuitry; it is not an authenticated Methernitha schematic.</w:t>
      </w:r>
    </w:p>
    <w:p>
      <w:pPr>
        <w:pStyle w:val="Heading1"/>
      </w:pPr>
      <w:r>
        <w:t>10. Research Notes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