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200"/>
        <w:jc w:val="center"/>
      </w:pPr>
      <w:r>
        <w:rPr>
          <w:rFonts w:ascii="Times New Roman" w:cs="Times New Roman" w:eastAsia="Times New Roman" w:hAnsi="Times New Roman"/>
          <w:b/>
          <w:bCs/>
          <w:sz w:val="32"/>
          <w:szCs w:val="32"/>
        </w:rPr>
        <w:t xml:space="preserve">PROPOSAL TUGAS AKHIR</w:t>
      </w:r>
    </w:p>
    <w:p>
      <w:pPr>
        <w:spacing w:before="0" w:after="600"/>
        <w:jc w:val="center"/>
      </w:pPr>
      <w:r>
        <w:rPr>
          <w:rFonts w:ascii="Times New Roman" w:cs="Times New Roman" w:eastAsia="Times New Roman" w:hAnsi="Times New Roman"/>
          <w:sz w:val="26"/>
          <w:szCs w:val="26"/>
        </w:rPr>
        <w:t xml:space="preserve">PROGRAM STUDI TEKNIK INFORMATIKA</w:t>
      </w:r>
    </w:p>
    <w:p>
      <w:pPr>
        <w:spacing w:before="0" w:after="80"/>
        <w:jc w:val="center"/>
      </w:pPr>
      <w:r>
        <w:rPr>
          <w:rFonts w:ascii="Times New Roman" w:cs="Times New Roman" w:eastAsia="Times New Roman" w:hAnsi="Times New Roman"/>
          <w:b/>
          <w:bCs/>
          <w:sz w:val="28"/>
          <w:szCs w:val="28"/>
        </w:rPr>
        <w:t xml:space="preserve">Perbandingan Tiga Kriteria Ortogonalitas untuk Seleksi Replay Buffer</w:t>
      </w:r>
    </w:p>
    <w:p>
      <w:pPr>
        <w:spacing w:before="0" w:after="80"/>
        <w:jc w:val="center"/>
      </w:pPr>
      <w:r>
        <w:rPr>
          <w:rFonts w:ascii="Times New Roman" w:cs="Times New Roman" w:eastAsia="Times New Roman" w:hAnsi="Times New Roman"/>
          <w:b/>
          <w:bCs/>
          <w:sz w:val="28"/>
          <w:szCs w:val="28"/>
        </w:rPr>
        <w:t xml:space="preserve">dalam Class-Incremental Learning dengan Arsitektur Slow-Fast LoRA</w:t>
      </w:r>
    </w:p>
    <w:p>
      <w:pPr>
        <w:spacing w:before="80" w:after="600"/>
        <w:jc w:val="center"/>
      </w:pPr>
      <w:r>
        <w:rPr>
          <w:rFonts w:ascii="Times New Roman" w:cs="Times New Roman" w:eastAsia="Times New Roman" w:hAnsi="Times New Roman"/>
          <w:i/>
          <w:iCs/>
          <w:sz w:val="22"/>
          <w:szCs w:val="22"/>
        </w:rPr>
        <w:t xml:space="preserve">(Berbasis pada SuRe: Surprise-Driven Prioritised Replay for Continual LLM Learning)</w:t>
      </w:r>
    </w:p>
    <w:p>
      <w:pPr>
        <w:spacing w:before="0" w:after="80"/>
        <w:jc w:val="center"/>
      </w:pPr>
      <w:r>
        <w:rPr>
          <w:rFonts w:ascii="Times New Roman" w:cs="Times New Roman" w:eastAsia="Times New Roman" w:hAnsi="Times New Roman"/>
          <w:sz w:val="24"/>
          <w:szCs w:val="24"/>
        </w:rPr>
        <w:t xml:space="preserve">Diajukan oleh:</w:t>
      </w:r>
    </w:p>
    <w:p>
      <w:pPr>
        <w:spacing w:before="0" w:after="600"/>
        <w:jc w:val="center"/>
      </w:pPr>
      <w:r>
        <w:rPr>
          <w:rFonts w:ascii="Times New Roman" w:cs="Times New Roman" w:eastAsia="Times New Roman" w:hAnsi="Times New Roman"/>
          <w:b/>
          <w:bCs/>
          <w:sz w:val="26"/>
          <w:szCs w:val="26"/>
        </w:rPr>
        <w:t xml:space="preserve">Edbert</w:t>
      </w:r>
    </w:p>
    <w:p>
      <w:pPr>
        <w:spacing w:before="0" w:after="80"/>
        <w:jc w:val="center"/>
      </w:pPr>
      <w:r>
        <w:rPr>
          <w:rFonts w:ascii="Times New Roman" w:cs="Times New Roman" w:eastAsia="Times New Roman" w:hAnsi="Times New Roman"/>
          <w:b/>
          <w:bCs/>
          <w:sz w:val="24"/>
          <w:szCs w:val="24"/>
        </w:rPr>
        <w:t xml:space="preserve">FAKULTAS ILMU KOMPUTER</w:t>
      </w:r>
    </w:p>
    <w:p>
      <w:pPr>
        <w:spacing w:before="0" w:after="80"/>
        <w:jc w:val="center"/>
      </w:pPr>
      <w:r>
        <w:rPr>
          <w:rFonts w:ascii="Times New Roman" w:cs="Times New Roman" w:eastAsia="Times New Roman" w:hAnsi="Times New Roman"/>
          <w:sz w:val="24"/>
          <w:szCs w:val="24"/>
        </w:rPr>
        <w:t xml:space="preserve">2025</w:t>
      </w:r>
    </w:p>
    <w:p>
      <w:r>
        <w:br w:type="page"/>
      </w:r>
    </w:p>
    <w:p>
      <w:pPr>
        <w:pStyle w:val="Heading1"/>
        <w:spacing w:before="360" w:after="120"/>
      </w:pPr>
      <w:r>
        <w:rPr>
          <w:rFonts w:ascii="Times New Roman" w:cs="Times New Roman" w:eastAsia="Times New Roman" w:hAnsi="Times New Roman"/>
          <w:b/>
          <w:bCs/>
          <w:sz w:val="28"/>
          <w:szCs w:val="28"/>
        </w:rPr>
        <w:t xml:space="preserve">BAB 1</w:t>
      </w:r>
    </w:p>
    <w:p>
      <w:pPr>
        <w:pStyle w:val="Heading1"/>
        <w:spacing w:before="360" w:after="120"/>
      </w:pPr>
      <w:r>
        <w:rPr>
          <w:rFonts w:ascii="Times New Roman" w:cs="Times New Roman" w:eastAsia="Times New Roman" w:hAnsi="Times New Roman"/>
          <w:b/>
          <w:bCs/>
          <w:sz w:val="28"/>
          <w:szCs w:val="28"/>
        </w:rPr>
        <w:t xml:space="preserve">PENDAHULUAN</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1.1 Latar Belakang</w:t>
      </w:r>
    </w:p>
    <w:p>
      <w:pPr>
        <w:spacing w:before="60" w:after="60" w:line="360"/>
        <w:ind w:firstLine="720"/>
        <w:jc w:val="both"/>
      </w:pPr>
      <w:r>
        <w:rPr>
          <w:rFonts w:ascii="Times New Roman" w:cs="Times New Roman" w:eastAsia="Times New Roman" w:hAnsi="Times New Roman"/>
          <w:sz w:val="24"/>
          <w:szCs w:val="24"/>
        </w:rPr>
        <w:t xml:space="preserve">Kemampuan belajar secara berkelanjutan tanpa melupakan pengetahuan yang telah diperoleh sebelumnya merupakan salah satu tantangan fundamental dalam pengembangan kecerdasan buatan. Fenomena yang dikenal sebagai catastrophic forgetting atau catastrophic interference pertama kali diidentifikasi oleh McCloskey dan Cohen (1989) serta Ratcliff (1990), yang menunjukkan bahwa ketika jaringan saraf tiruan dilatih secara sekuensial pada tugas-tugas yang berbeda, pengetahuan tentang tugas-tugas sebelumnya cenderung terhapus secara drastis. Permasalahan ini menjadi semakin krusial seiring dengan meningkatnya penggunaan Large Language Models (LLM) dalam aplikasi dunia nyata yang memerlukan pembaruan pengetahuan secara terus-menerus.</w:t>
      </w:r>
    </w:p>
    <w:p>
      <w:pPr>
        <w:spacing w:before="60" w:after="60" w:line="360"/>
        <w:ind w:firstLine="720"/>
        <w:jc w:val="both"/>
      </w:pPr>
      <w:r>
        <w:rPr>
          <w:rFonts w:ascii="Times New Roman" w:cs="Times New Roman" w:eastAsia="Times New Roman" w:hAnsi="Times New Roman"/>
          <w:sz w:val="24"/>
          <w:szCs w:val="24"/>
        </w:rPr>
        <w:t xml:space="preserve">Continual Learning (CL) atau Incremental Learning adalah paradigma pembelajaran mesin yang berupaya mengatasi catastrophic forgetting dengan memungkinkan model untuk mempelajari tugas-tugas baru sambil mempertahankan performa pada tugas-tugas yang telah dipelajari sebelumnya. Dalam konteks Natural Language Processing (NLP), model bahasa yang di-deploy di lingkungan produksi harus mampu beradaptasi dengan data dan tugas baru tanpa perlu dilatih ulang dari awal, yang akan memerlukan biaya komputasi yang sangat besar.</w:t>
      </w:r>
    </w:p>
    <w:p>
      <w:pPr>
        <w:spacing w:before="60" w:after="60" w:line="360"/>
        <w:ind w:firstLine="720"/>
        <w:jc w:val="both"/>
      </w:pPr>
      <w:r>
        <w:rPr>
          <w:rFonts w:ascii="Times New Roman" w:cs="Times New Roman" w:eastAsia="Times New Roman" w:hAnsi="Times New Roman"/>
          <w:sz w:val="24"/>
          <w:szCs w:val="24"/>
        </w:rPr>
        <w:t xml:space="preserve">Di antara berbagai skenario continual learning, Class-Incremental Learning (CIL) dianggap sebagai yang paling menantang karena model tidak hanya harus mempelajari kelas-kelas baru, tetapi juga harus mampu membedakan antara kelas-kelas baru dan lama tanpa mengetahui identitas tugas pada saat inferensi.</w:t>
      </w:r>
    </w:p>
    <w:p>
      <w:pPr>
        <w:spacing w:before="60" w:after="60" w:line="360"/>
        <w:ind w:firstLine="720"/>
        <w:jc w:val="both"/>
      </w:pPr>
      <w:r>
        <w:rPr>
          <w:rFonts w:ascii="Times New Roman" w:cs="Times New Roman" w:eastAsia="Times New Roman" w:hAnsi="Times New Roman"/>
          <w:sz w:val="24"/>
          <w:szCs w:val="24"/>
        </w:rPr>
        <w:t xml:space="preserve">Salah satu kontribusi terbaru yang relevan adalah SuRe (Surprise-Driven Prioritised Replay; Hazard et al., 2025), yang memperkenalkan dua inovasi: (1) pemilihan sampel replay berdasarkan tingkat kejutan (negative log-likelihood), dan (2) arsitektur dual-learner Exponential Moving Average (EMA) yang memisahkan pembelajaran cepat dari konsolidasi lambat. SuRe menunjukkan performa state-of-the-art pada benchmark Large Number of Tasks (LNT) dengan 15 tugas klasifikasi teks.</w:t>
      </w:r>
    </w:p>
    <w:p>
      <w:pPr>
        <w:spacing w:before="60" w:after="60" w:line="360"/>
        <w:ind w:firstLine="720"/>
        <w:jc w:val="both"/>
      </w:pPr>
      <w:r>
        <w:rPr>
          <w:rFonts w:ascii="Times New Roman" w:cs="Times New Roman" w:eastAsia="Times New Roman" w:hAnsi="Times New Roman"/>
          <w:sz w:val="24"/>
          <w:szCs w:val="24"/>
        </w:rPr>
        <w:t xml:space="preserve">Meskipun demikian, kriteria seleksi berbasis kejutan (NLL) yang digunakan SuRe memiliki keterbatasan fundamental: NLL tinggi hanya mengidentifikasi sampel yang sulit diprediksi secara prediktif, namun tidak secara eksplisit mengidentifikasi sampel yang gradiennya paling berisiko tertimpa oleh pelatihan tugas baru. Dua sampel dengan NLL yang sama dapat memiliki profil risiko forgetting yang sangat berbeda tergantung pada arah dan posisi gradiennya dalam ruang parameter.</w:t>
      </w:r>
    </w:p>
    <w:p>
      <w:pPr>
        <w:spacing w:before="60" w:after="60" w:line="360"/>
        <w:ind w:firstLine="720"/>
        <w:jc w:val="both"/>
      </w:pPr>
      <w:r>
        <w:rPr>
          <w:rFonts w:ascii="Times New Roman" w:cs="Times New Roman" w:eastAsia="Times New Roman" w:hAnsi="Times New Roman"/>
          <w:sz w:val="24"/>
          <w:szCs w:val="24"/>
        </w:rPr>
        <w:t xml:space="preserve">Penelitian ini mengusulkan penggantian kriteria NLL dengan pendekatan berbasis ortogonalitas yang lebih langsung secara geometris. Namun, "ortogonalitas" sendiri bukanlah konsep tunggal — ia dapat diinterpretasikan dan dioperasionalisasikan dalam tiga ruang yang berbeda: ruang gradien (gradient subspace orthogonality), ruang fitur/aktivasi (feature subspace orthogonality), dan ruang arah konflik gradien (gradient conflict score). Ketiga interpretasi ini masing-masing memiliki landasan teoritis yang berbeda, biaya komputasi yang berbeda, dan implikasi yang berbeda terhadap kualitas buffer replay. Penelitian ini, untuk pertama kalinya, membandingkan ketiga interpretasi ortogonalitas tersebut secara sistematis sebagai kriteria seleksi buffer dalam kerangka SuRe.</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1.2 Rumusan Masalah</w:t>
      </w:r>
    </w:p>
    <w:p>
      <w:pPr>
        <w:spacing w:before="60" w:after="60" w:line="360"/>
        <w:ind w:firstLine="720"/>
        <w:jc w:val="both"/>
      </w:pPr>
      <w:r>
        <w:rPr>
          <w:rFonts w:ascii="Times New Roman" w:cs="Times New Roman" w:eastAsia="Times New Roman" w:hAnsi="Times New Roman"/>
          <w:sz w:val="24"/>
          <w:szCs w:val="24"/>
        </w:rPr>
        <w:t xml:space="preserve">Berdasarkan latar belakang yang telah dipaparkan, terdapat tiga kesenjangan yang saling terkait. Pertama, kriteria NLL mengukur tingkat kesulitan prediktif, bukan risiko geometris dalam ruang gradien. Kedua, meskipun ortogonalitas gradien telah banyak diteliti sebagai mekanisme training-time (GEM, GPM, OGD), belum ada studi yang menggunakannya secara eksplisit sebagai kriteria seleksi buffer. Ketiga, terdapat tiga jenis ortogonalitas yang dapat dioperasionalisasikan (gradient subspace, feature subspace, gradient conflict), namun belum pernah dibandingkan secara head-to-head dalam satu kerangka eksperimental.</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1.3 Pertanyaan Penelitian (Research Questions)</w:t>
      </w:r>
    </w:p>
    <w:p>
      <w:pPr>
        <w:spacing w:before="60" w:after="60" w:line="360"/>
        <w:ind w:firstLine="720"/>
        <w:jc w:val="both"/>
      </w:pPr>
      <w:r>
        <w:rPr>
          <w:rFonts w:ascii="Times New Roman" w:cs="Times New Roman" w:eastAsia="Times New Roman" w:hAnsi="Times New Roman"/>
          <w:b/>
          <w:bCs/>
          <w:sz w:val="24"/>
          <w:szCs w:val="24"/>
        </w:rPr>
        <w:t xml:space="preserve">RQ1 (Inti): </w:t>
      </w:r>
      <w:r>
        <w:rPr>
          <w:rFonts w:ascii="Times New Roman" w:cs="Times New Roman" w:eastAsia="Times New Roman" w:hAnsi="Times New Roman"/>
          <w:sz w:val="24"/>
          <w:szCs w:val="24"/>
        </w:rPr>
        <w:t xml:space="preserve">Di antara tiga kriteria seleksi berbasis ortogonalitas — gradient subspace orthogonality (O-Grad), feature subspace orthogonality (O-Feat), dan gradient conflict score (O-Conflict) — manakah yang paling efektif sebagai pengganti surprise (NLL) dalam buffer replay untuk class-incremental learning dengan arsitektur slow-fast LoRA?</w:t>
      </w:r>
    </w:p>
    <w:p>
      <w:pPr>
        <w:spacing w:before="60" w:after="60" w:line="360"/>
        <w:ind w:firstLine="720"/>
        <w:jc w:val="both"/>
      </w:pPr>
      <w:r>
        <w:rPr>
          <w:rFonts w:ascii="Times New Roman" w:cs="Times New Roman" w:eastAsia="Times New Roman" w:hAnsi="Times New Roman"/>
          <w:b/>
          <w:bCs/>
          <w:sz w:val="24"/>
          <w:szCs w:val="24"/>
        </w:rPr>
        <w:t xml:space="preserve">RQ2 (Ekstensi): </w:t>
      </w:r>
      <w:r>
        <w:rPr>
          <w:rFonts w:ascii="Times New Roman" w:cs="Times New Roman" w:eastAsia="Times New Roman" w:hAnsi="Times New Roman"/>
          <w:sz w:val="24"/>
          <w:szCs w:val="24"/>
        </w:rPr>
        <w:t xml:space="preserve">Apakah kombinasi kriteria seleksi ortogonal terbaik dengan orthogonal LoRA subspace constraints dan konsolidasi EMA menghasilkan manfaat komplementer yang melebihi manfaat masing-masing mekanisme secara individual?</w:t>
      </w:r>
    </w:p>
    <w:p>
      <w:pPr>
        <w:spacing w:before="60" w:after="60" w:line="360"/>
        <w:ind w:firstLine="720"/>
        <w:jc w:val="both"/>
      </w:pPr>
      <w:r>
        <w:rPr>
          <w:rFonts w:ascii="Times New Roman" w:cs="Times New Roman" w:eastAsia="Times New Roman" w:hAnsi="Times New Roman"/>
          <w:sz w:val="24"/>
          <w:szCs w:val="24"/>
        </w:rPr>
        <w:t xml:space="preserve">Sub-pertanyaan penelitian:</w:t>
      </w:r>
    </w:p>
    <w:p>
      <w:pPr>
        <w:pStyle w:val="ListParagraph"/>
        <w:numPr>
          <w:ilvl w:val="0"/>
          <w:numId w:val="2"/>
        </w:numPr>
        <w:spacing w:before="40" w:after="40" w:line="320"/>
      </w:pPr>
      <w:r>
        <w:rPr>
          <w:rFonts w:ascii="Times New Roman" w:cs="Times New Roman" w:eastAsia="Times New Roman" w:hAnsi="Times New Roman"/>
          <w:sz w:val="24"/>
          <w:szCs w:val="24"/>
        </w:rPr>
        <w:t xml:space="preserve">Bagaimana trade-off antara akurasi seleksi (kualitas ortogonalitas) dan biaya komputasi untuk ketiga kriteria?</w:t>
      </w:r>
    </w:p>
    <w:p>
      <w:pPr>
        <w:pStyle w:val="ListParagraph"/>
        <w:numPr>
          <w:ilvl w:val="0"/>
          <w:numId w:val="2"/>
        </w:numPr>
        <w:spacing w:before="40" w:after="40" w:line="320"/>
      </w:pPr>
      <w:r>
        <w:rPr>
          <w:rFonts w:ascii="Times New Roman" w:cs="Times New Roman" w:eastAsia="Times New Roman" w:hAnsi="Times New Roman"/>
          <w:sz w:val="24"/>
          <w:szCs w:val="24"/>
        </w:rPr>
        <w:t xml:space="preserve">Apakah jenis ortogonalitas yang berbeda menghasilkan komposisi buffer yang berbeda secara kualitatif (per kelas, per tugas)?</w:t>
      </w:r>
    </w:p>
    <w:p>
      <w:pPr>
        <w:pStyle w:val="ListParagraph"/>
        <w:numPr>
          <w:ilvl w:val="0"/>
          <w:numId w:val="2"/>
        </w:numPr>
        <w:spacing w:before="40" w:after="40" w:line="320"/>
      </w:pPr>
      <w:r>
        <w:rPr>
          <w:rFonts w:ascii="Times New Roman" w:cs="Times New Roman" w:eastAsia="Times New Roman" w:hAnsi="Times New Roman"/>
          <w:sz w:val="24"/>
          <w:szCs w:val="24"/>
        </w:rPr>
        <w:t xml:space="preserve">Apakah ketiga kriteria menunjukkan profil performa yang berbeda tergantung jumlah tugas (4 vs. 15 tugas)?</w:t>
      </w:r>
    </w:p>
    <w:p>
      <w:pPr>
        <w:pStyle w:val="ListParagraph"/>
        <w:numPr>
          <w:ilvl w:val="0"/>
          <w:numId w:val="2"/>
        </w:numPr>
        <w:spacing w:before="40" w:after="40" w:line="320"/>
      </w:pPr>
      <w:r>
        <w:rPr>
          <w:rFonts w:ascii="Times New Roman" w:cs="Times New Roman" w:eastAsia="Times New Roman" w:hAnsi="Times New Roman"/>
          <w:sz w:val="24"/>
          <w:szCs w:val="24"/>
        </w:rPr>
        <w:t xml:space="preserve">Pada kondisi buffer kecil dan rasio replay rendah, manakah kriteria yang paling robust?</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1.4 Hipotesis Penelitian</w:t>
      </w:r>
    </w:p>
    <w:p>
      <w:pPr>
        <w:spacing w:before="60" w:after="60" w:line="360"/>
        <w:ind w:firstLine="720"/>
        <w:jc w:val="both"/>
      </w:pPr>
      <w:r>
        <w:rPr>
          <w:rFonts w:ascii="Times New Roman" w:cs="Times New Roman" w:eastAsia="Times New Roman" w:hAnsi="Times New Roman"/>
          <w:b/>
          <w:bCs/>
          <w:sz w:val="24"/>
          <w:szCs w:val="24"/>
        </w:rPr>
        <w:t xml:space="preserve">H1: </w:t>
      </w:r>
      <w:r>
        <w:rPr>
          <w:rFonts w:ascii="Times New Roman" w:cs="Times New Roman" w:eastAsia="Times New Roman" w:hAnsi="Times New Roman"/>
          <w:sz w:val="24"/>
          <w:szCs w:val="24"/>
        </w:rPr>
        <w:t xml:space="preserve">O-Grad (gradient subspace orthogonality) akan mengungguli NLL-based SuRe pada LNT (15 tugas) karena secara langsung mengidentifikasi arah parameter yang tertimpa, namun memiliki overhead komputasi tertinggi di antara ketiga metode.</w:t>
      </w:r>
    </w:p>
    <w:p>
      <w:pPr>
        <w:spacing w:before="60" w:after="60" w:line="360"/>
        <w:ind w:firstLine="720"/>
        <w:jc w:val="both"/>
      </w:pPr>
      <w:r>
        <w:rPr>
          <w:rFonts w:ascii="Times New Roman" w:cs="Times New Roman" w:eastAsia="Times New Roman" w:hAnsi="Times New Roman"/>
          <w:b/>
          <w:bCs/>
          <w:sz w:val="24"/>
          <w:szCs w:val="24"/>
        </w:rPr>
        <w:t xml:space="preserve">H2: </w:t>
      </w:r>
      <w:r>
        <w:rPr>
          <w:rFonts w:ascii="Times New Roman" w:cs="Times New Roman" w:eastAsia="Times New Roman" w:hAnsi="Times New Roman"/>
          <w:sz w:val="24"/>
          <w:szCs w:val="24"/>
        </w:rPr>
        <w:t xml:space="preserve">O-Feat (feature subspace orthogonality) akan memberikan performa kompetitif dengan O-Grad sambil memiliki overhead komputasi yang jauh lebih rendah, karena tidak memerlukan backward pass per sampel — hanya forward pass untuk mengekstrak aktivasi.</w:t>
      </w:r>
    </w:p>
    <w:p>
      <w:pPr>
        <w:spacing w:before="60" w:after="60" w:line="360"/>
        <w:ind w:firstLine="720"/>
        <w:jc w:val="both"/>
      </w:pPr>
      <w:r>
        <w:rPr>
          <w:rFonts w:ascii="Times New Roman" w:cs="Times New Roman" w:eastAsia="Times New Roman" w:hAnsi="Times New Roman"/>
          <w:b/>
          <w:bCs/>
          <w:sz w:val="24"/>
          <w:szCs w:val="24"/>
        </w:rPr>
        <w:t xml:space="preserve">H3: </w:t>
      </w:r>
      <w:r>
        <w:rPr>
          <w:rFonts w:ascii="Times New Roman" w:cs="Times New Roman" w:eastAsia="Times New Roman" w:hAnsi="Times New Roman"/>
          <w:sz w:val="24"/>
          <w:szCs w:val="24"/>
        </w:rPr>
        <w:t xml:space="preserve">O-Conflict (gradient conflict score) akan mengungguli seleksi acak (reservoir) dan NLL pada dataset dengan distribusi gradien antar-tugas yang sangat berbeda, namun performanya lebih rentan pada skenario buffer kecil karena tidak mempertimbangkan cakupan subruang.</w:t>
      </w:r>
    </w:p>
    <w:p>
      <w:pPr>
        <w:spacing w:before="60" w:after="60" w:line="360"/>
        <w:ind w:firstLine="720"/>
        <w:jc w:val="both"/>
      </w:pPr>
      <w:r>
        <w:rPr>
          <w:rFonts w:ascii="Times New Roman" w:cs="Times New Roman" w:eastAsia="Times New Roman" w:hAnsi="Times New Roman"/>
          <w:b/>
          <w:bCs/>
          <w:sz w:val="24"/>
          <w:szCs w:val="24"/>
        </w:rPr>
        <w:t xml:space="preserve">H4: </w:t>
      </w:r>
      <w:r>
        <w:rPr>
          <w:rFonts w:ascii="Times New Roman" w:cs="Times New Roman" w:eastAsia="Times New Roman" w:hAnsi="Times New Roman"/>
          <w:sz w:val="24"/>
          <w:szCs w:val="24"/>
        </w:rPr>
        <w:t xml:space="preserve">Kombinasi kriteria ortogonal terbaik dengan orthogonal LoRA subspace constraints (Triple Defense) akan menghasilkan keuntungan komplementer pada Standard CL Benchmark (4 tugas), namun berpotensi menurun pada LNT akibat subspace exhaustion.</w:t>
      </w:r>
    </w:p>
    <w:p>
      <w:r>
        <w:br w:type="page"/>
      </w:r>
    </w:p>
    <w:p>
      <w:pPr>
        <w:pStyle w:val="Heading1"/>
        <w:spacing w:before="360" w:after="120"/>
      </w:pPr>
      <w:r>
        <w:rPr>
          <w:rFonts w:ascii="Times New Roman" w:cs="Times New Roman" w:eastAsia="Times New Roman" w:hAnsi="Times New Roman"/>
          <w:b/>
          <w:bCs/>
          <w:sz w:val="28"/>
          <w:szCs w:val="28"/>
        </w:rPr>
        <w:t xml:space="preserve">BAB 2</w:t>
      </w:r>
    </w:p>
    <w:p>
      <w:pPr>
        <w:pStyle w:val="Heading1"/>
        <w:spacing w:before="360" w:after="120"/>
      </w:pPr>
      <w:r>
        <w:rPr>
          <w:rFonts w:ascii="Times New Roman" w:cs="Times New Roman" w:eastAsia="Times New Roman" w:hAnsi="Times New Roman"/>
          <w:b/>
          <w:bCs/>
          <w:sz w:val="28"/>
          <w:szCs w:val="28"/>
        </w:rPr>
        <w:t xml:space="preserve">TINJAUAN PUSTAKA DAN LANDASAN TEORI</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2.1 Continual Learning dan Catastrophic Forgetting</w:t>
      </w:r>
    </w:p>
    <w:p>
      <w:pPr>
        <w:spacing w:before="60" w:after="60" w:line="360"/>
        <w:ind w:firstLine="720"/>
        <w:jc w:val="both"/>
      </w:pPr>
      <w:r>
        <w:rPr>
          <w:rFonts w:ascii="Times New Roman" w:cs="Times New Roman" w:eastAsia="Times New Roman" w:hAnsi="Times New Roman"/>
          <w:sz w:val="24"/>
          <w:szCs w:val="24"/>
        </w:rPr>
        <w:t xml:space="preserve">Catastrophic forgetting pertama kali diidentifikasi secara formal oleh McCloskey dan Cohen (1989) pada jaringan saraf tiruan dengan pembelajaran berbasis backpropagation. Ketika sebuah jaringan dilatih secara sekuensial pada tugas-tugas yang berbeda, gradien dari tugas baru cenderung menimpa parameter yang telah dioptimalkan untuk tugas sebelumnya. Ratcliff (1990) memperkuat temuan ini dengan membandingkan karakteristik forgetting antara jaringan saraf tiruan dengan memori manusia. Dalam konteks modern, tiga skenario utama continual learning adalah Task-Incremental Learning (TIL), Domain-Incremental Learning (DIL), dan Class-Incremental Learning (CIL) — yang terakhir merupakan skenario paling menantang karena identitas tugas tidak tersedia pada inferensi.</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2.2 Akar Teoritis: Gradien sebagai Mekanisme Forgetting</w:t>
      </w:r>
    </w:p>
    <w:p>
      <w:pPr>
        <w:spacing w:before="60" w:after="60" w:line="360"/>
        <w:ind w:firstLine="720"/>
        <w:jc w:val="both"/>
      </w:pPr>
      <w:r>
        <w:rPr>
          <w:rFonts w:ascii="Times New Roman" w:cs="Times New Roman" w:eastAsia="Times New Roman" w:hAnsi="Times New Roman"/>
          <w:sz w:val="24"/>
          <w:szCs w:val="24"/>
        </w:rPr>
        <w:t xml:space="preserve">Pemahaman modern tentang catastrophic forgetting menempatkan konflik gradien antar-tugas sebagai mekanisme kausal utama. Beberapa lini penelitian telah mengkonfirmasi dan mengkuantifikasi hubungan ini dari sudut yang berbeda, dan seluruhnya menjadi landasan bagi ketiga kriteria seleksi yang diusulkan penelitian ini.</w:t>
      </w:r>
    </w:p>
    <w:p>
      <w:pPr>
        <w:pStyle w:val="Heading3"/>
        <w:spacing w:before="200" w:after="60"/>
      </w:pPr>
      <w:r>
        <w:rPr>
          <w:rFonts w:ascii="Times New Roman" w:cs="Times New Roman" w:eastAsia="Times New Roman" w:hAnsi="Times New Roman"/>
          <w:b/>
          <w:bCs/>
          <w:i/>
          <w:iCs/>
          <w:sz w:val="24"/>
          <w:szCs w:val="24"/>
        </w:rPr>
        <w:t xml:space="preserve">2.2.1 Gradient Episodic Memory (GEM) dan A-GEM: Konflik Gradien sebagai Batasan Optimasi</w:t>
      </w:r>
    </w:p>
    <w:p>
      <w:pPr>
        <w:spacing w:before="60" w:after="60" w:line="360"/>
        <w:ind w:firstLine="720"/>
        <w:jc w:val="both"/>
      </w:pPr>
      <w:r>
        <w:rPr>
          <w:rFonts w:ascii="Times New Roman" w:cs="Times New Roman" w:eastAsia="Times New Roman" w:hAnsi="Times New Roman"/>
          <w:sz w:val="24"/>
          <w:szCs w:val="24"/>
        </w:rPr>
        <w:t xml:space="preserve">Gradient Episodic Memory (GEM; Lopez-Paz &amp; Ranzato, NeurIPS 2017) merupakan karya fondasi yang secara formal memodelkan hubungan antara arah gradien dan catastrophic forgetting. GEM mensyaratkan bahwa setiap pembaruan parameter tidak boleh meningkatkan loss pada tugas-tugas sebelumnya, diformulasikan sebagai inner product constraint: ⟨g_new, g_k⟩ ≥ 0 untuk semua k &lt; t. Ketika constraint ini dilanggar, GEM menyelesaikan quadratic program untuk menemukan gradien yang memenuhi semua constraint. Relevansi langsung GEM terhadap penelitian ini adalah pada demonstrasinya bahwa inner product negatif antara gradien tugas baru dan tugas lama adalah indikator langsung dari forgetting — insight yang menjadi fondasi O-Conflict (Metode 3).</w:t>
      </w:r>
    </w:p>
    <w:p>
      <w:pPr>
        <w:spacing w:before="60" w:after="60" w:line="360"/>
        <w:ind w:firstLine="720"/>
        <w:jc w:val="both"/>
      </w:pPr>
      <w:r>
        <w:rPr>
          <w:rFonts w:ascii="Times New Roman" w:cs="Times New Roman" w:eastAsia="Times New Roman" w:hAnsi="Times New Roman"/>
          <w:sz w:val="24"/>
          <w:szCs w:val="24"/>
        </w:rPr>
        <w:t xml:space="preserve">Averaged GEM (A-GEM; Chaudhry et al., ICLR 2019) menyederhanakan GEM dengan satu gradien referensi rata-rata: g̃ = g − (g^T g_ref / g_ref^T g_ref)·g_ref. Kontribusi A-GEM yang paling relevan bagi penelitian ini adalah demonstrasi bahwa satu gradien referensi rata-rata sudah cukup sebagai proxy untuk risiko forgetting — tanpa perlu menyimpan dan memanipulasi gradien per-tugas secara individual. Insight ini menginspirasi O-Conflict, yang menggunakan gradien rata-rata tugas saat ini sebagai referensi untuk menskoring kandidat sampel.</w:t>
      </w:r>
    </w:p>
    <w:p>
      <w:pPr>
        <w:pStyle w:val="Heading3"/>
        <w:spacing w:before="200" w:after="60"/>
      </w:pPr>
      <w:r>
        <w:rPr>
          <w:rFonts w:ascii="Times New Roman" w:cs="Times New Roman" w:eastAsia="Times New Roman" w:hAnsi="Times New Roman"/>
          <w:b/>
          <w:bCs/>
          <w:i/>
          <w:iCs/>
          <w:sz w:val="24"/>
          <w:szCs w:val="24"/>
        </w:rPr>
        <w:t xml:space="preserve">2.2.2 Gradient Similarity sebagai Penyebab Kausal Forgetting</w:t>
      </w:r>
    </w:p>
    <w:p>
      <w:pPr>
        <w:spacing w:before="60" w:after="60" w:line="360"/>
        <w:ind w:firstLine="720"/>
        <w:jc w:val="both"/>
      </w:pPr>
      <w:r>
        <w:rPr>
          <w:rFonts w:ascii="Times New Roman" w:cs="Times New Roman" w:eastAsia="Times New Roman" w:hAnsi="Times New Roman"/>
          <w:sz w:val="24"/>
          <w:szCs w:val="24"/>
        </w:rPr>
        <w:t xml:space="preserve">Dukungan teoritis terkuat untuk O-Conflict berasal dari karya terbaru yang secara formal membuktikan bahwa negative gradient similarity adalah penyebab kausal catastrophic forgetting. CNL (Collaborative Neural Learning; 2026) membangun kerangka teoritis berbasis gradien yang membuktikan bahwa strongly negative gradient similarity adalah penyebab fundamental forgetting. Studi empiris lanjutan menunjukkan bahwa ketika cosine similarity gradien antar-tugas turun di bawah −0.3, tingkat forgetting meningkat 2.4× dibandingkan kondisi dengan alignment positif. Penelitian ini mengoperasionalisasikan insight tersebut sebagai kriteria seleksi: sampel dengan inner product gradien paling negatif terhadap gradien rata-rata tugas saat ini adalah sampel yang paling berisiko untuk dilupakan, sehingga menjadi kandidat replay prioritas.</w:t>
      </w:r>
    </w:p>
    <w:p>
      <w:pPr>
        <w:spacing w:before="60" w:after="60" w:line="360"/>
        <w:ind w:firstLine="720"/>
        <w:jc w:val="both"/>
      </w:pPr>
      <w:r>
        <w:rPr>
          <w:rFonts w:ascii="Times New Roman" w:cs="Times New Roman" w:eastAsia="Times New Roman" w:hAnsi="Times New Roman"/>
          <w:sz w:val="24"/>
          <w:szCs w:val="24"/>
        </w:rPr>
        <w:t xml:space="preserve">Gradient-based Sample Selection (GSS; Aljundi et al., NeurIPS 2019) memberikan preseden langsung untuk penggunaan gradien dalam seleksi buffer. GSS memformulasikan seleksi sampel sebagai masalah constraint reduction: buffer yang optimal adalah yang memaksimalkan keberagaman gradien sampel-sampelnya (diukur dengan cosine similarity). Secara konkret, GSS mempertahankan skor r_i untuk setiap sampel i dalam buffer berdasarkan cosine similarity maksimal sampel tersebut dengan sampel-sampel lain. Perbedaan kritis antara GSS dan O-Conflict yang diusulkan adalah bahwa GSS memaksimalkan keberagaman intra-buffer (sampel-ke-sampel), sementara O-Conflict memaksimalkan konflik gradien terhadap tugas saat ini (sampel-ke-tugas). GCR (Gradient Coreset Replay; Tiwari et al., CVPR 2022) memperluas ide ini dengan memilih coreset yang paling dekat mengaproksimasi gradien seluruh data yang telah dilihat, menggunakan optimasi berbasis SVD. GCR mengungguli DER++ secara konsisten pada S-CIFAR-10 dan S-CIFAR-100, memvalidasi bahwa informasi gradien lebih kuat dibandingkan informasi loss (NLL) untuk seleksi buffer.</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2.3 Gradient Subspace Orthogonality: Dari Training Constraint ke Selection Score</w:t>
      </w:r>
    </w:p>
    <w:p>
      <w:pPr>
        <w:spacing w:before="60" w:after="60" w:line="360"/>
        <w:ind w:firstLine="720"/>
        <w:jc w:val="both"/>
      </w:pPr>
      <w:r>
        <w:rPr>
          <w:rFonts w:ascii="Times New Roman" w:cs="Times New Roman" w:eastAsia="Times New Roman" w:hAnsi="Times New Roman"/>
          <w:sz w:val="24"/>
          <w:szCs w:val="24"/>
        </w:rPr>
        <w:t xml:space="preserve">Keluarga metode gradient projection menyediakan fondasi matematis untuk O-Grad (Metode 1). Metode-metode ini awalnya dikembangkan sebagai mekanisme training-time, namun geometri yang mendasarinya secara langsung menginformasikan kriteria seleksi yang diusulkan.</w:t>
      </w:r>
    </w:p>
    <w:p>
      <w:pPr>
        <w:pStyle w:val="Heading3"/>
        <w:spacing w:before="200" w:after="60"/>
      </w:pPr>
      <w:r>
        <w:rPr>
          <w:rFonts w:ascii="Times New Roman" w:cs="Times New Roman" w:eastAsia="Times New Roman" w:hAnsi="Times New Roman"/>
          <w:b/>
          <w:bCs/>
          <w:i/>
          <w:iCs/>
          <w:sz w:val="24"/>
          <w:szCs w:val="24"/>
        </w:rPr>
        <w:t xml:space="preserve">2.3.1 Orthogonal Gradient Descent (OGD)</w:t>
      </w:r>
    </w:p>
    <w:p>
      <w:pPr>
        <w:spacing w:before="60" w:after="60" w:line="360"/>
        <w:ind w:firstLine="720"/>
        <w:jc w:val="both"/>
      </w:pPr>
      <w:r>
        <w:rPr>
          <w:rFonts w:ascii="Times New Roman" w:cs="Times New Roman" w:eastAsia="Times New Roman" w:hAnsi="Times New Roman"/>
          <w:sz w:val="24"/>
          <w:szCs w:val="24"/>
        </w:rPr>
        <w:t xml:space="preserve">Orthogonal Gradient Descent (OGD; Farajtabar et al., AISTATS 2020) bekerja dengan model gradients (∇f_j(x; w)) daripada loss gradients. Setelah mempelajari setiap tugas, OGD menyimpan basis ortonormal untuk subruang yang dibentuk oleh gradien-gradien model melalui proses Gram-Schmidt. Gradien tugas baru diproyeksikan ke komplemen ortogonal: g̃ = g − Σ_i proj_{v_i}(g). OGD menjamin perubahan lokal nol pada prediksi jaringan untuk tugas-tugas sebelumnya. Relevansi OGD terhadap O-Grad adalah bahwa keduanya berbagi prinsip dasar yang sama: identifikasi subruang gradien penting, lalu proyeksikan sesuatu ke komplemen ortogonalnya. OGD memproyeksikan gradient update; O-Grad memproyeksikan gradient sampel untuk mengukur residual-nya sebagai skor seleksi.</w:t>
      </w:r>
    </w:p>
    <w:p>
      <w:pPr>
        <w:pStyle w:val="Heading3"/>
        <w:spacing w:before="200" w:after="60"/>
      </w:pPr>
      <w:r>
        <w:rPr>
          <w:rFonts w:ascii="Times New Roman" w:cs="Times New Roman" w:eastAsia="Times New Roman" w:hAnsi="Times New Roman"/>
          <w:b/>
          <w:bCs/>
          <w:i/>
          <w:iCs/>
          <w:sz w:val="24"/>
          <w:szCs w:val="24"/>
        </w:rPr>
        <w:t xml:space="preserve">2.3.2 Gradient Projection Memory (GPM) dan Estimasi Subruang via SVD</w:t>
      </w:r>
    </w:p>
    <w:p>
      <w:pPr>
        <w:spacing w:before="60" w:after="60" w:line="360"/>
        <w:ind w:firstLine="720"/>
        <w:jc w:val="both"/>
      </w:pPr>
      <w:r>
        <w:rPr>
          <w:rFonts w:ascii="Times New Roman" w:cs="Times New Roman" w:eastAsia="Times New Roman" w:hAnsi="Times New Roman"/>
          <w:sz w:val="24"/>
          <w:szCs w:val="24"/>
        </w:rPr>
        <w:t xml:space="preserve">Gradient Projection Memory (GPM; Saha et al., ICLR 2021) merupakan evolusi paling matang dari keluarga gradient projection dan secara paling langsung menginspirasi mekanisme estimasi subruang dalam O-Grad. Insight kunci GPM adalah bahwa pembaruan gradien SGD terletak dalam span dari input aktivasi jaringan — sehingga GPM melakukan SVD pada matriks representasi jaringan untuk mengidentifikasi Core Gradient Space (CGS). GPM mengakumulasi matriks aktivasi input X ∈ R^{n×d}, melakukan SVD (X = UΣV^T), dan menyimpan kolom-kolom V yang berkorespondensi dengan nilai singular terbesar sebagai basis CGS. Proyeksi gradien dilakukan sebagai ∇̃W = ∇W − (∇W)·M·M^T di mana M berisi basis CGS. GPM berhasil di-scale ke arsitektur ResNet dan CIFAR-100/miniImageNet, mengurangi kebutuhan memori secara drastis (~400× lebih sedikit dibandingkan OGD). Dalam O-Grad yang diusulkan, mekanisme SVD GPM diadopsi untuk mengestimasi subruang gradien tugas saat ini pada fast LoRA parameters — tetapi alih-alih memproyeksikan gradient update selama training, residual ortogonal digunakan sebagai skor untuk menentukan sampel mana yang disimpan dalam buffer.</w:t>
      </w:r>
    </w:p>
    <w:p>
      <w:pPr>
        <w:spacing w:before="60" w:after="60" w:line="360"/>
        <w:ind w:firstLine="720"/>
        <w:jc w:val="both"/>
      </w:pPr>
      <w:r>
        <w:rPr>
          <w:rFonts w:ascii="Times New Roman" w:cs="Times New Roman" w:eastAsia="Times New Roman" w:hAnsi="Times New Roman"/>
          <w:sz w:val="24"/>
          <w:szCs w:val="24"/>
        </w:rPr>
        <w:t xml:space="preserve">Scaled Gradient Projection (SGP; Saha &amp; Roy, AAAI 2023) merelaksasi constraint ortogonal ketat GPM dengan langkah gradien yang diskala berdasarkan nilai singular. Trust Region Gradient Projection (TRGP; Lin et al., ICLR 2022) memungkinkan reuse terkontrol dari bobot beku tugas terdahulu yang paling berkorelasi. Relevansi SGP dan TRGP bagi penelitian ini bersifat motivasional: ortogonalitas ketat tidak selalu optimal, dan relaksasi yang tepat meningkatkan plastisitas tanpa mengorbankan stabilitas yang berarti. Insight ini menginformasikan ablasi atas rank subruang k.</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2.4 Feature Subspace Orthogonality: Ortogonalitas di Ruang Aktivasi</w:t>
      </w:r>
    </w:p>
    <w:p>
      <w:pPr>
        <w:spacing w:before="60" w:after="60" w:line="360"/>
        <w:ind w:firstLine="720"/>
        <w:jc w:val="both"/>
      </w:pPr>
      <w:r>
        <w:rPr>
          <w:rFonts w:ascii="Times New Roman" w:cs="Times New Roman" w:eastAsia="Times New Roman" w:hAnsi="Times New Roman"/>
          <w:sz w:val="24"/>
          <w:szCs w:val="24"/>
        </w:rPr>
        <w:t xml:space="preserve">Jika O-Grad beroperasi di ruang gradien parameter, O-Feat (Metode 2) beroperasi di ruang representasi fitur. Landasan teoritis O-Feat berasal dari literatur null-space projection yang memanfaatkan struktur aktivasi jaringan untuk mencegah forgetting.</w:t>
      </w:r>
    </w:p>
    <w:p>
      <w:pPr>
        <w:pStyle w:val="Heading3"/>
        <w:spacing w:before="200" w:after="60"/>
      </w:pPr>
      <w:r>
        <w:rPr>
          <w:rFonts w:ascii="Times New Roman" w:cs="Times New Roman" w:eastAsia="Times New Roman" w:hAnsi="Times New Roman"/>
          <w:b/>
          <w:bCs/>
          <w:i/>
          <w:iCs/>
          <w:sz w:val="24"/>
          <w:szCs w:val="24"/>
        </w:rPr>
        <w:t xml:space="preserve">2.4.1 Adam-NSCL: Null Space dari Kovarian Fitur</w:t>
      </w:r>
    </w:p>
    <w:p>
      <w:pPr>
        <w:spacing w:before="60" w:after="60" w:line="360"/>
        <w:ind w:firstLine="720"/>
        <w:jc w:val="both"/>
      </w:pPr>
      <w:r>
        <w:rPr>
          <w:rFonts w:ascii="Times New Roman" w:cs="Times New Roman" w:eastAsia="Times New Roman" w:hAnsi="Times New Roman"/>
          <w:sz w:val="24"/>
          <w:szCs w:val="24"/>
        </w:rPr>
        <w:t xml:space="preserve">Adam-NSCL (Wang et al., CVPR 2021) mengimplementasikan prinsip null-space projection secara langsung pada optimizer. Untuk setiap lapisan l, Adam-NSCL menghitung matriks kovarian fitur yang tidak tersentral C^l = Σ_p (X^l_p)^T X^l_p secara inkremental — tanpa menyimpan data mentah — dan mengidentifikasi null space via SVD dari C^l. Proyeksi null space P^l = U_null·(U_null)^T diterapkan pada pembaruan Adam: ΔW = P^l · g. Logika matematisnya adalah: jika ΔW terletak di null space dari aktivasi tugas lama X_old, maka X_old·ΔW = 0, artinya output tugas lama tidak berubah. Ekuivalensi matematis antara proyeksi null space Adam-NSCL dan proyeksi komplemen ortogonal GPM dibuktikan secara formal oleh Zhao et al. (CVPR 2023). Untuk O-Feat, prinsip yang sama diaplikasikan ke seleksi buffer: sampel z diprioritaskan jika representasi fiturnya h(z) memiliki komponen besar di luar subruang aktivasi tugas saat ini H, karena representasinya berisiko tertimpa ketika W diperbarui untuk tugas baru.</w:t>
      </w:r>
    </w:p>
    <w:p>
      <w:pPr>
        <w:pStyle w:val="Heading3"/>
        <w:spacing w:before="200" w:after="60"/>
      </w:pPr>
      <w:r>
        <w:rPr>
          <w:rFonts w:ascii="Times New Roman" w:cs="Times New Roman" w:eastAsia="Times New Roman" w:hAnsi="Times New Roman"/>
          <w:b/>
          <w:bCs/>
          <w:i/>
          <w:iCs/>
          <w:sz w:val="24"/>
          <w:szCs w:val="24"/>
        </w:rPr>
        <w:t xml:space="preserve">2.4.2 Dasar Teoritis O-Feat: Mengapa Aktivasi Memprediksi Risiko Forgetting</w:t>
      </w:r>
    </w:p>
    <w:p>
      <w:pPr>
        <w:spacing w:before="60" w:after="60" w:line="360"/>
        <w:ind w:firstLine="720"/>
        <w:jc w:val="both"/>
      </w:pPr>
      <w:r>
        <w:rPr>
          <w:rFonts w:ascii="Times New Roman" w:cs="Times New Roman" w:eastAsia="Times New Roman" w:hAnsi="Times New Roman"/>
          <w:sz w:val="24"/>
          <w:szCs w:val="24"/>
        </w:rPr>
        <w:t xml:space="preserve">Argumen teoritis untuk menggunakan aktivasi sebagai proxy risiko forgetting didasarkan pada hubungan antara aktivasi dan gradien yang diidentifikasi GPM: untuk layer linear dengan output O = XW, gradien ∇_W L = X^T δ selalu terletak dalam column space dari X^T. Artinya, jika suatu sampel z menghasilkan aktivasi h(z) yang sangat berbeda dari aktivasi tugas saat ini (besar residual ortogonal dalam feature space), maka gradien yang berkorespondensi juga cenderung berada di luar subruang gradien tugas saat ini. Ini berarti feature subspace orthogonality adalah aproksimasi dari gradient subspace orthogonality yang jauh lebih murah secara komputasi karena hanya memerlukan forward pass, bukan backward pass per sampel. Kualitas aproksimasi ini tergantung pada seberapa linear hubungan antara aktivasi dan gradien pada layer yang bersangkutan, dan menjadi salah satu hipotesis empiris yang diuji penelitian ini.</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2.5 Gradient Conflict Score: Ortogonalitas sebagai Anti-Alignment</w:t>
      </w:r>
    </w:p>
    <w:p>
      <w:pPr>
        <w:spacing w:before="60" w:after="60" w:line="360"/>
        <w:ind w:firstLine="720"/>
        <w:jc w:val="both"/>
      </w:pPr>
      <w:r>
        <w:rPr>
          <w:rFonts w:ascii="Times New Roman" w:cs="Times New Roman" w:eastAsia="Times New Roman" w:hAnsi="Times New Roman"/>
          <w:sz w:val="24"/>
          <w:szCs w:val="24"/>
        </w:rPr>
        <w:t xml:space="preserve">O-Conflict (Metode 3) beroperasi pada prinsip yang berbeda dari O-Grad dan O-Feat: alih-alih mengukur posisi dalam subruang, ia mengukur arah konflik antara gradien sampel dengan gradien rata-rata tugas saat ini. Skor yang digunakan adalah negatif cosine similarity:</w:t>
      </w:r>
    </w:p>
    <w:p>
      <w:pPr>
        <w:spacing w:before="120" w:after="120" w:line="280"/>
        <w:jc w:val="center"/>
      </w:pPr>
      <w:r>
        <w:rPr>
          <w:rFonts w:ascii="Courier New" w:cs="Courier New" w:eastAsia="Courier New" w:hAnsi="Courier New"/>
          <w:sz w:val="24"/>
          <w:szCs w:val="24"/>
        </w:rPr>
        <w:t xml:space="preserve">score(z) = -cos(g(z), g_current) = -(g(z)·g_current) / (||g(z)|| · ||g_current||)</w:t>
      </w:r>
    </w:p>
    <w:p>
      <w:pPr>
        <w:spacing w:before="60" w:after="60" w:line="360"/>
        <w:ind w:firstLine="720"/>
        <w:jc w:val="both"/>
      </w:pPr>
      <w:r>
        <w:rPr>
          <w:rFonts w:ascii="Times New Roman" w:cs="Times New Roman" w:eastAsia="Times New Roman" w:hAnsi="Times New Roman"/>
          <w:sz w:val="24"/>
          <w:szCs w:val="24"/>
        </w:rPr>
        <w:t xml:space="preserve">Sampel dengan skor tertinggi (cosine similarity paling negatif) adalah sampel yang gradiennya paling berlawanan arah dengan gradient tugas saat ini — dengan kata lain, sampel yang representasinya akan paling cepat terhapus selama training pada tugas baru.</w:t>
      </w:r>
    </w:p>
    <w:p>
      <w:pPr>
        <w:pStyle w:val="Heading3"/>
        <w:spacing w:before="200" w:after="60"/>
      </w:pPr>
      <w:r>
        <w:rPr>
          <w:rFonts w:ascii="Times New Roman" w:cs="Times New Roman" w:eastAsia="Times New Roman" w:hAnsi="Times New Roman"/>
          <w:b/>
          <w:bCs/>
          <w:i/>
          <w:iCs/>
          <w:sz w:val="24"/>
          <w:szCs w:val="24"/>
        </w:rPr>
        <w:t xml:space="preserve">2.5.1 Landasan Empiris: Gradient Conflict dan Forgetting</w:t>
      </w:r>
    </w:p>
    <w:p>
      <w:pPr>
        <w:spacing w:before="60" w:after="60" w:line="360"/>
        <w:ind w:firstLine="720"/>
        <w:jc w:val="both"/>
      </w:pPr>
      <w:r>
        <w:rPr>
          <w:rFonts w:ascii="Times New Roman" w:cs="Times New Roman" w:eastAsia="Times New Roman" w:hAnsi="Times New Roman"/>
          <w:sz w:val="24"/>
          <w:szCs w:val="24"/>
        </w:rPr>
        <w:t xml:space="preserve">GSS (Gradient-based Sample Selection; Aljundi et al., NeurIPS 2019) meletakkan preseden untuk penggunaan cosine similarity gradien dalam seleksi buffer. GSS memformulasikan seleksi sebagai masalah memaksimalkan keberagaman gradien buffer: skor sampel i diukur sebagai cosine similarity maksimal dengan sampel-sampel lain dalam buffer, dan sampel dengan skor rendah (gradien paling berbeda dari yang sudah tersimpan) diprioritaskan. Meskipun GSS mengukur keberagaman intra-buffer (bukan konflik terhadap tugas saat ini), ia memvalidasi bahwa cosine similarity gradien adalah metrik yang valid dan informatif untuk seleksi buffer. GCR (Tiwari et al., CVPR 2022) memperluas ini dengan coreset gradient approximation via SVD, mengonfirmasi bahwa representasi gradien secara konsisten mengungguli NLL sebagai kriteria seleksi.</w:t>
      </w:r>
    </w:p>
    <w:p>
      <w:pPr>
        <w:spacing w:before="60" w:after="60" w:line="360"/>
        <w:ind w:firstLine="720"/>
        <w:jc w:val="both"/>
      </w:pPr>
      <w:r>
        <w:rPr>
          <w:rFonts w:ascii="Times New Roman" w:cs="Times New Roman" w:eastAsia="Times New Roman" w:hAnsi="Times New Roman"/>
          <w:sz w:val="24"/>
          <w:szCs w:val="24"/>
        </w:rPr>
        <w:t xml:space="preserve">Dukungan teoritis langsung dari CNL (2026) membuktikan bahwa strongly negative gradient similarity adalah penyebab kausal forgetting, dengan 50%–75% neuron dikategorikan sebagai "conflicting neurons" yang menginduksi forgetting. Analisis mekanistis pada LLM (2026) lebih lanjut menunjukkan bahwa ketika cosine similarity antara gradien dari dua tugas berbeda turun di bawah −0.3, tingkat forgetting meningkat 2.4× dibandingkan baseline. O-Conflict mengoperasionalisasikan temuan ini secara langsung: sampel yang gradiennya paling berkonflik dengan tugas saat ini (cosine similarity paling negatif) adalah sampel yang paling perlu di-replay untuk mencegah forgetting.</w:t>
      </w:r>
    </w:p>
    <w:p>
      <w:pPr>
        <w:pStyle w:val="Heading3"/>
        <w:spacing w:before="200" w:after="60"/>
      </w:pPr>
      <w:r>
        <w:rPr>
          <w:rFonts w:ascii="Times New Roman" w:cs="Times New Roman" w:eastAsia="Times New Roman" w:hAnsi="Times New Roman"/>
          <w:b/>
          <w:bCs/>
          <w:i/>
          <w:iCs/>
          <w:sz w:val="24"/>
          <w:szCs w:val="24"/>
        </w:rPr>
        <w:t xml:space="preserve">2.5.2 Perbedaan O-Conflict dengan GSS</w:t>
      </w:r>
    </w:p>
    <w:p>
      <w:pPr>
        <w:spacing w:before="60" w:after="60" w:line="360"/>
        <w:ind w:firstLine="720"/>
        <w:jc w:val="both"/>
      </w:pPr>
      <w:r>
        <w:rPr>
          <w:rFonts w:ascii="Times New Roman" w:cs="Times New Roman" w:eastAsia="Times New Roman" w:hAnsi="Times New Roman"/>
          <w:sz w:val="24"/>
          <w:szCs w:val="24"/>
        </w:rPr>
        <w:t xml:space="preserve">Terdapat perbedaan konseptual penting antara O-Conflict dan GSS yang perlu diklarifikasi. GSS mengukur keberagaman gradien antar-sampel dalam buffer (intra-buffer diversity) — tujuannya adalah memastikan buffer tidak redundan. O-Conflict mengukur konflik gradien antara sampel masa lalu dengan tugas saat ini (cross-task conflict) — tujuannya adalah mengidentifikasi sampel yang paling berisiko dilupakan akibat optimisasi tugas baru. Ini adalah perbedaan antara memilih sampel yang "representatif" (GSS) dan memilih sampel yang "paling terancam" (O-Conflict). Keduanya menggunakan cosine similarity gradien sebagai alat ukur, namun dengan referensi yang berbeda dan tujuan yang berbeda.</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2.6 Perbandingan Ketiga Pendekatan Ortogonalitas</w:t>
      </w:r>
    </w:p>
    <w:p>
      <w:pPr>
        <w:spacing w:before="60" w:after="60" w:line="360"/>
        <w:ind w:firstLine="720"/>
        <w:jc w:val="both"/>
      </w:pPr>
      <w:r>
        <w:rPr>
          <w:rFonts w:ascii="Times New Roman" w:cs="Times New Roman" w:eastAsia="Times New Roman" w:hAnsi="Times New Roman"/>
          <w:sz w:val="24"/>
          <w:szCs w:val="24"/>
        </w:rPr>
        <w:t xml:space="preserve">Tabel 2.1 merangkum perbedaan fundamental antara ketiga interpretasi ortogonalitas yang diusulkan sebagai kriteria seleksi buffer. Pemahaman tentang perbedaan ini adalah kunci untuk merumuskan hipotesis penelitian yang tepat dan menginterpretasikan hasil eksperimen.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Dimensi</w:t>
            </w:r>
          </w:p>
        </w:tc>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O-Grad (M1)</w:t>
            </w:r>
          </w:p>
        </w:tc>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O-Feat (M2)</w:t>
            </w:r>
          </w:p>
        </w:tc>
        <w:tc>
          <w:tcPr>
            <w:tcW w:type="dxa" w:w="2426"/>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O-Conflict (M3)</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Ruang operasi</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Gradient space (param.)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Feature/activation space</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Gradient direction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Formula skor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||g(z) − proj_S(g(z))||</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||h(z) − proj_H(h(z))||</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−cos(g(z), g_current)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Estimasi subruang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SVD pada gradient matrix 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SVD pada activation matrix H</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Tidak perlu (hanya mean)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Backward pass per sampel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Ya (wajib)</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Tidak (hanya forward)</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Ya (wajib)</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Biaya komputasi</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Tinggi (SVD + backward)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Rendah (SVD + forward)</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Medium (backward saja)</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Inspirasi literatur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GPM, OGD, Adam-NSCL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GPM (aktivasi), Adam-NSCL</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A-GEM, GSS, CNL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Intuisi seleksi</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Arah gradien diabaikan tugas baru</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Representasi tertimpa tugas baru</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Gradien paling berkonflik dgn tugas baru</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Aproksimasi dari</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Langsung (exact)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O-Grad (proksi via aktivasi)</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O-Grad (proksi via arah)</w:t>
            </w:r>
          </w:p>
        </w:tc>
      </w:tr>
    </w:tbl>
    <w:p>
      <w:pPr>
        <w:spacing w:before="60" w:after="120"/>
        <w:jc w:val="center"/>
      </w:pPr>
      <w:r>
        <w:rPr>
          <w:rFonts w:ascii="Times New Roman" w:cs="Times New Roman" w:eastAsia="Times New Roman" w:hAnsi="Times New Roman"/>
          <w:i/>
          <w:iCs/>
          <w:sz w:val="22"/>
          <w:szCs w:val="22"/>
        </w:rPr>
        <w:t xml:space="preserve">Tabel 2.1. Perbandingan tiga interpretasi ortogonalitas sebagai kriteria seleksi buffer.</w:t>
      </w:r>
    </w:p>
    <w:p>
      <w:pPr>
        <w:spacing w:before="60" w:after="60" w:line="360"/>
        <w:ind w:firstLine="720"/>
        <w:jc w:val="both"/>
      </w:pPr>
      <w:r>
        <w:rPr>
          <w:rFonts w:ascii="Times New Roman" w:cs="Times New Roman" w:eastAsia="Times New Roman" w:hAnsi="Times New Roman"/>
          <w:sz w:val="24"/>
          <w:szCs w:val="24"/>
        </w:rPr>
        <w:t xml:space="preserve">Perbedaan kunci antara O-Feat dan O-Conflict sebagai aproksimasi dari O-Grad adalah: O-Feat mengaproksimasi posisi gradien dalam subruang (apakah komponen ortogonal besar?), sementara O-Conflict mengaproksimasi arah gradien (apakah arahnya berlawanan?). Keduanya dapat memberikan skor yang berbeda untuk sampel yang sama, dan penelitian ini bertujuan untuk menentukan aproksimasi mana yang lebih valid dalam konteks class-incremental learning pada LLM.</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2.7 SuRe: Baseline dan Kerangka Teoritis</w:t>
      </w:r>
    </w:p>
    <w:p>
      <w:pPr>
        <w:spacing w:before="60" w:after="60" w:line="360"/>
        <w:ind w:firstLine="720"/>
        <w:jc w:val="both"/>
      </w:pPr>
      <w:r>
        <w:rPr>
          <w:rFonts w:ascii="Times New Roman" w:cs="Times New Roman" w:eastAsia="Times New Roman" w:hAnsi="Times New Roman"/>
          <w:sz w:val="24"/>
          <w:szCs w:val="24"/>
        </w:rPr>
        <w:t xml:space="preserve">SuRe (Surprise-Driven Prioritised Replay; Hazard et al., 2025) merupakan baseline langsung penelitian ini. SuRe mendekomposisi expected forgetting menjadi dua suku aditif berdasarkan Teorema 1:</w:t>
      </w:r>
    </w:p>
    <w:p>
      <w:pPr>
        <w:spacing w:before="120" w:after="120" w:line="280"/>
        <w:jc w:val="center"/>
      </w:pPr>
      <w:r>
        <w:rPr>
          <w:rFonts w:ascii="Courier New" w:cs="Courier New" w:eastAsia="Courier New" w:hAnsi="Courier New"/>
          <w:sz w:val="24"/>
          <w:szCs w:val="24"/>
        </w:rPr>
        <w:t xml:space="preserve">E[F] ≤ A · D(P, q) + B(β) · σ²/(μN) + C · Δ_drift</w:t>
      </w:r>
    </w:p>
    <w:p>
      <w:pPr>
        <w:spacing w:before="60" w:after="60" w:line="360"/>
        <w:ind w:firstLine="720"/>
        <w:jc w:val="both"/>
      </w:pPr>
      <w:r>
        <w:rPr>
          <w:rFonts w:ascii="Times New Roman" w:cs="Times New Roman" w:eastAsia="Times New Roman" w:hAnsi="Times New Roman"/>
          <w:sz w:val="24"/>
          <w:szCs w:val="24"/>
        </w:rPr>
        <w:t xml:space="preserve">Suku pertama A·D(P,q) mengukur mismatch antara distribusi buffer q dan distribusi tugas masa lalu P — ini adalah suku yang ditargetkan oleh ketiga kriteria seleksi ortogonal. Suku kedua B(β)·σ²/(μN) ditangani oleh EMA dengan β = 0.995. Penelitian ini mempertahankan seluruh arsitektur dual-learner SuRe dan hanya memodifikasi kriteria seleksi buffer, memungkinkan isolasi pengaruh bersih dari jenis ortogonalitas yang digunakan.</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2.8 Low-Rank Adaptation (LoRA), O-LoRA, dan EMA dalam Continual Learning</w:t>
      </w:r>
    </w:p>
    <w:p>
      <w:pPr>
        <w:spacing w:before="60" w:after="60" w:line="360"/>
        <w:ind w:firstLine="720"/>
        <w:jc w:val="both"/>
      </w:pPr>
      <w:r>
        <w:rPr>
          <w:rFonts w:ascii="Times New Roman" w:cs="Times New Roman" w:eastAsia="Times New Roman" w:hAnsi="Times New Roman"/>
          <w:sz w:val="24"/>
          <w:szCs w:val="24"/>
        </w:rPr>
        <w:t xml:space="preserve">LoRA (Hu et al., ICLR 2022) merepresentasikan perubahan bobot sebagai ΔW = BA, di mana B ∈ R^{d×r}, A ∈ R^{r×k}, r ≪ min(d,k). Relevansi LoRA untuk continual learning signifikan: dengan membekukan bobot dasar, LoRA membatasi cakupan modifikasi parameter, mengurangi risiko catastrophic forgetting pada bobot dasar. O-LoRA (Wang et al., EMNLP 2023) menambahkan constraint ortogonalitas B_i^T·B_j = 0 antar-tugas, memastikan subruang LoRA tidak saling interferensi. InfLoRA (Liang &amp; Li, CVPR 2024) merancang B_t sehingga barisnya berada di null space gradien tugas sebelumnya, mencapai state-of-the-art pada beberapa benchmark. Mean Teacher (Tarvainen &amp; Valpola, NeurIPS 2017) dan CLS-ER (Arani et al., ICLR 2022) memvalidasi efektivitas EMA dalam mencapai minima yang lebih datar dengan kalibrasi lebih baik untuk stabilitas jangka panjang.</w:t>
      </w:r>
    </w:p>
    <w:p>
      <w:r>
        <w:br w:type="page"/>
      </w:r>
    </w:p>
    <w:p>
      <w:pPr>
        <w:pStyle w:val="Heading1"/>
        <w:spacing w:before="360" w:after="120"/>
      </w:pPr>
      <w:r>
        <w:rPr>
          <w:rFonts w:ascii="Times New Roman" w:cs="Times New Roman" w:eastAsia="Times New Roman" w:hAnsi="Times New Roman"/>
          <w:b/>
          <w:bCs/>
          <w:sz w:val="28"/>
          <w:szCs w:val="28"/>
        </w:rPr>
        <w:t xml:space="preserve">BAB 3</w:t>
      </w:r>
    </w:p>
    <w:p>
      <w:pPr>
        <w:pStyle w:val="Heading1"/>
        <w:spacing w:before="360" w:after="120"/>
      </w:pPr>
      <w:r>
        <w:rPr>
          <w:rFonts w:ascii="Times New Roman" w:cs="Times New Roman" w:eastAsia="Times New Roman" w:hAnsi="Times New Roman"/>
          <w:b/>
          <w:bCs/>
          <w:sz w:val="28"/>
          <w:szCs w:val="28"/>
        </w:rPr>
        <w:t xml:space="preserve">METODOLOGI PENELITIAN</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3.1 Kerangka Kerja Penelitian</w:t>
      </w:r>
    </w:p>
    <w:p>
      <w:pPr>
        <w:spacing w:before="60" w:after="60" w:line="360"/>
        <w:ind w:firstLine="720"/>
        <w:jc w:val="both"/>
      </w:pPr>
      <w:r>
        <w:rPr>
          <w:rFonts w:ascii="Times New Roman" w:cs="Times New Roman" w:eastAsia="Times New Roman" w:hAnsi="Times New Roman"/>
          <w:sz w:val="24"/>
          <w:szCs w:val="24"/>
        </w:rPr>
        <w:t xml:space="preserve">Penelitian ini mengadopsi pendekatan eksperimental kuantitatif dengan perbandingan sistematis tiga kriteria seleksi berbasis ortogonalitas terhadap baseline SuRe. Kerangka kerja terdiri dari empat fase: (1) reproduksi baseline SuRe, (2) implementasi dan pengujian tiga kriteria ortogonal (RQ1), (3) ablasi sistematis, dan (4) ekstensi Triple Defense (RQ2). Seluruh komponen selain kriteria seleksi buffer dipertahankan identik dengan SuRe untuk memastikan perbandingan yang bersih.</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3.2 Tiga Metode Seleksi Berbasis Ortogonalitas yang Diusulkan</w:t>
      </w:r>
    </w:p>
    <w:p>
      <w:pPr>
        <w:spacing w:before="60" w:after="60" w:line="360"/>
        <w:ind w:firstLine="720"/>
        <w:jc w:val="both"/>
      </w:pPr>
      <w:r>
        <w:rPr>
          <w:rFonts w:ascii="Times New Roman" w:cs="Times New Roman" w:eastAsia="Times New Roman" w:hAnsi="Times New Roman"/>
          <w:sz w:val="24"/>
          <w:szCs w:val="24"/>
        </w:rPr>
        <w:t xml:space="preserve">Ketiga metode berikut menggantikan kriteria NLL SuRe. Semua komponen lain — arsitektur dual-learner EMA, LoRA rank, prosedur training, rasio replay, ukuran buffer — tetap identik dengan SuRe.</w:t>
      </w:r>
    </w:p>
    <w:p>
      <w:pPr>
        <w:pStyle w:val="Heading3"/>
        <w:spacing w:before="200" w:after="60"/>
      </w:pPr>
      <w:r>
        <w:rPr>
          <w:rFonts w:ascii="Times New Roman" w:cs="Times New Roman" w:eastAsia="Times New Roman" w:hAnsi="Times New Roman"/>
          <w:b/>
          <w:bCs/>
          <w:i/>
          <w:iCs/>
          <w:sz w:val="24"/>
          <w:szCs w:val="24"/>
        </w:rPr>
        <w:t xml:space="preserve">3.2.1 Fondasi Bersama: Dekomposisi Forgetting</w:t>
      </w:r>
    </w:p>
    <w:p>
      <w:pPr>
        <w:spacing w:before="60" w:after="60" w:line="360"/>
        <w:ind w:firstLine="720"/>
        <w:jc w:val="both"/>
      </w:pPr>
      <w:r>
        <w:rPr>
          <w:rFonts w:ascii="Times New Roman" w:cs="Times New Roman" w:eastAsia="Times New Roman" w:hAnsi="Times New Roman"/>
          <w:sz w:val="24"/>
          <w:szCs w:val="24"/>
        </w:rPr>
        <w:t xml:space="preserve">Ketiga metode berangkat dari dekomposisi forgetting SuRe (Teorema 1) dan bertujuan mereduksi suku seleksi A·D(P,q) secara lebih langsung dibandingkan NLL. Perbedaannya adalah pada interpretasi operasional dari "langsung": O-Grad menginterpretasikan ini sebagai residual dalam gradient subspace, O-Feat sebagai residual dalam feature subspace, dan O-Conflict sebagai konflik arah gradien.</w:t>
      </w:r>
    </w:p>
    <w:p>
      <w:pPr>
        <w:pStyle w:val="Heading3"/>
        <w:spacing w:before="200" w:after="60"/>
      </w:pPr>
      <w:r>
        <w:rPr>
          <w:rFonts w:ascii="Times New Roman" w:cs="Times New Roman" w:eastAsia="Times New Roman" w:hAnsi="Times New Roman"/>
          <w:b/>
          <w:bCs/>
          <w:i/>
          <w:iCs/>
          <w:sz w:val="24"/>
          <w:szCs w:val="24"/>
        </w:rPr>
        <w:t xml:space="preserve">3.2.2 Metode 1: O-Grad — Gradient Subspace Orthogonality</w:t>
      </w:r>
    </w:p>
    <w:p>
      <w:pPr>
        <w:spacing w:before="60" w:after="60" w:line="360"/>
        <w:ind w:firstLine="720"/>
        <w:jc w:val="both"/>
      </w:pPr>
      <w:r>
        <w:rPr>
          <w:rFonts w:ascii="Times New Roman" w:cs="Times New Roman" w:eastAsia="Times New Roman" w:hAnsi="Times New Roman"/>
          <w:sz w:val="24"/>
          <w:szCs w:val="24"/>
        </w:rPr>
        <w:t xml:space="preserve">O-Grad mengukur seberapa besar komponen gradien setiap kandidat sampel yang terletak di luar subruang gradien tugas saat ini. Ini adalah interpretasi paling langsung dari "risiko gradien tertimpa" dan merupakan kontribusi inti penelitian.</w:t>
      </w:r>
    </w:p>
    <w:p>
      <w:pPr>
        <w:spacing w:before="60" w:after="60" w:line="360"/>
        <w:ind w:firstLine="720"/>
        <w:jc w:val="both"/>
      </w:pPr>
      <w:r>
        <w:rPr>
          <w:rFonts w:ascii="Times New Roman" w:cs="Times New Roman" w:eastAsia="Times New Roman" w:hAnsi="Times New Roman"/>
          <w:b/>
          <w:bCs/>
          <w:sz w:val="24"/>
          <w:szCs w:val="24"/>
        </w:rPr>
        <w:t xml:space="preserve">Phase 1A — Estimasi subruang gradien tugas saat ini:</w:t>
      </w:r>
      <w:r>
        <w:rPr>
          <w:rFonts w:ascii="Times New Roman" w:cs="Times New Roman" w:eastAsia="Times New Roman" w:hAnsi="Times New Roman"/>
          <w:sz w:val="24"/>
          <w:szCs w:val="24"/>
        </w:rPr>
        <w:t xml:space="preserve"/>
      </w:r>
    </w:p>
    <w:p>
      <w:pPr>
        <w:pStyle w:val="ListParagraph"/>
        <w:numPr>
          <w:ilvl w:val="0"/>
          <w:numId w:val="2"/>
        </w:numPr>
        <w:spacing w:before="40" w:after="40" w:line="320"/>
      </w:pPr>
      <w:r>
        <w:rPr>
          <w:rFonts w:ascii="Times New Roman" w:cs="Times New Roman" w:eastAsia="Times New Roman" w:hAnsi="Times New Roman"/>
          <w:sz w:val="24"/>
          <w:szCs w:val="24"/>
        </w:rPr>
        <w:t xml:space="preserve">Sampel B_sub batch dari D_t (default: 10 batch @ 64 sampel).</w:t>
      </w:r>
    </w:p>
    <w:p>
      <w:pPr>
        <w:pStyle w:val="ListParagraph"/>
        <w:numPr>
          <w:ilvl w:val="0"/>
          <w:numId w:val="2"/>
        </w:numPr>
        <w:spacing w:before="40" w:after="40" w:line="320"/>
      </w:pPr>
      <w:r>
        <w:rPr>
          <w:rFonts w:ascii="Times New Roman" w:cs="Times New Roman" w:eastAsia="Times New Roman" w:hAnsi="Times New Roman"/>
          <w:sz w:val="24"/>
          <w:szCs w:val="24"/>
        </w:rPr>
        <w:t xml:space="preserve">Untuk setiap batch, hitung g_b = ∇_θ_fast L_CE(θ_fast; batch_b).</w:t>
      </w:r>
    </w:p>
    <w:p>
      <w:pPr>
        <w:pStyle w:val="ListParagraph"/>
        <w:numPr>
          <w:ilvl w:val="0"/>
          <w:numId w:val="2"/>
        </w:numPr>
        <w:spacing w:before="40" w:after="40" w:line="320"/>
      </w:pPr>
      <w:r>
        <w:rPr>
          <w:rFonts w:ascii="Times New Roman" w:cs="Times New Roman" w:eastAsia="Times New Roman" w:hAnsi="Times New Roman"/>
          <w:sz w:val="24"/>
          <w:szCs w:val="24"/>
        </w:rPr>
        <w:t xml:space="preserve">Susun G ∈ R^{B_sub × d_LoRA}, lakukan truncated SVD: G = UΣV^T.</w:t>
      </w:r>
    </w:p>
    <w:p>
      <w:pPr>
        <w:pStyle w:val="ListParagraph"/>
        <w:numPr>
          <w:ilvl w:val="0"/>
          <w:numId w:val="2"/>
        </w:numPr>
        <w:spacing w:before="40" w:after="40" w:line="320"/>
      </w:pPr>
      <w:r>
        <w:rPr>
          <w:rFonts w:ascii="Times New Roman" w:cs="Times New Roman" w:eastAsia="Times New Roman" w:hAnsi="Times New Roman"/>
          <w:sz w:val="24"/>
          <w:szCs w:val="24"/>
        </w:rPr>
        <w:t xml:space="preserve">Proyeksi matrix: P_S = V_k V_k^T, di mana V_k adalah k top-right singular vectors.</w:t>
      </w:r>
    </w:p>
    <w:p>
      <w:pPr>
        <w:spacing w:before="60" w:after="60" w:line="360"/>
        <w:ind w:firstLine="720"/>
        <w:jc w:val="both"/>
      </w:pPr>
      <w:r>
        <w:rPr>
          <w:rFonts w:ascii="Times New Roman" w:cs="Times New Roman" w:eastAsia="Times New Roman" w:hAnsi="Times New Roman"/>
          <w:b/>
          <w:bCs/>
          <w:sz w:val="24"/>
          <w:szCs w:val="24"/>
        </w:rPr>
        <w:t xml:space="preserve">Phase 2A — Scoring:</w:t>
      </w:r>
      <w:r>
        <w:rPr>
          <w:rFonts w:ascii="Times New Roman" w:cs="Times New Roman" w:eastAsia="Times New Roman" w:hAnsi="Times New Roman"/>
          <w:sz w:val="24"/>
          <w:szCs w:val="24"/>
        </w:rPr>
        <w:t xml:space="preserve"/>
      </w:r>
    </w:p>
    <w:p>
      <w:pPr>
        <w:spacing w:before="120" w:after="120" w:line="280"/>
        <w:jc w:val="center"/>
      </w:pPr>
      <w:r>
        <w:rPr>
          <w:rFonts w:ascii="Courier New" w:cs="Courier New" w:eastAsia="Courier New" w:hAnsi="Courier New"/>
          <w:sz w:val="24"/>
          <w:szCs w:val="24"/>
        </w:rPr>
        <w:t xml:space="preserve">score_OGrad(z) = ||g(z) − P_S · g(z)||_2 = ||g(z)_⊥||_2</w:t>
      </w:r>
    </w:p>
    <w:p>
      <w:pPr>
        <w:spacing w:before="60" w:after="60" w:line="360"/>
        <w:ind w:firstLine="720"/>
        <w:jc w:val="both"/>
      </w:pPr>
      <w:r>
        <w:rPr>
          <w:rFonts w:ascii="Times New Roman" w:cs="Times New Roman" w:eastAsia="Times New Roman" w:hAnsi="Times New Roman"/>
          <w:sz w:val="24"/>
          <w:szCs w:val="24"/>
        </w:rPr>
        <w:t xml:space="preserve">Hyperparameter baru: rank k ∈ {5, 10, 20, 50} (default: 10). Biaya komputasi: SVD sekali per tugas + 1 backward pass per kandidat sampel.</w:t>
      </w:r>
    </w:p>
    <w:p>
      <w:pPr>
        <w:pStyle w:val="Heading3"/>
        <w:spacing w:before="200" w:after="60"/>
      </w:pPr>
      <w:r>
        <w:rPr>
          <w:rFonts w:ascii="Times New Roman" w:cs="Times New Roman" w:eastAsia="Times New Roman" w:hAnsi="Times New Roman"/>
          <w:b/>
          <w:bCs/>
          <w:i/>
          <w:iCs/>
          <w:sz w:val="24"/>
          <w:szCs w:val="24"/>
        </w:rPr>
        <w:t xml:space="preserve">3.2.3 Metode 2: O-Feat — Feature Subspace Orthogonality</w:t>
      </w:r>
    </w:p>
    <w:p>
      <w:pPr>
        <w:spacing w:before="60" w:after="60" w:line="360"/>
        <w:ind w:firstLine="720"/>
        <w:jc w:val="both"/>
      </w:pPr>
      <w:r>
        <w:rPr>
          <w:rFonts w:ascii="Times New Roman" w:cs="Times New Roman" w:eastAsia="Times New Roman" w:hAnsi="Times New Roman"/>
          <w:sz w:val="24"/>
          <w:szCs w:val="24"/>
        </w:rPr>
        <w:t xml:space="preserve">O-Feat mengukur seberapa besar komponen representasi fitur setiap kandidat sampel yang terletak di luar subruang aktivasi tugas saat ini. Pendekatan ini tidak memerlukan backward pass, hanya forward pass, sehingga jauh lebih hemat secara komputasi dibandingkan O-Grad.</w:t>
      </w:r>
    </w:p>
    <w:p>
      <w:pPr>
        <w:spacing w:before="60" w:after="60" w:line="360"/>
        <w:ind w:firstLine="720"/>
        <w:jc w:val="both"/>
      </w:pPr>
      <w:r>
        <w:rPr>
          <w:rFonts w:ascii="Times New Roman" w:cs="Times New Roman" w:eastAsia="Times New Roman" w:hAnsi="Times New Roman"/>
          <w:b/>
          <w:bCs/>
          <w:sz w:val="24"/>
          <w:szCs w:val="24"/>
        </w:rPr>
        <w:t xml:space="preserve">Phase 1B — Estimasi subruang aktivasi tugas saat ini:</w:t>
      </w:r>
      <w:r>
        <w:rPr>
          <w:rFonts w:ascii="Times New Roman" w:cs="Times New Roman" w:eastAsia="Times New Roman" w:hAnsi="Times New Roman"/>
          <w:sz w:val="24"/>
          <w:szCs w:val="24"/>
        </w:rPr>
        <w:t xml:space="preserve"/>
      </w:r>
    </w:p>
    <w:p>
      <w:pPr>
        <w:pStyle w:val="ListParagraph"/>
        <w:numPr>
          <w:ilvl w:val="0"/>
          <w:numId w:val="2"/>
        </w:numPr>
        <w:spacing w:before="40" w:after="40" w:line="320"/>
      </w:pPr>
      <w:r>
        <w:rPr>
          <w:rFonts w:ascii="Times New Roman" w:cs="Times New Roman" w:eastAsia="Times New Roman" w:hAnsi="Times New Roman"/>
          <w:sz w:val="24"/>
          <w:szCs w:val="24"/>
        </w:rPr>
        <w:t xml:space="preserve">Sampel B_sub batch dari D_t, lakukan forward pass, ekstrak output layer terakhir encoder T5-Large sebelum LoRA head: h_b ∈ R^{B_sub × d_hidden}.</w:t>
      </w:r>
    </w:p>
    <w:p>
      <w:pPr>
        <w:pStyle w:val="ListParagraph"/>
        <w:numPr>
          <w:ilvl w:val="0"/>
          <w:numId w:val="2"/>
        </w:numPr>
        <w:spacing w:before="40" w:after="40" w:line="320"/>
      </w:pPr>
      <w:r>
        <w:rPr>
          <w:rFonts w:ascii="Times New Roman" w:cs="Times New Roman" w:eastAsia="Times New Roman" w:hAnsi="Times New Roman"/>
          <w:sz w:val="24"/>
          <w:szCs w:val="24"/>
        </w:rPr>
        <w:t xml:space="preserve">Susun H ∈ R^{(B_sub × seq_len) × d_hidden}, lakukan truncated SVD: H = UΣV^T.</w:t>
      </w:r>
    </w:p>
    <w:p>
      <w:pPr>
        <w:pStyle w:val="ListParagraph"/>
        <w:numPr>
          <w:ilvl w:val="0"/>
          <w:numId w:val="2"/>
        </w:numPr>
        <w:spacing w:before="40" w:after="40" w:line="320"/>
      </w:pPr>
      <w:r>
        <w:rPr>
          <w:rFonts w:ascii="Times New Roman" w:cs="Times New Roman" w:eastAsia="Times New Roman" w:hAnsi="Times New Roman"/>
          <w:sz w:val="24"/>
          <w:szCs w:val="24"/>
        </w:rPr>
        <w:t xml:space="preserve">Proyeksi matrix: P_H = V_k V_k^T (di feature space).</w:t>
      </w:r>
    </w:p>
    <w:p>
      <w:pPr>
        <w:spacing w:before="60" w:after="60" w:line="360"/>
        <w:ind w:firstLine="720"/>
        <w:jc w:val="both"/>
      </w:pPr>
      <w:r>
        <w:rPr>
          <w:rFonts w:ascii="Times New Roman" w:cs="Times New Roman" w:eastAsia="Times New Roman" w:hAnsi="Times New Roman"/>
          <w:b/>
          <w:bCs/>
          <w:sz w:val="24"/>
          <w:szCs w:val="24"/>
        </w:rPr>
        <w:t xml:space="preserve">Phase 2B — Scoring:</w:t>
      </w:r>
      <w:r>
        <w:rPr>
          <w:rFonts w:ascii="Times New Roman" w:cs="Times New Roman" w:eastAsia="Times New Roman" w:hAnsi="Times New Roman"/>
          <w:sz w:val="24"/>
          <w:szCs w:val="24"/>
        </w:rPr>
        <w:t xml:space="preserve"/>
      </w:r>
    </w:p>
    <w:p>
      <w:pPr>
        <w:spacing w:before="120" w:after="120" w:line="280"/>
        <w:jc w:val="center"/>
      </w:pPr>
      <w:r>
        <w:rPr>
          <w:rFonts w:ascii="Courier New" w:cs="Courier New" w:eastAsia="Courier New" w:hAnsi="Courier New"/>
          <w:sz w:val="24"/>
          <w:szCs w:val="24"/>
        </w:rPr>
        <w:t xml:space="preserve">score_OFeat(z) = ||h(z) − P_H · h(z)||_2 = ||h(z)_⊥||_2</w:t>
      </w:r>
    </w:p>
    <w:p>
      <w:pPr>
        <w:spacing w:before="60" w:after="60" w:line="360"/>
        <w:ind w:firstLine="720"/>
        <w:jc w:val="both"/>
      </w:pPr>
      <w:r>
        <w:rPr>
          <w:rFonts w:ascii="Times New Roman" w:cs="Times New Roman" w:eastAsia="Times New Roman" w:hAnsi="Times New Roman"/>
          <w:sz w:val="24"/>
          <w:szCs w:val="24"/>
        </w:rPr>
        <w:t xml:space="preserve">di mana h(z) adalah representasi fitur sampel z (mean pooling atas token). Hyperparameter: k sama dengan O-Grad, sehingga ablasi dapat dibandingkan langsung. Biaya komputasi: SVD sekali per tugas + 1 forward pass per kandidat sampel (jauh lebih hemat dari O-Grad).</w:t>
      </w:r>
    </w:p>
    <w:p>
      <w:pPr>
        <w:pStyle w:val="Heading3"/>
        <w:spacing w:before="200" w:after="60"/>
      </w:pPr>
      <w:r>
        <w:rPr>
          <w:rFonts w:ascii="Times New Roman" w:cs="Times New Roman" w:eastAsia="Times New Roman" w:hAnsi="Times New Roman"/>
          <w:b/>
          <w:bCs/>
          <w:i/>
          <w:iCs/>
          <w:sz w:val="24"/>
          <w:szCs w:val="24"/>
        </w:rPr>
        <w:t xml:space="preserve">3.2.4 Metode 3: O-Conflict — Gradient Conflict Score</w:t>
      </w:r>
    </w:p>
    <w:p>
      <w:pPr>
        <w:spacing w:before="60" w:after="60" w:line="360"/>
        <w:ind w:firstLine="720"/>
        <w:jc w:val="both"/>
      </w:pPr>
      <w:r>
        <w:rPr>
          <w:rFonts w:ascii="Times New Roman" w:cs="Times New Roman" w:eastAsia="Times New Roman" w:hAnsi="Times New Roman"/>
          <w:sz w:val="24"/>
          <w:szCs w:val="24"/>
        </w:rPr>
        <w:t xml:space="preserve">O-Conflict mengukur seberapa besar konflik arah antara gradien sampel dengan gradien rata-rata tugas saat ini, tanpa memerlukan estimasi subruang via SVD.</w:t>
      </w:r>
    </w:p>
    <w:p>
      <w:pPr>
        <w:spacing w:before="60" w:after="60" w:line="360"/>
        <w:ind w:firstLine="720"/>
        <w:jc w:val="both"/>
      </w:pPr>
      <w:r>
        <w:rPr>
          <w:rFonts w:ascii="Times New Roman" w:cs="Times New Roman" w:eastAsia="Times New Roman" w:hAnsi="Times New Roman"/>
          <w:b/>
          <w:bCs/>
          <w:sz w:val="24"/>
          <w:szCs w:val="24"/>
        </w:rPr>
        <w:t xml:space="preserve">Phase 1C — Komputasi gradien referensi:</w:t>
      </w:r>
      <w:r>
        <w:rPr>
          <w:rFonts w:ascii="Times New Roman" w:cs="Times New Roman" w:eastAsia="Times New Roman" w:hAnsi="Times New Roman"/>
          <w:sz w:val="24"/>
          <w:szCs w:val="24"/>
        </w:rPr>
        <w:t xml:space="preserve"/>
      </w:r>
    </w:p>
    <w:p>
      <w:pPr>
        <w:pStyle w:val="ListParagraph"/>
        <w:numPr>
          <w:ilvl w:val="0"/>
          <w:numId w:val="2"/>
        </w:numPr>
        <w:spacing w:before="40" w:after="40" w:line="320"/>
      </w:pPr>
      <w:r>
        <w:rPr>
          <w:rFonts w:ascii="Times New Roman" w:cs="Times New Roman" w:eastAsia="Times New Roman" w:hAnsi="Times New Roman"/>
          <w:sz w:val="24"/>
          <w:szCs w:val="24"/>
        </w:rPr>
        <w:t xml:space="preserve">Hitung gradien rata-rata tugas saat ini: g_ref = (1/B_sub) Σ_b ∇_θ_fast L_CE(θ_fast; batch_b).</w:t>
      </w:r>
    </w:p>
    <w:p>
      <w:pPr>
        <w:pStyle w:val="ListParagraph"/>
        <w:numPr>
          <w:ilvl w:val="0"/>
          <w:numId w:val="2"/>
        </w:numPr>
        <w:spacing w:before="40" w:after="40" w:line="320"/>
      </w:pPr>
      <w:r>
        <w:rPr>
          <w:rFonts w:ascii="Times New Roman" w:cs="Times New Roman" w:eastAsia="Times New Roman" w:hAnsi="Times New Roman"/>
          <w:sz w:val="24"/>
          <w:szCs w:val="24"/>
        </w:rPr>
        <w:t xml:space="preserve">Tidak perlu SVD — g_ref adalah satu vektor dalam parameter space.</w:t>
      </w:r>
    </w:p>
    <w:p>
      <w:pPr>
        <w:spacing w:before="60" w:after="60" w:line="360"/>
        <w:ind w:firstLine="720"/>
        <w:jc w:val="both"/>
      </w:pPr>
      <w:r>
        <w:rPr>
          <w:rFonts w:ascii="Times New Roman" w:cs="Times New Roman" w:eastAsia="Times New Roman" w:hAnsi="Times New Roman"/>
          <w:b/>
          <w:bCs/>
          <w:sz w:val="24"/>
          <w:szCs w:val="24"/>
        </w:rPr>
        <w:t xml:space="preserve">Phase 2C — Scoring:</w:t>
      </w:r>
      <w:r>
        <w:rPr>
          <w:rFonts w:ascii="Times New Roman" w:cs="Times New Roman" w:eastAsia="Times New Roman" w:hAnsi="Times New Roman"/>
          <w:sz w:val="24"/>
          <w:szCs w:val="24"/>
        </w:rPr>
        <w:t xml:space="preserve"/>
      </w:r>
    </w:p>
    <w:p>
      <w:pPr>
        <w:spacing w:before="120" w:after="120" w:line="280"/>
        <w:jc w:val="center"/>
      </w:pPr>
      <w:r>
        <w:rPr>
          <w:rFonts w:ascii="Courier New" w:cs="Courier New" w:eastAsia="Courier New" w:hAnsi="Courier New"/>
          <w:sz w:val="24"/>
          <w:szCs w:val="24"/>
        </w:rPr>
        <w:t xml:space="preserve">score_OConflict(z) = -cos(g(z), g_ref) = -(g(z)·g_ref) / (||g(z)|| · ||g_ref||)</w:t>
      </w:r>
    </w:p>
    <w:p>
      <w:pPr>
        <w:spacing w:before="60" w:after="60" w:line="360"/>
        <w:ind w:firstLine="720"/>
        <w:jc w:val="both"/>
      </w:pPr>
      <w:r>
        <w:rPr>
          <w:rFonts w:ascii="Times New Roman" w:cs="Times New Roman" w:eastAsia="Times New Roman" w:hAnsi="Times New Roman"/>
          <w:sz w:val="24"/>
          <w:szCs w:val="24"/>
        </w:rPr>
        <w:t xml:space="preserve">Sampel dengan skor tertinggi (cosine similarity paling negatif, artinya gradiennya paling berlawanan dengan tugas saat ini) diprioritaskan. Biaya komputasi: satu backward pass per kandidat untuk mendapatkan g(z), ditambah satu operasi cosine similarity — tidak ada SVD, sehingga lebih hemat dari O-Grad namun setara dalam hal backward pass.</w:t>
      </w:r>
    </w:p>
    <w:p>
      <w:pPr>
        <w:pStyle w:val="Heading3"/>
        <w:spacing w:before="200" w:after="60"/>
      </w:pPr>
      <w:r>
        <w:rPr>
          <w:rFonts w:ascii="Times New Roman" w:cs="Times New Roman" w:eastAsia="Times New Roman" w:hAnsi="Times New Roman"/>
          <w:b/>
          <w:bCs/>
          <w:i/>
          <w:iCs/>
          <w:sz w:val="24"/>
          <w:szCs w:val="24"/>
        </w:rPr>
        <w:t xml:space="preserve">3.2.5 Phase 3 dan 4: Training dan EMA (Identik untuk Semua Metode)</w:t>
      </w:r>
    </w:p>
    <w:p>
      <w:pPr>
        <w:spacing w:before="60" w:after="60" w:line="360"/>
        <w:ind w:firstLine="720"/>
        <w:jc w:val="both"/>
      </w:pPr>
      <w:r>
        <w:rPr>
          <w:rFonts w:ascii="Times New Roman" w:cs="Times New Roman" w:eastAsia="Times New Roman" w:hAnsi="Times New Roman"/>
          <w:sz w:val="24"/>
          <w:szCs w:val="24"/>
        </w:rPr>
        <w:t xml:space="preserve">Semua tiga metode menggunakan prosedur training dan konsolidasi yang identik dengan SuRe: fast LoRA dilatih pada B_mix = B_cur ∪ B_rep (rasio 1:2), diikuti EMA update θ_slow ← β·θ_slow + (1−β)·θ_fast dengan β = 0.995. Pada inferensi, hanya slow LoRA yang digunakan.</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3.3 Skenario Eksperimen</w:t>
      </w:r>
    </w:p>
    <w:p>
      <w:pPr>
        <w:pStyle w:val="Heading3"/>
        <w:spacing w:before="200" w:after="60"/>
      </w:pPr>
      <w:r>
        <w:rPr>
          <w:rFonts w:ascii="Times New Roman" w:cs="Times New Roman" w:eastAsia="Times New Roman" w:hAnsi="Times New Roman"/>
          <w:b/>
          <w:bCs/>
          <w:i/>
          <w:iCs/>
          <w:sz w:val="24"/>
          <w:szCs w:val="24"/>
        </w:rPr>
        <w:t xml:space="preserve">3.3.1 Dataset dan Benchmark</w:t>
      </w:r>
    </w:p>
    <w:p>
      <w:pPr>
        <w:spacing w:before="60" w:after="60" w:line="360"/>
        <w:ind w:firstLine="720"/>
        <w:jc w:val="both"/>
      </w:pPr>
      <w:r>
        <w:rPr>
          <w:rFonts w:ascii="Times New Roman" w:cs="Times New Roman" w:eastAsia="Times New Roman" w:hAnsi="Times New Roman"/>
          <w:b/>
          <w:bCs/>
          <w:sz w:val="24"/>
          <w:szCs w:val="24"/>
        </w:rPr>
        <w:t xml:space="preserve">Standard CL Benchmark (4 tugas): </w:t>
      </w:r>
      <w:r>
        <w:rPr>
          <w:rFonts w:ascii="Times New Roman" w:cs="Times New Roman" w:eastAsia="Times New Roman" w:hAnsi="Times New Roman"/>
          <w:sz w:val="24"/>
          <w:szCs w:val="24"/>
        </w:rPr>
        <w:t xml:space="preserve">AG News, Amazon Reviews, DBpedia, Yahoo Answers. 5.000 sampel training dan 500 sampel uji per tugas. 3 urutan tugas.</w:t>
      </w:r>
    </w:p>
    <w:p>
      <w:pPr>
        <w:spacing w:before="60" w:after="60" w:line="360"/>
        <w:ind w:firstLine="720"/>
        <w:jc w:val="both"/>
      </w:pPr>
      <w:r>
        <w:rPr>
          <w:rFonts w:ascii="Times New Roman" w:cs="Times New Roman" w:eastAsia="Times New Roman" w:hAnsi="Times New Roman"/>
          <w:b/>
          <w:bCs/>
          <w:sz w:val="24"/>
          <w:szCs w:val="24"/>
        </w:rPr>
        <w:t xml:space="preserve">Large Number of Tasks (LNT, 15 tugas): </w:t>
      </w:r>
      <w:r>
        <w:rPr>
          <w:rFonts w:ascii="Times New Roman" w:cs="Times New Roman" w:eastAsia="Times New Roman" w:hAnsi="Times New Roman"/>
          <w:sz w:val="24"/>
          <w:szCs w:val="24"/>
        </w:rPr>
        <w:t xml:space="preserve">4 dataset di atas + MNLI, QQP, RTE, SST-2, WiC, CB, COPA, BoolQ, MultiRC, IMDB, SST-2. 1.000 sampel training dan 500 uji per tugas. 3 urutan tugas.</w:t>
      </w:r>
    </w:p>
    <w:p>
      <w:pPr>
        <w:pStyle w:val="Heading3"/>
        <w:spacing w:before="200" w:after="60"/>
      </w:pPr>
      <w:r>
        <w:rPr>
          <w:rFonts w:ascii="Times New Roman" w:cs="Times New Roman" w:eastAsia="Times New Roman" w:hAnsi="Times New Roman"/>
          <w:b/>
          <w:bCs/>
          <w:i/>
          <w:iCs/>
          <w:sz w:val="24"/>
          <w:szCs w:val="24"/>
        </w:rPr>
        <w:t xml:space="preserve">3.3.2 Konfigurasi Pelatihan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26"/>
      </w:tblGrid>
      <w:tr>
        <w:tc>
          <w:tcPr>
            <w:tcW w:type="dxa" w:w="3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Hyperparameter</w:t>
            </w:r>
          </w:p>
        </w:tc>
        <w:tc>
          <w:tcPr>
            <w:tcW w:type="dxa" w:w="3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Nilai</w:t>
            </w:r>
          </w:p>
        </w:tc>
        <w:tc>
          <w:tcPr>
            <w:tcW w:type="dxa" w:w="2426"/>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Sumber</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Base model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T5-Large (770M)</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SuRe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LoRA rank / alpha</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8 / 32</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SuRe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Target modules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Q, V — semua attention layers</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SuRe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Learning rate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1e-3</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SuRe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Batch size (task / replay)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64 / 32</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SuRe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Replay ratio (default)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1:2</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SuRe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Buffer size (default)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 total dataset</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SuRe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EMA β (default)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0.995</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SuRe</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Subspace rank k (O-Grad, O-Feat)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10 (default)</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Penelitian ini</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Estimation batches (semua metode)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10 batch @ 64</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Penelitian ini</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Seeds × Urutan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 × 3 = 9 run per kondisi</w:t>
            </w:r>
          </w:p>
        </w:tc>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SuRe</w:t>
            </w:r>
          </w:p>
        </w:tc>
      </w:tr>
    </w:tbl>
    <w:p>
      <w:pPr>
        <w:spacing w:before="60" w:after="120"/>
        <w:jc w:val="center"/>
      </w:pPr>
      <w:r>
        <w:rPr>
          <w:rFonts w:ascii="Times New Roman" w:cs="Times New Roman" w:eastAsia="Times New Roman" w:hAnsi="Times New Roman"/>
          <w:i/>
          <w:iCs/>
          <w:sz w:val="22"/>
          <w:szCs w:val="22"/>
        </w:rPr>
        <w:t xml:space="preserve">Tabel 3.1. Konfigurasi hyperparameter eksperimen.</w:t>
      </w:r>
    </w:p>
    <w:p>
      <w:pPr>
        <w:pStyle w:val="Heading3"/>
        <w:spacing w:before="200" w:after="60"/>
      </w:pPr>
      <w:r>
        <w:rPr>
          <w:rFonts w:ascii="Times New Roman" w:cs="Times New Roman" w:eastAsia="Times New Roman" w:hAnsi="Times New Roman"/>
          <w:b/>
          <w:bCs/>
          <w:i/>
          <w:iCs/>
          <w:sz w:val="24"/>
          <w:szCs w:val="24"/>
        </w:rPr>
        <w:t xml:space="preserve">3.3.3 Metode yang Dibandingkan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300"/>
        <w:gridCol w:w="2626"/>
      </w:tblGrid>
      <w:tr>
        <w:tc>
          <w:tcPr>
            <w:tcW w:type="dxa" w:w="21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Metode</w:t>
            </w:r>
          </w:p>
        </w:tc>
        <w:tc>
          <w:tcPr>
            <w:tcW w:type="dxa" w:w="1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Seleksi</w:t>
            </w:r>
          </w:p>
        </w:tc>
        <w:tc>
          <w:tcPr>
            <w:tcW w:type="dxa" w:w="1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Arsitektur</w:t>
            </w:r>
          </w:p>
        </w:tc>
        <w:tc>
          <w:tcPr>
            <w:tcW w:type="dxa" w:w="13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Integrasi</w:t>
            </w:r>
          </w:p>
        </w:tc>
        <w:tc>
          <w:tcPr>
            <w:tcW w:type="dxa" w:w="2626"/>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Tujuan</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Sequential FT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Single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Lower bound</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MTL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Semua data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Single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Upper bound</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Reservoir Replay</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Acak</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Single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Baseline acak</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Slow Surprise (SuRe)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NLL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Single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EMA</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Baseline utama</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O-Grad Replay</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Grad. subspace orth.</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Single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M1 tanpa EMA</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Slow O-Grad (RQ1-M1)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Grad. subspace orth.</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Single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EMA</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Kontribusi inti M1</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O-Feat Replay</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Feat. subspace orth.</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Single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M2 tanpa EMA</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Slow O-Feat (RQ1-M2)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Feat. subspace orth.</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Single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EMA</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Kontribusi inti M2</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O-Conflict Replay</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Gradient conflict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Single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M3 tanpa EMA</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Slow O-Conflict (RQ1-M3)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Gradient conflict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Single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EMA</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Kontribusi inti M3</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O-LoRA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Orth.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Baseline arsitektur</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Triple Defense (RQ2)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Best(M1/M2/M3)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Orth. LoRA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EMA</w:t>
            </w:r>
          </w:p>
        </w:tc>
        <w:tc>
          <w:tcPr>
            <w:tcW w:type="dxa" w:w="2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Ekstensi penuh</w:t>
            </w:r>
          </w:p>
        </w:tc>
      </w:tr>
    </w:tbl>
    <w:p>
      <w:pPr>
        <w:spacing w:before="60" w:after="120"/>
        <w:jc w:val="center"/>
      </w:pPr>
      <w:r>
        <w:rPr>
          <w:rFonts w:ascii="Times New Roman" w:cs="Times New Roman" w:eastAsia="Times New Roman" w:hAnsi="Times New Roman"/>
          <w:i/>
          <w:iCs/>
          <w:sz w:val="22"/>
          <w:szCs w:val="22"/>
        </w:rPr>
        <w:t xml:space="preserve">Tabel 3.2. Konfigurasi metode yang dibandingkan.</w:t>
      </w:r>
    </w:p>
    <w:p>
      <w:pPr>
        <w:pStyle w:val="Heading3"/>
        <w:spacing w:before="200" w:after="60"/>
      </w:pPr>
      <w:r>
        <w:rPr>
          <w:rFonts w:ascii="Times New Roman" w:cs="Times New Roman" w:eastAsia="Times New Roman" w:hAnsi="Times New Roman"/>
          <w:b/>
          <w:bCs/>
          <w:i/>
          <w:iCs/>
          <w:sz w:val="24"/>
          <w:szCs w:val="24"/>
        </w:rPr>
        <w:t xml:space="preserve">3.3.4 Studi Ablasi</w:t>
      </w:r>
    </w:p>
    <w:p>
      <w:pPr>
        <w:spacing w:before="60" w:after="60" w:line="360"/>
        <w:ind w:firstLine="720"/>
        <w:jc w:val="both"/>
      </w:pPr>
      <w:r>
        <w:rPr>
          <w:rFonts w:ascii="Times New Roman" w:cs="Times New Roman" w:eastAsia="Times New Roman" w:hAnsi="Times New Roman"/>
          <w:b/>
          <w:bCs/>
          <w:sz w:val="24"/>
          <w:szCs w:val="24"/>
        </w:rPr>
        <w:t xml:space="preserve">Ablasi 1 — Perbandingan kriteria (utama): </w:t>
      </w:r>
      <w:r>
        <w:rPr>
          <w:rFonts w:ascii="Times New Roman" w:cs="Times New Roman" w:eastAsia="Times New Roman" w:hAnsi="Times New Roman"/>
          <w:sz w:val="24"/>
          <w:szCs w:val="24"/>
        </w:rPr>
        <w:t xml:space="preserve">Head-to-head antara Slow O-Grad, Slow O-Feat, Slow O-Conflict, dan Slow Surprise pada kedua benchmark.</w:t>
      </w:r>
    </w:p>
    <w:p>
      <w:pPr>
        <w:spacing w:before="60" w:after="60" w:line="360"/>
        <w:ind w:firstLine="720"/>
        <w:jc w:val="both"/>
      </w:pPr>
      <w:r>
        <w:rPr>
          <w:rFonts w:ascii="Times New Roman" w:cs="Times New Roman" w:eastAsia="Times New Roman" w:hAnsi="Times New Roman"/>
          <w:b/>
          <w:bCs/>
          <w:sz w:val="24"/>
          <w:szCs w:val="24"/>
        </w:rPr>
        <w:t xml:space="preserve">Ablasi 2 — Rank subruang k (O-Grad dan O-Feat): </w:t>
      </w:r>
      <w:r>
        <w:rPr>
          <w:rFonts w:ascii="Times New Roman" w:cs="Times New Roman" w:eastAsia="Times New Roman" w:hAnsi="Times New Roman"/>
          <w:sz w:val="24"/>
          <w:szCs w:val="24"/>
        </w:rPr>
        <w:t xml:space="preserve">k ∈ {5, 10, 20, 50}.</w:t>
      </w:r>
    </w:p>
    <w:p>
      <w:pPr>
        <w:spacing w:before="60" w:after="60" w:line="360"/>
        <w:ind w:firstLine="720"/>
        <w:jc w:val="both"/>
      </w:pPr>
      <w:r>
        <w:rPr>
          <w:rFonts w:ascii="Times New Roman" w:cs="Times New Roman" w:eastAsia="Times New Roman" w:hAnsi="Times New Roman"/>
          <w:b/>
          <w:bCs/>
          <w:sz w:val="24"/>
          <w:szCs w:val="24"/>
        </w:rPr>
        <w:t xml:space="preserve">Ablasi 3 — Ukuran buffer: </w:t>
      </w:r>
      <w:r>
        <w:rPr>
          <w:rFonts w:ascii="Times New Roman" w:cs="Times New Roman" w:eastAsia="Times New Roman" w:hAnsi="Times New Roman"/>
          <w:sz w:val="24"/>
          <w:szCs w:val="24"/>
        </w:rPr>
        <w:t xml:space="preserve">{150, 300, 500, 1500} sampel pada LNT.</w:t>
      </w:r>
    </w:p>
    <w:p>
      <w:pPr>
        <w:spacing w:before="60" w:after="60" w:line="360"/>
        <w:ind w:firstLine="720"/>
        <w:jc w:val="both"/>
      </w:pPr>
      <w:r>
        <w:rPr>
          <w:rFonts w:ascii="Times New Roman" w:cs="Times New Roman" w:eastAsia="Times New Roman" w:hAnsi="Times New Roman"/>
          <w:b/>
          <w:bCs/>
          <w:sz w:val="24"/>
          <w:szCs w:val="24"/>
        </w:rPr>
        <w:t xml:space="preserve">Ablasi 4 — Rasio replay: </w:t>
      </w:r>
      <w:r>
        <w:rPr>
          <w:rFonts w:ascii="Times New Roman" w:cs="Times New Roman" w:eastAsia="Times New Roman" w:hAnsi="Times New Roman"/>
          <w:sz w:val="24"/>
          <w:szCs w:val="24"/>
        </w:rPr>
        <w:t xml:space="preserve">{1:2, 1:4, 1:8, 1:16}.</w:t>
      </w:r>
    </w:p>
    <w:p>
      <w:pPr>
        <w:spacing w:before="60" w:after="60" w:line="360"/>
        <w:ind w:firstLine="720"/>
        <w:jc w:val="both"/>
      </w:pPr>
      <w:r>
        <w:rPr>
          <w:rFonts w:ascii="Times New Roman" w:cs="Times New Roman" w:eastAsia="Times New Roman" w:hAnsi="Times New Roman"/>
          <w:b/>
          <w:bCs/>
          <w:sz w:val="24"/>
          <w:szCs w:val="24"/>
        </w:rPr>
        <w:t xml:space="preserve">Ablasi 5 — EMA β: </w:t>
      </w:r>
      <w:r>
        <w:rPr>
          <w:rFonts w:ascii="Times New Roman" w:cs="Times New Roman" w:eastAsia="Times New Roman" w:hAnsi="Times New Roman"/>
          <w:sz w:val="24"/>
          <w:szCs w:val="24"/>
        </w:rPr>
        <w:t xml:space="preserve">{0.985, 0.99, 0.995, 0.999}.</w:t>
      </w:r>
    </w:p>
    <w:p>
      <w:pPr>
        <w:spacing w:before="60" w:after="60" w:line="360"/>
        <w:ind w:firstLine="720"/>
        <w:jc w:val="both"/>
      </w:pPr>
      <w:r>
        <w:rPr>
          <w:rFonts w:ascii="Times New Roman" w:cs="Times New Roman" w:eastAsia="Times New Roman" w:hAnsi="Times New Roman"/>
          <w:b/>
          <w:bCs/>
          <w:sz w:val="24"/>
          <w:szCs w:val="24"/>
        </w:rPr>
        <w:t xml:space="preserve">Ablasi 6 — Waktu buffer update: </w:t>
      </w:r>
      <w:r>
        <w:rPr>
          <w:rFonts w:ascii="Times New Roman" w:cs="Times New Roman" w:eastAsia="Times New Roman" w:hAnsi="Times New Roman"/>
          <w:sz w:val="24"/>
          <w:szCs w:val="24"/>
        </w:rPr>
        <w:t xml:space="preserve">Before vs. After training pada D_t (untuk ketiga metode).</w:t>
      </w:r>
    </w:p>
    <w:p>
      <w:pPr>
        <w:spacing w:before="60" w:after="60" w:line="360"/>
        <w:ind w:firstLine="720"/>
        <w:jc w:val="both"/>
      </w:pPr>
      <w:r>
        <w:rPr>
          <w:rFonts w:ascii="Times New Roman" w:cs="Times New Roman" w:eastAsia="Times New Roman" w:hAnsi="Times New Roman"/>
          <w:b/>
          <w:bCs/>
          <w:sz w:val="24"/>
          <w:szCs w:val="24"/>
        </w:rPr>
        <w:t xml:space="preserve">Ablasi 7 — Hybrid: </w:t>
      </w:r>
      <w:r>
        <w:rPr>
          <w:rFonts w:ascii="Times New Roman" w:cs="Times New Roman" w:eastAsia="Times New Roman" w:hAnsi="Times New Roman"/>
          <w:sz w:val="24"/>
          <w:szCs w:val="24"/>
        </w:rPr>
        <w:t xml:space="preserve">score(z) = α·score_ortho(z) + (1−α)·NLL(z), dengan α ∈ {0.0, 0.25, 0.5, 0.75, 1.0} untuk masing-masing kriteria ortogonal terbaik.</w:t>
      </w:r>
    </w:p>
    <w:p>
      <w:pPr>
        <w:spacing w:before="0" w:after="0" w:line="240"/>
      </w:pPr>
      <w:r>
        <w:rPr>
          <w:sz w:val="24"/>
          <w:szCs w:val="24"/>
        </w:rPr>
        <w:t xml:space="preserve"/>
      </w:r>
    </w:p>
    <w:p>
      <w:pPr>
        <w:pStyle w:val="Heading2"/>
        <w:spacing w:before="240" w:after="80"/>
      </w:pPr>
      <w:r>
        <w:rPr>
          <w:rFonts w:ascii="Times New Roman" w:cs="Times New Roman" w:eastAsia="Times New Roman" w:hAnsi="Times New Roman"/>
          <w:b/>
          <w:bCs/>
          <w:sz w:val="26"/>
          <w:szCs w:val="26"/>
        </w:rPr>
        <w:t xml:space="preserve">3.4 Metrik Evaluasi</w:t>
      </w:r>
    </w:p>
    <w:p>
      <w:pPr>
        <w:pStyle w:val="Heading3"/>
        <w:spacing w:before="200" w:after="60"/>
      </w:pPr>
      <w:r>
        <w:rPr>
          <w:rFonts w:ascii="Times New Roman" w:cs="Times New Roman" w:eastAsia="Times New Roman" w:hAnsi="Times New Roman"/>
          <w:b/>
          <w:bCs/>
          <w:i/>
          <w:iCs/>
          <w:sz w:val="24"/>
          <w:szCs w:val="24"/>
        </w:rPr>
        <w:t xml:space="preserve">3.4.1 Final Performance (FP)</w:t>
      </w:r>
    </w:p>
    <w:p>
      <w:pPr>
        <w:spacing w:before="60" w:after="60" w:line="360"/>
        <w:ind w:firstLine="720"/>
        <w:jc w:val="both"/>
      </w:pPr>
      <w:r>
        <w:rPr>
          <w:rFonts w:ascii="Times New Roman" w:cs="Times New Roman" w:eastAsia="Times New Roman" w:hAnsi="Times New Roman"/>
          <w:sz w:val="24"/>
          <w:szCs w:val="24"/>
        </w:rPr>
        <w:t xml:space="preserve">Final Performance (FP) adalah rata-rata akurasi pada semua tugas setelah pelatihan pada tugas terakhir: FP = (1/T) Σ_{i=1}^{T} a_{T,i}. FP merupakan metrik primer karena langsung mengukur keseimbangan stabilitas-plastisitas setelah urutan pembelajaran selesai.</w:t>
      </w:r>
    </w:p>
    <w:p>
      <w:pPr>
        <w:pStyle w:val="Heading3"/>
        <w:spacing w:before="200" w:after="60"/>
      </w:pPr>
      <w:r>
        <w:rPr>
          <w:rFonts w:ascii="Times New Roman" w:cs="Times New Roman" w:eastAsia="Times New Roman" w:hAnsi="Times New Roman"/>
          <w:b/>
          <w:bCs/>
          <w:i/>
          <w:iCs/>
          <w:sz w:val="24"/>
          <w:szCs w:val="24"/>
        </w:rPr>
        <w:t xml:space="preserve">3.4.2 Average Performance (AP)</w:t>
      </w:r>
    </w:p>
    <w:p>
      <w:pPr>
        <w:spacing w:before="60" w:after="60" w:line="360"/>
        <w:ind w:firstLine="720"/>
        <w:jc w:val="both"/>
      </w:pPr>
      <w:r>
        <w:rPr>
          <w:rFonts w:ascii="Times New Roman" w:cs="Times New Roman" w:eastAsia="Times New Roman" w:hAnsi="Times New Roman"/>
          <w:sz w:val="24"/>
          <w:szCs w:val="24"/>
        </w:rPr>
        <w:t xml:space="preserve">Average Performance (AP) = (1/T) Σ_{t=1}^{T} (1/t) Σ_{i=1}^{t} a_{t,i}. AP mengukur kualitas pembelajaran sepanjang urutan, sensitif terhadap forgetting di tengah sekuens.</w:t>
      </w:r>
    </w:p>
    <w:p>
      <w:pPr>
        <w:pStyle w:val="Heading3"/>
        <w:spacing w:before="200" w:after="60"/>
      </w:pPr>
      <w:r>
        <w:rPr>
          <w:rFonts w:ascii="Times New Roman" w:cs="Times New Roman" w:eastAsia="Times New Roman" w:hAnsi="Times New Roman"/>
          <w:b/>
          <w:bCs/>
          <w:i/>
          <w:iCs/>
          <w:sz w:val="24"/>
          <w:szCs w:val="24"/>
        </w:rPr>
        <w:t xml:space="preserve">3.4.3 Forgetting (F)</w:t>
      </w:r>
    </w:p>
    <w:p>
      <w:pPr>
        <w:spacing w:before="60" w:after="60" w:line="360"/>
        <w:ind w:firstLine="720"/>
        <w:jc w:val="both"/>
      </w:pPr>
      <w:r>
        <w:rPr>
          <w:rFonts w:ascii="Times New Roman" w:cs="Times New Roman" w:eastAsia="Times New Roman" w:hAnsi="Times New Roman"/>
          <w:sz w:val="24"/>
          <w:szCs w:val="24"/>
        </w:rPr>
        <w:t xml:space="preserve">F = AP − FP. Nilai lebih rendah (mendekati atau di bawah nol) menunjukkan forgetting minimal. F negatif mengindikasikan backward transfer positif.</w:t>
      </w:r>
    </w:p>
    <w:p>
      <w:pPr>
        <w:pStyle w:val="Heading3"/>
        <w:spacing w:before="200" w:after="60"/>
      </w:pPr>
      <w:r>
        <w:rPr>
          <w:rFonts w:ascii="Times New Roman" w:cs="Times New Roman" w:eastAsia="Times New Roman" w:hAnsi="Times New Roman"/>
          <w:b/>
          <w:bCs/>
          <w:i/>
          <w:iCs/>
          <w:sz w:val="24"/>
          <w:szCs w:val="24"/>
        </w:rPr>
        <w:t xml:space="preserve">3.4.4 Overhead Komputasi</w:t>
      </w:r>
    </w:p>
    <w:p>
      <w:pPr>
        <w:spacing w:before="60" w:after="60" w:line="360"/>
        <w:ind w:firstLine="720"/>
        <w:jc w:val="both"/>
      </w:pPr>
      <w:r>
        <w:rPr>
          <w:rFonts w:ascii="Times New Roman" w:cs="Times New Roman" w:eastAsia="Times New Roman" w:hAnsi="Times New Roman"/>
          <w:sz w:val="24"/>
          <w:szCs w:val="24"/>
        </w:rPr>
        <w:t xml:space="preserve">Wall-clock time untuk buffer update (Phase 1 + Phase 2) dibandingkan antar-ketiga metode dan vs. baseline SuRe. Metrik ini kritis untuk mengevaluasi apakah keunggulan performa O-Grad (yang paling mahal) sepadan dibandingkan O-Feat (yang hanya butuh forward pass) atau O-Conflict (tanpa SVD).</w:t>
      </w:r>
    </w:p>
    <w:p>
      <w:pPr>
        <w:pStyle w:val="Heading3"/>
        <w:spacing w:before="200" w:after="60"/>
      </w:pPr>
      <w:r>
        <w:rPr>
          <w:rFonts w:ascii="Times New Roman" w:cs="Times New Roman" w:eastAsia="Times New Roman" w:hAnsi="Times New Roman"/>
          <w:b/>
          <w:bCs/>
          <w:i/>
          <w:iCs/>
          <w:sz w:val="24"/>
          <w:szCs w:val="24"/>
        </w:rPr>
        <w:t xml:space="preserve">3.4.5 Analisis Komposisi Buffer</w:t>
      </w:r>
    </w:p>
    <w:p>
      <w:pPr>
        <w:spacing w:before="60" w:after="60" w:line="360"/>
        <w:ind w:firstLine="720"/>
        <w:jc w:val="both"/>
      </w:pPr>
      <w:r>
        <w:rPr>
          <w:rFonts w:ascii="Times New Roman" w:cs="Times New Roman" w:eastAsia="Times New Roman" w:hAnsi="Times New Roman"/>
          <w:sz w:val="24"/>
          <w:szCs w:val="24"/>
        </w:rPr>
        <w:t xml:space="preserve">Distribusi per-kelas dan per-tugas dari sampel yang dipilih oleh masing-masing kriteria akan dianalisis untuk memahami secara kualitatif mengapa satu kriteria lebih efektif dari yang lain. Hipotesis: O-Grad dan O-Feat akan menghasilkan distribusi yang lebih merata antar-tugas, sementara O-Conflict berpotensi over-represent tugas dengan distribusi gradien yang paling berbeda.</w:t>
      </w:r>
    </w:p>
    <w:p>
      <w:pPr>
        <w:pStyle w:val="Heading3"/>
        <w:spacing w:before="200" w:after="60"/>
      </w:pPr>
      <w:r>
        <w:rPr>
          <w:rFonts w:ascii="Times New Roman" w:cs="Times New Roman" w:eastAsia="Times New Roman" w:hAnsi="Times New Roman"/>
          <w:b/>
          <w:bCs/>
          <w:i/>
          <w:iCs/>
          <w:sz w:val="24"/>
          <w:szCs w:val="24"/>
        </w:rPr>
        <w:t xml:space="preserve">3.4.6 Prosedur Statistik</w:t>
      </w:r>
    </w:p>
    <w:p>
      <w:pPr>
        <w:spacing w:before="60" w:after="60" w:line="360"/>
        <w:ind w:firstLine="720"/>
        <w:jc w:val="both"/>
      </w:pPr>
      <w:r>
        <w:rPr>
          <w:rFonts w:ascii="Times New Roman" w:cs="Times New Roman" w:eastAsia="Times New Roman" w:hAnsi="Times New Roman"/>
          <w:sz w:val="24"/>
          <w:szCs w:val="24"/>
        </w:rPr>
        <w:t xml:space="preserve">Setiap kondisi: 3 seeds × 3 urutan = 9 run. Pelaporan: rata-rata ± std. Uji signifikansi: paired t-test dua arah (α = 0.05) dengan Bonferroni correction untuk perbandingan multipel. Confidence interval 95% dilaporkan untuk semua metrik utama.</w:t>
      </w:r>
    </w:p>
    <w:p>
      <w:r>
        <w:br w:type="page"/>
      </w:r>
    </w:p>
    <w:p>
      <w:pPr>
        <w:pStyle w:val="Heading1"/>
        <w:spacing w:before="360" w:after="120"/>
      </w:pPr>
      <w:r>
        <w:rPr>
          <w:rFonts w:ascii="Times New Roman" w:cs="Times New Roman" w:eastAsia="Times New Roman" w:hAnsi="Times New Roman"/>
          <w:b/>
          <w:bCs/>
          <w:sz w:val="28"/>
          <w:szCs w:val="28"/>
        </w:rPr>
        <w:t xml:space="preserve">DAFTAR PUSTAKA</w:t>
      </w:r>
    </w:p>
    <w:p>
      <w:pPr>
        <w:spacing w:before="60" w:after="60" w:line="360"/>
        <w:jc w:val="both"/>
      </w:pPr>
      <w:r>
        <w:rPr>
          <w:rFonts w:ascii="Times New Roman" w:cs="Times New Roman" w:eastAsia="Times New Roman" w:hAnsi="Times New Roman"/>
          <w:sz w:val="24"/>
          <w:szCs w:val="24"/>
        </w:rPr>
        <w:t xml:space="preserve">Aljundi, R., Belilovsky, E., Tuytelaars, T., Charlin, L., Caccia, M., Lin, M., &amp; Page-Caccia, L. (2019). Online continual learning with maximally interfered retrieval. Advances in Neural Information Processing Systems, 32.</w:t>
      </w:r>
    </w:p>
    <w:p>
      <w:pPr>
        <w:spacing w:before="60" w:after="60" w:line="360"/>
        <w:jc w:val="both"/>
      </w:pPr>
      <w:r>
        <w:rPr>
          <w:rFonts w:ascii="Times New Roman" w:cs="Times New Roman" w:eastAsia="Times New Roman" w:hAnsi="Times New Roman"/>
          <w:sz w:val="24"/>
          <w:szCs w:val="24"/>
        </w:rPr>
        <w:t xml:space="preserve">Aljundi, R., Lin, M., Goujaud, B., &amp; Bengio, Y. (2019). Gradient based sample selection for online continual learning. Advances in Neural Information Processing Systems, 32.</w:t>
      </w:r>
    </w:p>
    <w:p>
      <w:pPr>
        <w:spacing w:before="60" w:after="60" w:line="360"/>
        <w:jc w:val="both"/>
      </w:pPr>
      <w:r>
        <w:rPr>
          <w:rFonts w:ascii="Times New Roman" w:cs="Times New Roman" w:eastAsia="Times New Roman" w:hAnsi="Times New Roman"/>
          <w:sz w:val="24"/>
          <w:szCs w:val="24"/>
        </w:rPr>
        <w:t xml:space="preserve">Arani, E., Sarfraz, F., &amp; Zonooz, B. (2022). Learning fast, learning slow: A general continual learning method based on complementary learning system. International Conference on Learning Representations.</w:t>
      </w:r>
    </w:p>
    <w:p>
      <w:pPr>
        <w:spacing w:before="60" w:after="60" w:line="360"/>
        <w:jc w:val="both"/>
      </w:pPr>
      <w:r>
        <w:rPr>
          <w:rFonts w:ascii="Times New Roman" w:cs="Times New Roman" w:eastAsia="Times New Roman" w:hAnsi="Times New Roman"/>
          <w:sz w:val="24"/>
          <w:szCs w:val="24"/>
        </w:rPr>
        <w:t xml:space="preserve">Buzzega, P., Boschini, M., Porrello, A., Abati, D., &amp; Calderara, S. (2020). Dark experience for general continual learning: A strong, simple baseline. Advances in Neural Information Processing Systems, 33, 15920–15930.</w:t>
      </w:r>
    </w:p>
    <w:p>
      <w:pPr>
        <w:spacing w:before="60" w:after="60" w:line="360"/>
        <w:jc w:val="both"/>
      </w:pPr>
      <w:r>
        <w:rPr>
          <w:rFonts w:ascii="Times New Roman" w:cs="Times New Roman" w:eastAsia="Times New Roman" w:hAnsi="Times New Roman"/>
          <w:sz w:val="24"/>
          <w:szCs w:val="24"/>
        </w:rPr>
        <w:t xml:space="preserve">Chaudhry, A., Ranzato, M. A., Rohrbach, M., &amp; Elhoseiny, M. (2019). Efficient lifelong learning with A-GEM. International Conference on Learning Representations.</w:t>
      </w:r>
    </w:p>
    <w:p>
      <w:pPr>
        <w:spacing w:before="60" w:after="60" w:line="360"/>
        <w:jc w:val="both"/>
      </w:pPr>
      <w:r>
        <w:rPr>
          <w:rFonts w:ascii="Times New Roman" w:cs="Times New Roman" w:eastAsia="Times New Roman" w:hAnsi="Times New Roman"/>
          <w:sz w:val="24"/>
          <w:szCs w:val="24"/>
        </w:rPr>
        <w:t xml:space="preserve">Farajtabar, M., Azizan, N., Mott, A., &amp; Li, A. (2020). Orthogonal gradient descent for continual learning. International Conference on Artificial Intelligence and Statistics, 3762–3773.</w:t>
      </w:r>
    </w:p>
    <w:p>
      <w:pPr>
        <w:spacing w:before="60" w:after="60" w:line="360"/>
        <w:jc w:val="both"/>
      </w:pPr>
      <w:r>
        <w:rPr>
          <w:rFonts w:ascii="Times New Roman" w:cs="Times New Roman" w:eastAsia="Times New Roman" w:hAnsi="Times New Roman"/>
          <w:sz w:val="24"/>
          <w:szCs w:val="24"/>
        </w:rPr>
        <w:t xml:space="preserve">Grill, J. B., et al. (2020). Bootstrap your own latent — a new approach to self-supervised learning. Advances in Neural Information Processing Systems, 33, 21271–21284.</w:t>
      </w:r>
    </w:p>
    <w:p>
      <w:pPr>
        <w:spacing w:before="60" w:after="60" w:line="360"/>
        <w:jc w:val="both"/>
      </w:pPr>
      <w:r>
        <w:rPr>
          <w:rFonts w:ascii="Times New Roman" w:cs="Times New Roman" w:eastAsia="Times New Roman" w:hAnsi="Times New Roman"/>
          <w:sz w:val="24"/>
          <w:szCs w:val="24"/>
        </w:rPr>
        <w:t xml:space="preserve">Hazard, T., Tonolini, F., Ek, C. H., &amp; Kim, J. (2025). SuRe: Surprise-driven prioritised replay for continual LLM learning. arXiv preprint arXiv:2511.22367.</w:t>
      </w:r>
    </w:p>
    <w:p>
      <w:pPr>
        <w:spacing w:before="60" w:after="60" w:line="360"/>
        <w:jc w:val="both"/>
      </w:pPr>
      <w:r>
        <w:rPr>
          <w:rFonts w:ascii="Times New Roman" w:cs="Times New Roman" w:eastAsia="Times New Roman" w:hAnsi="Times New Roman"/>
          <w:sz w:val="24"/>
          <w:szCs w:val="24"/>
        </w:rPr>
        <w:t xml:space="preserve">Hu, E. J., Shen, Y., Wallis, P., Allen-Zhu, Z., Li, Y., Wang, S., ... &amp; Chen, W. (2022). LoRA: Low-rank adaptation of large language models. International Conference on Learning Representations.</w:t>
      </w:r>
    </w:p>
    <w:p>
      <w:pPr>
        <w:spacing w:before="60" w:after="60" w:line="360"/>
        <w:jc w:val="both"/>
      </w:pPr>
      <w:r>
        <w:rPr>
          <w:rFonts w:ascii="Times New Roman" w:cs="Times New Roman" w:eastAsia="Times New Roman" w:hAnsi="Times New Roman"/>
          <w:sz w:val="24"/>
          <w:szCs w:val="24"/>
        </w:rPr>
        <w:t xml:space="preserve">Liang, Y., &amp; Li, H. (2024). InfLoRA: Interference-free low-rank adaptation for continual learning. Proceedings of the IEEE/CVF Conference on Computer Vision and Pattern Recognition.</w:t>
      </w:r>
    </w:p>
    <w:p>
      <w:pPr>
        <w:spacing w:before="60" w:after="60" w:line="360"/>
        <w:jc w:val="both"/>
      </w:pPr>
      <w:r>
        <w:rPr>
          <w:rFonts w:ascii="Times New Roman" w:cs="Times New Roman" w:eastAsia="Times New Roman" w:hAnsi="Times New Roman"/>
          <w:sz w:val="24"/>
          <w:szCs w:val="24"/>
        </w:rPr>
        <w:t xml:space="preserve">Lin, S., Yang, L., Fan, D., &amp; Zhang, J. (2022). TRGP: Trust region gradient projection for continual learning. International Conference on Learning Representations.</w:t>
      </w:r>
    </w:p>
    <w:p>
      <w:pPr>
        <w:spacing w:before="60" w:after="60" w:line="360"/>
        <w:jc w:val="both"/>
      </w:pPr>
      <w:r>
        <w:rPr>
          <w:rFonts w:ascii="Times New Roman" w:cs="Times New Roman" w:eastAsia="Times New Roman" w:hAnsi="Times New Roman"/>
          <w:sz w:val="24"/>
          <w:szCs w:val="24"/>
        </w:rPr>
        <w:t xml:space="preserve">Liu, B., Liu, X., Jin, X., Stone, P., &amp; Liu, Q. (2021). Conflict-averse gradient descent for multi-task learning. Advances in Neural Information Processing Systems, 34, 18878–18890.</w:t>
      </w:r>
    </w:p>
    <w:p>
      <w:pPr>
        <w:spacing w:before="60" w:after="60" w:line="360"/>
        <w:jc w:val="both"/>
      </w:pPr>
      <w:r>
        <w:rPr>
          <w:rFonts w:ascii="Times New Roman" w:cs="Times New Roman" w:eastAsia="Times New Roman" w:hAnsi="Times New Roman"/>
          <w:sz w:val="24"/>
          <w:szCs w:val="24"/>
        </w:rPr>
        <w:t xml:space="preserve">Lopez-Paz, D., &amp; Ranzato, M. A. (2017). Gradient episodic memory for continual learning. Advances in Neural Information Processing Systems, 30.</w:t>
      </w:r>
    </w:p>
    <w:p>
      <w:pPr>
        <w:spacing w:before="60" w:after="60" w:line="360"/>
        <w:jc w:val="both"/>
      </w:pPr>
      <w:r>
        <w:rPr>
          <w:rFonts w:ascii="Times New Roman" w:cs="Times New Roman" w:eastAsia="Times New Roman" w:hAnsi="Times New Roman"/>
          <w:sz w:val="24"/>
          <w:szCs w:val="24"/>
        </w:rPr>
        <w:t xml:space="preserve">McCloskey, M., &amp; Cohen, N. J. (1989). Catastrophic interference in connectionist networks: The sequential learning problem. Psychology of Learning and Motivation, 24, 109–165.</w:t>
      </w:r>
    </w:p>
    <w:p>
      <w:pPr>
        <w:spacing w:before="60" w:after="60" w:line="360"/>
        <w:jc w:val="both"/>
      </w:pPr>
      <w:r>
        <w:rPr>
          <w:rFonts w:ascii="Times New Roman" w:cs="Times New Roman" w:eastAsia="Times New Roman" w:hAnsi="Times New Roman"/>
          <w:sz w:val="24"/>
          <w:szCs w:val="24"/>
        </w:rPr>
        <w:t xml:space="preserve">Michel, N., et al. (2024). Rethinking momentum knowledge distillation in online continual learning. Proceedings of the AAAI Conference on Artificial Intelligence.</w:t>
      </w:r>
    </w:p>
    <w:p>
      <w:pPr>
        <w:spacing w:before="60" w:after="60" w:line="360"/>
        <w:jc w:val="both"/>
      </w:pPr>
      <w:r>
        <w:rPr>
          <w:rFonts w:ascii="Times New Roman" w:cs="Times New Roman" w:eastAsia="Times New Roman" w:hAnsi="Times New Roman"/>
          <w:sz w:val="24"/>
          <w:szCs w:val="24"/>
        </w:rPr>
        <w:t xml:space="preserve">Ratcliff, R. (1990). Connectionist models of recognition memory: Constraints imposed by learning and forgetting functions. Psychological Review, 97(2), 285–308.</w:t>
      </w:r>
    </w:p>
    <w:p>
      <w:pPr>
        <w:spacing w:before="60" w:after="60" w:line="360"/>
        <w:jc w:val="both"/>
      </w:pPr>
      <w:r>
        <w:rPr>
          <w:rFonts w:ascii="Times New Roman" w:cs="Times New Roman" w:eastAsia="Times New Roman" w:hAnsi="Times New Roman"/>
          <w:sz w:val="24"/>
          <w:szCs w:val="24"/>
        </w:rPr>
        <w:t xml:space="preserve">Rebuffi, S. A., Kolesnikov, A., Sperl, G., &amp; Lampert, C. H. (2017). iCaRL: Incremental classifier and representation learning. Proceedings of the IEEE Conference on Computer Vision and Pattern Recognition, 2001–2010.</w:t>
      </w:r>
    </w:p>
    <w:p>
      <w:pPr>
        <w:spacing w:before="60" w:after="60" w:line="360"/>
        <w:jc w:val="both"/>
      </w:pPr>
      <w:r>
        <w:rPr>
          <w:rFonts w:ascii="Times New Roman" w:cs="Times New Roman" w:eastAsia="Times New Roman" w:hAnsi="Times New Roman"/>
          <w:sz w:val="24"/>
          <w:szCs w:val="24"/>
        </w:rPr>
        <w:t xml:space="preserve">Saha, G., Garg, I., &amp; Roy, K. (2021). Gradient projection memory for continual learning. International Conference on Learning Representations.</w:t>
      </w:r>
    </w:p>
    <w:p>
      <w:pPr>
        <w:spacing w:before="60" w:after="60" w:line="360"/>
        <w:jc w:val="both"/>
      </w:pPr>
      <w:r>
        <w:rPr>
          <w:rFonts w:ascii="Times New Roman" w:cs="Times New Roman" w:eastAsia="Times New Roman" w:hAnsi="Times New Roman"/>
          <w:sz w:val="24"/>
          <w:szCs w:val="24"/>
        </w:rPr>
        <w:t xml:space="preserve">Saha, G., &amp; Roy, K. (2023). Continual learning with scaled gradient projection. Proceedings of the AAAI Conference on Artificial Intelligence, 37(8), 9677–9685.</w:t>
      </w:r>
    </w:p>
    <w:p>
      <w:pPr>
        <w:spacing w:before="60" w:after="60" w:line="360"/>
        <w:jc w:val="both"/>
      </w:pPr>
      <w:r>
        <w:rPr>
          <w:rFonts w:ascii="Times New Roman" w:cs="Times New Roman" w:eastAsia="Times New Roman" w:hAnsi="Times New Roman"/>
          <w:sz w:val="24"/>
          <w:szCs w:val="24"/>
        </w:rPr>
        <w:t xml:space="preserve">Tarvainen, A., &amp; Valpola, H. (2017). Mean teachers are better role models: Weight-averaged consistency targets improve semi-supervised deep learning results. Advances in Neural Information Processing Systems, 30.</w:t>
      </w:r>
    </w:p>
    <w:p>
      <w:pPr>
        <w:spacing w:before="60" w:after="60" w:line="360"/>
        <w:jc w:val="both"/>
      </w:pPr>
      <w:r>
        <w:rPr>
          <w:rFonts w:ascii="Times New Roman" w:cs="Times New Roman" w:eastAsia="Times New Roman" w:hAnsi="Times New Roman"/>
          <w:sz w:val="24"/>
          <w:szCs w:val="24"/>
        </w:rPr>
        <w:t xml:space="preserve">Tiwari, R., Killamsetty, K., Iyer, R., &amp; Shenoy, P. (2022). GCR: Gradient coreset based replay buffer selection for continual learning. Proceedings of the IEEE/CVF Conference on Computer Vision and Pattern Recognition.</w:t>
      </w:r>
    </w:p>
    <w:p>
      <w:pPr>
        <w:spacing w:before="60" w:after="60" w:line="360"/>
        <w:jc w:val="both"/>
      </w:pPr>
      <w:r>
        <w:rPr>
          <w:rFonts w:ascii="Times New Roman" w:cs="Times New Roman" w:eastAsia="Times New Roman" w:hAnsi="Times New Roman"/>
          <w:sz w:val="24"/>
          <w:szCs w:val="24"/>
        </w:rPr>
        <w:t xml:space="preserve">Wang, F., Zhang, H., Fang, M., Liu, J., Yang, S., &amp; Chu, X. (2023). Orthogonal subspace learning for language model continual learning. Findings of Empirical Methods in Natural Language Processing.</w:t>
      </w:r>
    </w:p>
    <w:p>
      <w:pPr>
        <w:spacing w:before="60" w:after="60" w:line="360"/>
        <w:jc w:val="both"/>
      </w:pPr>
      <w:r>
        <w:rPr>
          <w:rFonts w:ascii="Times New Roman" w:cs="Times New Roman" w:eastAsia="Times New Roman" w:hAnsi="Times New Roman"/>
          <w:sz w:val="24"/>
          <w:szCs w:val="24"/>
        </w:rPr>
        <w:t xml:space="preserve">Wang, Z., Zhang, Z., Lee, C. Y., Zhang, H., Sun, R., Ren, X., ... &amp; Xiong, C. (2021). Training networks in null space of feature covariance for continual learning. Proceedings of the IEEE/CVF Conference on Computer Vision and Pattern Recognition, 184–193.</w:t>
      </w:r>
    </w:p>
    <w:p>
      <w:pPr>
        <w:spacing w:before="60" w:after="60" w:line="360"/>
        <w:jc w:val="both"/>
      </w:pPr>
      <w:r>
        <w:rPr>
          <w:rFonts w:ascii="Times New Roman" w:cs="Times New Roman" w:eastAsia="Times New Roman" w:hAnsi="Times New Roman"/>
          <w:sz w:val="24"/>
          <w:szCs w:val="24"/>
        </w:rPr>
        <w:t xml:space="preserve">Zhao, Y., Ni, B., Guo, Y., Yin, G., &amp; Hua, G. (2023). Rethinking gradient projection continual learning: Stability/plasticity feature space decoupling. Proceedings of the IEEE/CVF Conference on Computer Vision and Pattern Recognition.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00" w:after="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2026-03-07T08:02:38.642Z</dcterms:created>
  <dcterms:modified xsi:type="dcterms:W3CDTF">2026-03-07T08:02:38.643Z</dcterms:modified>
</cp:coreProperties>
</file>

<file path=docProps/custom.xml><?xml version="1.0" encoding="utf-8"?>
<Properties xmlns="http://schemas.openxmlformats.org/officeDocument/2006/custom-properties" xmlns:vt="http://schemas.openxmlformats.org/officeDocument/2006/docPropsVTypes"/>
</file>