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v21 · Condensed for external readability — no new findings this revision. Every number is unchanged from v20; only the framing changed. Section 10 and the Closing Note previously narrated which revision (v13, v15, v17, v20) caught which error — that revision-by-revision history now lives in Appendix A only. The main body states each current finding directly. This pass also replaces several dense Section 10 tables with the plots the underlying experiments already produce (10.3, 10.4, 10.7, 10.8 — the exact figures stay in the matching Appendix A entry), and adds a plot beside a few tables whose per-seed or per-condition figures aren't otherwise duplicated (10.1, 10.6, A.14.2, A.14.5, A.14.6).</w:t>
      </w:r>
    </w:p>
    <w:p>
      <w:pPr>
        <w:spacing w:after="160"/>
      </w:pPr>
      <w:r>
        <w:rPr>
          <w:b w:val="false"/>
          <w:bCs w:val="false"/>
          <w:i w:val="false"/>
          <w:iCs w:val="false"/>
        </w:rPr>
        <w:t>This document derives every target number in the system from first-principles physics and states every open gap with its magnitude. The posture is unchanged from the start: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rPr>
                <w:b w:val="false"/>
                <w:bCs w:val="false"/>
                <w:sz w:val="20"/>
                <w:szCs w:val="20"/>
              </w:rPr>
              <w:t xml:space="preserve">~1,291.7 TFLOP/s, 5-seed average (10.1), monochrome, cold-start</w:t>
            </w:r>
          </w:p>
        </w:tc>
        <w:tc>
          <w:tcPr>
            <w:tcW w:type="dxa" w:w="3000"/>
          </w:tcPr>
          <w:p>
            <w:r>
              <w:rPr>
                <w:b w:val="false"/>
                <w:bCs w:val="false"/>
                <w:sz w:val="20"/>
                <w:szCs w:val="20"/>
              </w:rPr>
              <w:t xml:space="preserve">552±198 FFTs/frame avg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rPr>
                <w:b w:val="false"/>
                <w:bCs w:val="false"/>
                <w:sz w:val="20"/>
                <w:szCs w:val="20"/>
              </w:rPr>
              <w:t xml:space="preserve">~199W ± 71 measured, 5-seed average (10.1), monochrome (range 130–282W); ~597W estimated with color (Gap 9, not yet jointly measured)</w:t>
            </w:r>
          </w:p>
        </w:tc>
        <w:tc>
          <w:tcPr>
            <w:tcW w:type="dxa" w:w="3000"/>
          </w:tcPr>
          <w:p>
            <w:r>
              <w:rPr>
                <w:b w:val="false"/>
                <w:bCs w:val="false"/>
                <w:sz w:val="20"/>
                <w:szCs w:val="20"/>
              </w:rPr>
              <w:t xml:space="preserve">1,291.7 TFLOP/s ÷ 6.5 TOPS/W (BFP16)</w:t>
            </w:r>
          </w:p>
        </w:tc>
      </w:tr>
      <w:tr>
        <w:tc>
          <w:tcPr>
            <w:tcW w:type="dxa" w:w="2400"/>
          </w:tcPr>
          <w:p>
            <w:r>
              <w:rPr>
                <w:b w:val="false"/>
                <w:bCs w:val="false"/>
                <w:sz w:val="20"/>
                <w:szCs w:val="20"/>
              </w:rPr>
              <w:t xml:space="preserve">Power budget target</w:t>
            </w:r>
          </w:p>
        </w:tc>
        <w:tc>
          <w:tcPr>
            <w:tcW w:type="dxa" w:w="3600"/>
          </w:tcPr>
          <w:p>
            <w:r>
              <w:rPr>
                <w:b w:val="false"/>
                <w:bCs w:val="false"/>
                <w:sz w:val="20"/>
                <w:szCs w:val="20"/>
              </w:rPr>
              <w:t xml:space="preserve">≤ 500 mW — ~397× over at current monochrome average (range 260×–564×); ~1,194× with color estimate</w:t>
            </w:r>
          </w:p>
        </w:tc>
        <w:tc>
          <w:tcPr>
            <w:tcW w:type="dxa" w:w="3000"/>
          </w:tcPr>
          <w:p>
            <w:r>
              <w:rPr>
                <w:b w:val="false"/>
                <w:bCs w:val="false"/>
                <w:sz w:val="20"/>
                <w:szCs w:val="20"/>
              </w:rPr>
              <w:t xml:space="preserve">See 10.1 and Gap 2</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rPr>
                <w:b w:val="false"/>
                <w:bCs w:val="false"/>
                <w:sz w:val="20"/>
                <w:szCs w:val="20"/>
              </w:rPr>
              <w:t xml:space="preserve">~46–92 min at the original ~1.3W estimate; ~18–36s at the measured ~199W average baseline (range ~13–55s across seed variance,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Note: Every figure in this table with a citation to Section 10 is a live measurement, not a closed spec — treat this table as current-best-known, not final. The compute/power figures reflect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rPr>
                <w:b w:val="false"/>
                <w:bCs w:val="false"/>
                <w:sz w:val="20"/>
                <w:szCs w:val="20"/>
              </w:rPr>
              <w:t xml:space="preserve">~199W ± 71 measured, 5-seed average (10.1, monochrome), range 130–282W; ~597W estimated with color vs. 500mW budget — ~397× over on average (range 260×–564×); ~1,194× with color estimate</w:t>
            </w:r>
          </w:p>
        </w:tc>
        <w:tc>
          <w:tcPr>
            <w:tcW w:type="dxa" w:w="3900"/>
          </w:tcPr>
          <w:p>
            <w:r>
              <w:rPr>
                <w:b w:val="false"/>
                <w:bCs w:val="false"/>
                <w:sz w:val="20"/>
                <w:szCs w:val="20"/>
              </w:rPr>
              <w:t xml:space="preserve">A full-resolution, real-content, true-convergence measurement (10.1) found 552 FFTs/frame on average — but a single-seed version of this same measurement (434 FFTs, 156W, 312×) was found to vary genuinely with random seed, not just measurement noise, after a materially improved plateau-detector failed to close the gap (Appendix A.7). Closing this gap requires a different architecture or algorithm, not just a faster implementation. Two preliminary, unconfirmed levers: temporal reuse between similar frames may reduce average (not peak) compute (10.5); INT8 precision may match BFP16 quality algorithmically, a possible ~3× power reduction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rPr>
                <w:b w:val="false"/>
                <w:bCs w:val="false"/>
                <w:sz w:val="20"/>
                <w:szCs w:val="20"/>
              </w:rPr>
              <w:t xml:space="preserve">~324–540mW sustainable vs. ~199W average measured — ~368–614× over, not ~2× (range ~240×–870×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rPr>
                <w:b w:val="false"/>
                <w:bCs w:val="false"/>
                <w:sz w:val="20"/>
                <w:szCs w:val="20"/>
              </w:rPr>
              <w:t xml:space="preserve">~18–36 seconds continuous at the measured ~199W average baseline (range ~13–55s across seed variance);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rPr>
                <w:b w:val="false"/>
                <w:bCs w:val="false"/>
                <w:sz w:val="20"/>
                <w:szCs w:val="20"/>
              </w:rPr>
              <w:t xml:space="preserve">Representational, not algorithmic — confirmed by three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t>Native 9.97 dB, naive reuse 6.97 dB (−3.00 dB), joint solve 8.33 dB (−1.64 dB short of native), true convergence, 3-seed average, full resolution</w:t>
            </w:r>
          </w:p>
        </w:tc>
        <w:tc>
          <w:tcPr>
            <w:tcW w:type="dxa" w:w="3900"/>
          </w:tcPr>
          <w:p>
            <w:r>
              <w:t>Re-audited (10.4, Appendix A.14) — ordering unchanged (native &gt; joint &gt; naive reuse) but joint's shortfall vs. native more than tripled once measured properly (−0.5 dB → −1.64 dB); no longer “nearly free” next to native. Still worth raising with a panel supplier, but as a more expensive tradeoff than previously documented</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 xml:space="preserve">A full-resolution, real-content, true-convergence measurement, averaged across 5 random seeds after single-seed measurements proved unstable, puts sustained compute at ~1,291.7 TFLOP/s, implying ~199W average at today's realistic BFP16 ceiling — ~397× the 500mW budget on average, before color (Gap 9) multiplies it further. Preliminary quantization-emulation testing (not yet hardware-confirmed) suggests INT8 precision may reach the same quality as BFP16 — if true, that's ~65W, ~129× over budget, via 20 TOPS/W instead of 6.5. What closes the remaining gap: hardware confirmation of INT8 viability,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 xml:space="preserve">10.1 Compute estimate — current measured baseline (5-seed average)</w:t>
      </w:r>
    </w:p>
    <w:p>
      <w:pPr>
        <w:spacing w:after="160"/>
      </w:pPr>
      <w:r>
        <w:rPr>
          <w:b w:val="false"/>
          <w:bCs w:val="false"/>
          <w:i w:val="0"/>
          <w:iCs w:val="false"/>
        </w:rPr>
        <w:t>A full-resolution (4,700×2,700), real-content convergence measurement is run to true, plateau-detected convergence rather than a fixed iteration budget. Because a single seed's convergence point could sit anywhere in a flat, noisy region of the curve, this is checked across 5 random seeds rather than trusted from one.</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 xml:space="preserve">552 ± 198 FFTs/frame  ×  6.5 GFLOP/FFT  ×  360Hz  =  ~1,291.7 TFLOP/s average  →  ~199W ± 71 average  →  ~397× over the 500mW budget on average (range 260×–564×)</w:t>
      </w:r>
    </w:p>
    <w:p>
      <w:pPr>
        <w:spacing w:after="200"/>
      </w:pPr>
      <w:r>
        <w:rPr>
          <w:i/>
          <w:iCs/>
          <w:color w:val="555555"/>
          <w:sz w:val="20"/>
          <w:szCs w:val="20"/>
        </w:rPr>
        <w:t>Note: final image quality is consistent across seeds (11.47–12.00 dB); the FFT count varies because different random starting phases genuinely take different numbers of iterations to converge, not because of measurement noise (Appendix A.7). This 5-seed baseline is used for every compute/power figure elsewhere in this document.</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nd_to_end_seed_check.png"/>
                    <pic:cNvPicPr/>
                  </pic:nvPicPr>
                  <pic:blipFill>
                    <a:blip r:embed="rId8"/>
                    <a:stretch>
                      <a:fillRect/>
                    </a:stretch>
                  </pic:blipFill>
                  <pic:spPr>
                    <a:xfrm>
                      <a:off x="0" y="0"/>
                      <a:ext cx="5486400" cy="3048000"/>
                    </a:xfrm>
                    <a:prstGeom prst="rect"/>
                  </pic:spPr>
                </pic:pic>
              </a:graphicData>
            </a:graphic>
          </wp:inline>
        </w:drawing>
      </w:r>
    </w:p>
    <w:p>
      <w:pPr>
        <w:jc w:val="center"/>
      </w:pPr>
      <w:r>
        <w:rPr>
          <w:i/>
          <w:sz w:val="18"/>
        </w:rPr>
        <w:t>Convergence curves for all 5 seeds, full resolution, real content (mean PSNR across planes vs. iteration). Same run as the table above: final quality converges to a tight band while the iteration at which each seed gets there varies widely — the source of the 30–65 iteration spread.</w:t>
      </w:r>
    </w:p>
    <w:p>
      <w:pPr>
        <w:pStyle w:val="Heading2"/>
        <w:spacing w:after="150" w:before="300"/>
      </w:pPr>
      <w:r>
        <w:t xml:space="preserve">10.2 Image quality and speckle ceiling (Gap 7)</w:t>
      </w:r>
    </w:p>
    <w:p>
      <w:pPr>
        <w:spacing w:after="160"/>
      </w:pPr>
      <w:r>
        <w:rPr>
          <w:b w:val="false"/>
          <w:bCs w:val="false"/>
          <w:i w:val="0"/>
          <w:iCs w:val="false"/>
        </w:rPr>
        <w:t>Reconstructed images plateau at roughly 11–14 dB PSNR (corrected metric — see Appendix A.2) — visibly grainy, consistent with coherent speckle. Four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 xml:space="preserve">Quality degrades monotonically with simultaneous depth-plane count: 14.6 dB (1 plane) → 11.9 dB (2 planes) → 11.5 dB (3 planes), corrected metric.</w:t>
      </w:r>
    </w:p>
    <w:p>
      <w:pPr>
        <w:pStyle w:val="ListParagraph"/>
        <w:numPr>
          <w:ilvl w:val="0"/>
          <w:numId w:val="1"/>
        </w:numPr>
        <w:spacing w:after="100"/>
      </w:pPr>
      <w:r>
        <w:t>A learning-rate sweep across four materially different optimization strategies, confirmed at full resolution across 3 seeds per strategy, shows 0.50 dB of spread — ruling out optimizer tuning as the limiting factor.</w:t>
      </w:r>
    </w:p>
    <w:p>
      <w:pPr>
        <w:pStyle w:val="ListParagraph"/>
        <w:numPr>
          <w:ilvl w:val="0"/>
          <w:numId w:val="1"/>
        </w:numPr>
        <w:spacing w:after="100"/>
      </w:pPr>
      <w:r>
        <w:t>A comparison of GS, direct pixel-wise gradient descent, and a CNN-parameterized (“neural-prior”) phase representation at equal step budget found no benefit from the network's structural bias (11.07 dB vs. SGD's 13.83 dB). This comparison remains single-seed and 512×512-only — a full-resolution attempt found training ~10× slower per step than SGD, with unstable convergence at this resolution (Appendix A.14.3); not yet re-confirmed at the resolution that matters.</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0"/>
          <w:iCs w:val="false"/>
        </w:rPr>
        <w:t>Sequential rendering (solving and displaying each depth plane's phase pattern separately, at 3× the sub-frame cost) shows a small but real quality advantage over simultaneous rendering for near/mid (sparse) content, and a larger one for far (dense) content.</w:t>
      </w:r>
    </w:p>
    <w:p>
      <w:pPr>
        <w:spacing w:after="160"/>
      </w:pPr>
      <w:r>
        <w:rPr>
          <w:b w:val="false"/>
          <w:bCs w:val="false"/>
          <w:i w:val="0"/>
          <w:iCs w:val="false"/>
        </w:rPr>
        <w:t>Confirmed across 25 independent seed pairings at full resolution — every pairing positive, for every plane:</w:t>
      </w:r>
    </w:p>
    <w:p>
      <w:pPr>
        <w:jc w:val="center"/>
      </w:pPr>
      <w:r>
        <w:drawing>
          <wp:inline xmlns:a="http://schemas.openxmlformats.org/drawingml/2006/main" xmlns:pic="http://schemas.openxmlformats.org/drawingml/2006/picture">
            <wp:extent cx="5486400" cy="1463040"/>
            <wp:docPr id="2" name="Picture 2"/>
            <wp:cNvGraphicFramePr>
              <a:graphicFrameLocks noChangeAspect="1"/>
            </wp:cNvGraphicFramePr>
            <a:graphic>
              <a:graphicData uri="http://schemas.openxmlformats.org/drawingml/2006/picture">
                <pic:pic>
                  <pic:nvPicPr>
                    <pic:cNvPr id="0" name="seq_vs_sim_seed_check.png"/>
                    <pic:cNvPicPr/>
                  </pic:nvPicPr>
                  <pic:blipFill>
                    <a:blip r:embed="rId9"/>
                    <a:stretch>
                      <a:fillRect/>
                    </a:stretch>
                  </pic:blipFill>
                  <pic:spPr>
                    <a:xfrm>
                      <a:off x="0" y="0"/>
                      <a:ext cx="5486400" cy="1463040"/>
                    </a:xfrm>
                    <a:prstGeom prst="rect"/>
                  </pic:spPr>
                </pic:pic>
              </a:graphicData>
            </a:graphic>
          </wp:inline>
        </w:drawing>
      </w:r>
    </w:p>
    <w:p>
      <w:pPr>
        <w:jc w:val="center"/>
      </w:pPr>
      <w:r>
        <w:rPr>
          <w:i/>
          <w:sz w:val="18"/>
        </w:rPr>
        <w:t>Per-seed PSNR behind the 25 seed-pairing comparison, by depth plane. Every sequential-seed value sits above every simultaneous-seed value in each plane — the basis for the “never crosses zero” finding.</w:t>
      </w:r>
    </w:p>
    <w:p>
      <w:pPr>
        <w:spacing w:after="200"/>
      </w:pPr>
      <w:r>
        <w:rPr>
          <w:i/>
          <w:iCs/>
          <w:color w:val="555555"/>
          <w:sz w:val="20"/>
          <w:szCs w:val="20"/>
        </w:rPr>
        <w:t>Note: near/mid's advantage is small enough (sub-1–2 dB) that it only becomes distinguishable from seed noise across multiple seed pairings — a single comparison cannot resolve it reliably.</w:t>
      </w:r>
    </w:p>
    <w:p>
      <w:pPr>
        <w:spacing w:after="200"/>
      </w:pPr>
      <w:r>
        <w:rPr>
          <w:i/>
          <w:iCs/>
          <w:color w:val="555555"/>
          <w:sz w:val="20"/>
          <w:szCs w:val="20"/>
        </w:rPr>
        <w:t>Note: measured on GS's internal amplitude-vs-amplitude metric, not confirmed on the same scale as the corrected PSNR metric used elsewhere in this section — the direction of the finding is trustworthy; the exact dB values should not be compared directly to other figures in this document.</w:t>
      </w:r>
    </w:p>
    <w:p>
      <w:pPr>
        <w:spacing w:after="160"/>
      </w:pPr>
      <w:r>
        <w:rPr>
          <w:b w:val="false"/>
          <w:bCs w:val="false"/>
          <w:i w:val="0"/>
          <w:iCs w:val="false"/>
        </w:rPr>
        <w:t>Practical read: near/mid's advantage (roughly 0.3–2 dB) is real but small next to far's (2.8–4.4 dB), and no commercial panel meets even the base 360Hz requirement (Gap 1), let alone the 3× frame-rate sequential rendering would need. Recommendation: don't prioritize sequential rendering for near/mid content.</w:t>
      </w:r>
    </w:p>
    <w:p>
      <w:pPr>
        <w:pStyle w:val="Heading2"/>
        <w:spacing w:after="150" w:before="300"/>
      </w:pPr>
      <w:r>
        <w:t xml:space="preserve">10.4 Color / chromatic dispersion (Gap 9)</w:t>
      </w:r>
    </w:p>
    <w:p>
      <w:pPr>
        <w:spacing w:after="160"/>
      </w:pPr>
      <w:r>
        <w:rPr>
          <w:b w:val="false"/>
          <w:bCs w:val="false"/>
          <w:i w:val="0"/>
          <w:iCs w:val="false"/>
        </w:rPr>
        <w:t>A phase pattern solved for one wavelength does not fully transfer to others. At full target resolution, run to true convergence and averaged across 3 seeds, across all three depth planes, corrected metric:</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olor_seed_check.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18"/>
        </w:rPr>
        <w:t>Per-seed PSNR by color approach, true convergence, full resolution (error bars = min–max across 3 seeds). Native's own spread is wide — joint sits inside it, naive reuse clearly below both.</w:t>
      </w:r>
    </w:p>
    <w:p>
      <w:pPr>
        <w:spacing w:after="200"/>
      </w:pPr>
      <w:r>
        <w:rPr>
          <w:i/>
          <w:iCs/>
          <w:color w:val="555555"/>
          <w:sz w:val="20"/>
          <w:szCs w:val="20"/>
        </w:rPr>
        <w:t>Note: ordering is unchanged (native &gt; joint &gt; naive reuse), but joint solve's shortfall against native is real and meaningfully larger than a fixed-iteration, single-seed test suggested (−1.64 dB, not −0.5 dB) — not close enough to native to call “nearly free” (Appendix A.14.1).</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0"/>
          <w:iCs w:val="false"/>
        </w:rPr>
        <w:t>Tested against a synthetic panning sequence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t>~9.0× (3-seed range: 5.3×–13.7× — far more volatile than the row above; see Appendix A.14)</w:t>
            </w:r>
          </w:p>
        </w:tc>
      </w:tr>
    </w:tbl>
    <w:p>
      <w:pPr>
        <w:spacing w:after="200"/>
      </w:pPr>
      <w:r>
        <w:rPr>
          <w:i/>
          <w:iCs/>
          <w:color w:val="555555"/>
          <w:sz w:val="20"/>
          <w:szCs w:val="20"/>
        </w:rPr>
        <w:t>Note: the speedup survives the jump to full resolution — unlike the sequential-rendering finding in 10.3, which vanished at scale.</w:t>
      </w:r>
    </w:p>
    <w:p>
      <w:pPr>
        <w:spacing w:after="200"/>
      </w:pPr>
      <w:r>
        <w:rPr>
          <w:i/>
          <w:iCs/>
          <w:color w:val="555555"/>
          <w:sz w:val="20"/>
          <w:szCs w:val="20"/>
        </w:rPr>
        <w:t>Note: seed-checked across 3 base seeds each. Small shift: 7.67×–9.33× (19% spread, tight enough to report as a single ~8–9× figure). Large shift (~12% of frame): 5.33×–13.67× (93% spread) — far more volatile; report as a range, not a point.</w:t>
      </w:r>
    </w:p>
    <w:p>
      <w:pPr>
        <w:pStyle w:val="Heading3"/>
        <w:spacing w:after="120" w:before="250"/>
      </w:pPr>
      <w:r>
        <w:t>Scene-cut robustness</w:t>
      </w:r>
    </w:p>
    <w:p>
      <w:pPr>
        <w:spacing w:after="160"/>
      </w:pPr>
      <w:r>
        <w:rPr>
          <w:b w:val="false"/>
          <w:bCs w:val="false"/>
          <w:i w:val="0"/>
          <w:iCs w:val="false"/>
        </w:rPr>
        <w:t>Tested across five scene-cut pairs at two severities (moderate: shifted content; severe: fully permuted content-to-depth-plane assignment) at both scales, with convergence verified via plateau-detection rather than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Note: zero negative transfer in any trial, at either scale, including severe content permutations — warm-starting through a scene cut does not cause catastrophic failure.</w:t>
      </w:r>
    </w:p>
    <w:p>
      <w:pPr>
        <w:spacing w:after="200"/>
      </w:pPr>
      <w:r>
        <w:rPr>
          <w:i/>
          <w:iCs/>
          <w:color w:val="555555"/>
          <w:sz w:val="20"/>
          <w:szCs w:val="20"/>
        </w:rPr>
        <w:t>Note: the speed advantage is smaller at full resolution (2 of 5 pairs beat cold-start, vs. 4 of 5 at 512×512) — the rest converge normally, just without a clear speedup. Overall: warm-starting through a scene cut is usually neutral to mildly helpful, never catastrophic.</w:t>
      </w:r>
    </w:p>
    <w:p>
      <w:pPr>
        <w:pStyle w:val="Heading3"/>
        <w:spacing w:after="120" w:before="250"/>
      </w:pPr>
      <w:r>
        <w:t>Independent-content validation</w:t>
      </w:r>
    </w:p>
    <w:p>
      <w:pPr>
        <w:spacing w:after="160"/>
      </w:pPr>
      <w:r>
        <w:rPr>
          <w:b w:val="false"/>
          <w:bCs w:val="false"/>
          <w:i w:val="0"/>
          <w:iCs w:val="false"/>
        </w:rPr>
        <w:t>Every result above was built from one base scene, varied only by shift or permutation. This retests both findings against genuinely independent, procedurally-generated content (a different random icon, word, and photo-like scene per trial) and a parallax-motion model (per-plane random-walk velocity, nearer planes moving faster) instead of constant-velocity shift. Still synthetic, not real motion-capture footage.</w:t>
      </w:r>
    </w:p>
    <w:p>
      <w:pPr>
        <w:spacing w:after="160"/>
      </w:pPr>
      <w:r>
        <w:rPr>
          <w:b w:val="false"/>
          <w:bCs w:val="false"/>
          <w:i w:val="0"/>
          <w:iCs w:val="false"/>
        </w:rPr>
        <w:t>Note: an early pass showed a suspicious, uniform plateau-detection result across nearly every frame — traced to a floor in the plateau-detection method used, not a genuine finding (Appendix A.11). Cross-checked against a corrected, final-value-anchored detector and a seven-frame spot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Note: two of seven spot-checked frames were false positives from the original detection method — corrected before any result below is reported.</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0"/>
          <w:iCs w:val="false"/>
        </w:rPr>
        <w:t>4 of 4 independent scene-cut pairs beat cold-start; 0 of 4 showed negative transfer. Under parallax motion, across 3 independently-seeded sequences (21 real frame-to-frame comparisons, excluding each sequence's shared first frame): 17 of 21 comparisons favored warm-start (81%), with per-sequence win rates of 4/7, 7/7, and 6/7.</w:t>
      </w:r>
    </w:p>
    <w:p>
      <w:pPr>
        <w:spacing w:after="200"/>
      </w:pPr>
      <w:r>
        <w:rPr>
          <w:i/>
          <w:iCs/>
          <w:color w:val="555555"/>
          <w:sz w:val="20"/>
          <w:szCs w:val="20"/>
        </w:rPr>
        <w:t>Note: consistent with the shift/permutation results above — warm-starting is favorable on balance, occasionally a net cost, never catastrophic, on independent content too.</w:t>
      </w:r>
    </w:p>
    <w:p>
      <w:pPr>
        <w:spacing w:after="160"/>
      </w:pPr>
      <w:r>
        <w:rPr>
          <w:b w:val="false"/>
          <w:bCs w:val="false"/>
          <w:i w:val="0"/>
          <w:iCs w:val="false"/>
        </w:rPr>
        <w:t>Read the steady-pan result as a duty-cycle finding, not a peak-compute reduction: average power draw across a real usage session could be substantially lower than 10.1's steady-state figure implies, for content that doesn't change abruptly frame to frame. A dedicated cut-detection fallback does not appear necessary — no trial, including independent content, failed to converge.</w:t>
      </w:r>
    </w:p>
    <w:p>
      <w:pPr>
        <w:pStyle w:val="Heading2"/>
        <w:spacing w:after="150" w:before="300"/>
      </w:pPr>
      <w:r>
        <w:t xml:space="preserve">10.6 Precision: does INT8 corrupt the computation? (tests the assumption in 4.5)</w:t>
      </w:r>
    </w:p>
    <w:p>
      <w:pPr>
        <w:spacing w:after="160"/>
      </w:pPr>
      <w:r>
        <w:rPr>
          <w:b w:val="false"/>
          <w:bCs w:val="false"/>
          <w:i w:val="0"/>
          <w:iCs w:val="false"/>
        </w:rPr>
        <w:t>Section 4.5 assumed, without testing, that INT8 precision (20 TOPS/W) corrupts the CGH wave computation and BFP16 (6.5 TOPS/W) is required. Tested via quantization emulation — rounding the field to N-bit fixed-point precision at each stage a real ASIC datapath would round, continuing surrounding arithmetic in float32 (approximates cumulative rounding effects; does not model error inside a single FFT's internal butterfly stages —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0"/>
          <w:iCs w:val="false"/>
        </w:rPr>
        <w:t>8-bit (INT8-equivalent) quality matches float32 within noise — confirmed at full resolution and true convergence, and robust to three independent stress tests (a realistic vs. oracle quantization scale, a full-resolution retest, and a multi-seed check of an apparent iteration-count side-effect that turned out to be ordinary seed variance — Appendix A.8). 4-bit shows real degradation: the quantization step is coarse enough that the algorithm plateaus early.</w:t>
      </w:r>
    </w:p>
    <w:p>
      <w:pPr>
        <w:spacing w:after="200"/>
      </w:pPr>
      <w:r>
        <w:rPr>
          <w:i/>
          <w:iCs/>
          <w:color w:val="555555"/>
          <w:sz w:val="20"/>
          <w:szCs w:val="20"/>
        </w:rPr>
        <w:t>Note: this is algorithm-level evidence, not a hardware-validated result. If confirmed on real hardware, this is a direct ~3× lever on Gap 2: 20 TOPS/W instead of 6.5 would bring the current average baseline from ~199W to roughly ~65W (~129× over budget instead of ~397×). Not yet adopted as this document's headline power figure.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nt8_precision_fullres_converged.png"/>
                    <pic:cNvPicPr/>
                  </pic:nvPicPr>
                  <pic:blipFill>
                    <a:blip r:embed="rId11"/>
                    <a:stretch>
                      <a:fillRect/>
                    </a:stretch>
                  </pic:blipFill>
                  <pic:spPr>
                    <a:xfrm>
                      <a:off x="0" y="0"/>
                      <a:ext cx="5486400" cy="3429000"/>
                    </a:xfrm>
                    <a:prstGeom prst="rect"/>
                  </pic:spPr>
                </pic:pic>
              </a:graphicData>
            </a:graphic>
          </wp:inline>
        </w:drawing>
      </w:r>
    </w:p>
    <w:p>
      <w:pPr>
        <w:jc w:val="center"/>
      </w:pPr>
      <w:r>
        <w:rPr>
          <w:i/>
          <w:sz w:val="18"/>
        </w:rPr>
        <w:t>Quality vs. bit depth at true convergence, full resolution, per depth plane and averaged. The flat average line from 8 bits on is the 8-bit/float32 equivalence finding; 4-bit's drop across all three planes is the coarser-quantization degradation.</w:t>
      </w:r>
    </w:p>
    <w:p>
      <w:pPr>
        <w:pStyle w:val="Heading2"/>
        <w:spacing w:after="150" w:before="300"/>
      </w:pPr>
      <w:r>
        <w:t xml:space="preserve">10.7 Initialization strategy — three approaches tested, all negative at true convergence</w:t>
      </w:r>
    </w:p>
    <w:p>
      <w:pPr>
        <w:spacing w:after="160"/>
      </w:pPr>
      <w:r>
        <w:rPr>
          <w:b w:val="false"/>
          <w:bCs w:val="false"/>
          <w:i w:val="0"/>
          <w:iCs w:val="false"/>
        </w:rPr>
        <w:t>10.1/Appendix A.7 found that random-phase initialization causes genuine iteration-count variance (30–65 iterations across seeds) despite consistent final quality. Three deterministic (seed-independent) alternatives were tested to see whether a smarter starting point avoids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0"/>
          <w:iCs w:val="false"/>
        </w:rPr>
        <w:t>Cross-session donor-seeding (reusing a phase pattern already converged from unrelated content) initially looked like a clear win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0"/>
          <w:iCs w:val="false"/>
        </w:rPr>
        <w:t>Rerun to true, verified convergence on both sides, the result reverses:</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rosssession_directionA_longrun.png"/>
                    <pic:cNvPicPr/>
                  </pic:nvPicPr>
                  <pic:blipFill>
                    <a:blip r:embed="rId12"/>
                    <a:stretch>
                      <a:fillRect/>
                    </a:stretch>
                  </pic:blipFill>
                  <pic:spPr>
                    <a:xfrm>
                      <a:off x="0" y="0"/>
                      <a:ext cx="5486400" cy="3291840"/>
                    </a:xfrm>
                    <a:prstGeom prst="rect"/>
                  </pic:spPr>
                </pic:pic>
              </a:graphicData>
            </a:graphic>
          </wp:inline>
        </w:drawing>
      </w:r>
    </w:p>
    <w:p>
      <w:pPr>
        <w:jc w:val="center"/>
      </w:pPr>
      <w:r>
        <w:rPr>
          <w:i/>
          <w:sz w:val="18"/>
        </w:rPr>
        <w:t>Direction A (realistic donor → synthetic target), true convergence, 200 iterations: random-init and donor-seeded runs interleave with no consistent separation — no real effect.</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crosssession_directionB_longrun.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18"/>
        </w:rPr>
        <w:t>Direction B (synthetic donor → realistic target), true convergence, 200 iterations: random-init (blue) settles higher than donor-seeded (green) — the reversal from the fixed-budget result above.</w:t>
      </w:r>
    </w:p>
    <w:p>
      <w:pPr>
        <w:spacing w:after="200"/>
      </w:pPr>
      <w:r>
        <w:rPr>
          <w:i/>
          <w:iCs/>
          <w:color w:val="555555"/>
          <w:sz w:val="20"/>
          <w:szCs w:val="20"/>
        </w:rPr>
        <w:t>Note: a donor phase built for unrelated content appears to send the solve down a longer, more circuitous path before settling — a biased starting point can cost more than starting from nothing.</w:t>
      </w:r>
    </w:p>
    <w:p>
      <w:pPr>
        <w:spacing w:after="200"/>
      </w:pPr>
      <w:r>
        <w:rPr>
          <w:i w:val="0"/>
          <w:iCs/>
          <w:color w:val="555555"/>
          <w:sz w:val="20"/>
          <w:szCs w:val="20"/>
        </w:rPr>
        <w:t>None of the three strategies tested reduces the iteration-count variance from 10.1 — currently treated as a structural property of this algorithm's search landscape, addressed only by seed-averaging, not by any starting-point strategy tried so far (Appendix A.9).</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0"/>
          <w:iCs w:val="false"/>
        </w:rPr>
        <w:t>Tested across two content profiles differing in how much is happening at the middle depth: CLOSEUP (sparse mid content) and LAYERED (dense mid content). Both propagate the 2-plane (near/far only) solution to the dropped mid depth and compare against the real mid target, the 3-plane baseline's ceiling, and a blank floor:</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two_plane_dropoff_content_dependence.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2-plane proxy vs. real mid content vs. 3-plane actual solve, both content profiles. The proxy's dB comes entirely from solving near/far — no mid-depth information is fed into it — yet CLOSEUP's proxy sits visibly closer to its target than LAYERED's, consistent with the dB gap-to-ceiling numbers.</w:t>
      </w:r>
    </w:p>
    <w:p>
      <w:pPr>
        <w:spacing w:after="200"/>
      </w:pPr>
      <w:r>
        <w:rPr>
          <w:i/>
          <w:iCs/>
          <w:color w:val="555555"/>
          <w:sz w:val="20"/>
          <w:szCs w:val="20"/>
        </w:rPr>
        <w:t>Note: raw dB shows CLOSEUP losing more than LAYERED, opposite the expected pattern — traced to two confounds: CLOSEUP's mid was masked to a small region while LAYERED's was measured over the full frame, and LAYERED's own 3-plane ceiling is inherently lower (busy content is harder to reconstruct at all), leaving it less range to begin with regardless of content sparsity.</w:t>
      </w:r>
    </w:p>
    <w:p>
      <w:pPr>
        <w:spacing w:after="160"/>
      </w:pPr>
      <w:r>
        <w:rPr>
          <w:b w:val="false"/>
          <w:bCs w:val="false"/>
          <w:i w:val="0"/>
          <w:iCs w:val="false"/>
        </w:rPr>
        <w:t>A normalized metric — the fraction of each profile's own floor-to-ceiling range recovered for free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Note: once normalized, sparse-at-the-dropped-depth content recovers more of its own achievable range for free (38.7% vs. 25.8%) and saves more compute (32.9% vs. 20.1% fewer FFTs/frame) at 512×512 — the expected pattern.</w:t>
      </w:r>
    </w:p>
    <w:p>
      <w:pPr>
        <w:spacing w:after="160"/>
      </w:pPr>
      <w:r>
        <w:rPr>
          <w:b w:val="false"/>
          <w:bCs w:val="false"/>
          <w:i w:val="0"/>
          <w:iCs w:val="false"/>
        </w:rPr>
        <w:t>Retested at full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Note: the ranking inverts at full resolution (CLOSEUP and LAYERED swap places), so content sparsity does not reliably predict how much survives dropping mid — the content-adaptive plane-count idea is retracted. For this project's standard (non-CLOSEUP/LAYERED) content specifically, dropping mid still recovers meaningfully more than a blank floor at every scale tested, but does not reliably save compute at full resolution: the compute-side sign is seed-dependent (3-seed range: +32% saving to −125%, i.e. more than double the cost), averaging to a net cost increase rather than the +22.7% saving seen at small scale (Appendix A.14.6). The quality-side conclusion holds broadly; the compute-side conclusion does not, as generally as previously thought.</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A border/grid artifact in full-resolution reconstructions remains mechanistically unexplained (deprioritized, non-blocking — Appendix A.3).</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Whether 2 depth planes (dropping mid) are perceptually acceptable is still untested — 10.8 shows dropping mid recovers meaningfully more than a blank floor at every scale, but whether it also saves compute depends on content and seed, not reliably true for standard content at full resolution. The perceptual verdict itself remains a question for a human or optical engineer, not simulation.</w:t>
      </w:r>
    </w:p>
    <w:p>
      <w:pPr>
        <w:pStyle w:val="ListParagraph"/>
        <w:numPr>
          <w:ilvl w:val="0"/>
          <w:numId w:val="1"/>
        </w:numPr>
        <w:spacing w:after="100"/>
      </w:pPr>
      <w:r>
        <w:t>10.2's plane-count figures (14.6/11.9/11.5 dB) remain single-seed and unaudited against the multi-seed/full-resolution standard used elsewhere in this document. The neural-prior comparison (10.2) also remains unresolved: untestable at current cost pending network retuning for full resolution (Appendix A.14.3).</w:t>
      </w:r>
    </w:p>
    <w:p>
      <w:pPr>
        <w:pStyle w:val="ListParagraph"/>
        <w:numPr>
          <w:ilvl w:val="0"/>
          <w:numId w:val="1"/>
        </w:numPr>
        <w:spacing w:after="100"/>
      </w:pPr>
      <w:r>
        <w:t>Standing rule: no comparison of convergence speed between two conditions is trusted without verifying both have reached true, plateau-confirmed convergence, using a method anchored to the run's actual final value rather than local flatness alone — a fixed budget or a local-window-only detector can each independently flip a result's sign (Appendix A.9–A.11).</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Heading1"/>
        <w:spacing w:after="200" w:before="400"/>
      </w:pPr>
      <w:r>
        <w:t xml:space="preserve">11. Closing Note</w:t>
      </w:r>
    </w:p>
    <w:p>
      <w:pPr>
        <w:spacing w:after="160"/>
      </w:pPr>
      <w:r>
        <w:rPr>
          <w:b w:val="false"/>
          <w:bCs w:val="false"/>
          <w:i w:val="0"/>
          <w:iCs w:val="false"/>
        </w:rPr>
        <w:t>This document's working discipline: state the physics and measurements plainly, treat every clean-looking number as a hypothesis until it has been actively attacked, and name what doesn't close yet rather than implying completeness.</w:t>
      </w:r>
    </w:p>
    <w:p>
      <w:pPr>
        <w:spacing w:after="160"/>
      </w:pPr>
      <w:r>
        <w:rPr>
          <w:b w:val="false"/>
          <w:bCs w:val="false"/>
          <w:i w:val="0"/>
          <w:iCs w:val="false"/>
        </w:rPr>
        <w:t>That discipline has repeatedly changed conclusions, not just confirmed them. Every compute and quality figure in this document is now a multi-seed average, not a single-seed point, after seed-to-seed variance was found large enough to change both the magnitude (the compute baseline, the color figures, the warm-start speedups) and the sign (the two-plane-dropoff compute claim, the sequential-rendering benefit for sparse content) of results that had originally looked settled. Every convergence-speed comparison is now verified against true, plateau-confirmed convergence on both sides rather than a shared fixed budget, after a fixed budget was found capable of manufacturing both a false win (donor-seeding, 10.7) and a false catastrophic failure (scene-cut robustness, 10.5) from otherwise carefully-run tests. One result — INT8 precision matching float32 quality (10.6) — held up under every attempt to break it and stands as a genuine, promising candidate pending hardware confirmation.</w:t>
      </w:r>
    </w:p>
    <w:p>
      <w:pPr>
        <w:spacing w:after="160"/>
      </w:pPr>
      <w:r>
        <w:rPr>
          <w:b w:val="false"/>
          <w:bCs w:val="false"/>
          <w:i w:val="0"/>
          <w:iCs w:val="false"/>
        </w:rPr>
        <w:t>The full record of what was tested, what broke, and what was fixed — organized by finding, not by revision — is preserved in Appendix A for anyone auditing or reproducing these numbers. What remains open: 10.2's plane-count figures are not yet audited against this standard, and the neural-prior comparison remains untestable at current cost (10.9).</w:t>
      </w:r>
    </w:p>
    <w:p>
      <w:r>
        <w:t>One more change this revision, presentational rather than substantive: several Section 10 tables were replaced or supplemented with the plots the underlying experiment scripts already produce, on the reasoning that a convergence curve or a per-seed scatter communicates a variance finding faster than a table of the same numbers does. Nothing about how these results were measured changed, and every number removed from the main body remains available either in the adjacent chart, in the matching Appendix A entry, or in the repository's own output logs.</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 xml:space="preserve">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current baseline (434 FFTs/frame, ~156W, reported in 10.1) is the figure that regenerates from the current codebase.</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 xml:space="preserve">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p>
      <w:pPr>
        <w:pStyle w:val="Heading2"/>
      </w:pPr>
      <w:r>
        <w:t>A.14 Systematic audit — five findings checked against the multi-seed/full-resolution standard</w:t>
      </w:r>
    </w:p>
    <w:p>
      <w:r>
        <w:rPr>
          <w:i w:val="0"/>
        </w:rPr>
        <w:t>Motivated by 10.9/A.13: two findings caught in the previous revision (10.3's sequential-rendering reversal, 10.8's plane-count retraction) both predated this project's current standards and had never been retroactively checked. This appendix entry closes out a systematic pass identifying and checking the remaining candidates: two already self-flagged in v19 (10.4's color figures, and — not fully closed here — 10.2's plane-count figures), and four more found during this pass that were not previously named: 10.2's learning-rate sweep and neural-prior comparison, 10.5's large-shift full-resolution warm-start figure, the shift-sweep's “unexplained” non-monotonic pattern, and 10.8's original base-scenario compute-savings claim. Each sub-section below covers one item.</w:t>
      </w:r>
    </w:p>
    <w:p>
      <w:pPr>
        <w:pStyle w:val="Heading2"/>
      </w:pPr>
      <w:r>
        <w:t>A.14.1 Color / chromatic dispersion (10.4) — re-tested at true convergence, 3 seeds</w:t>
      </w:r>
    </w:p>
    <w:p>
      <w:r>
        <w:rPr>
          <w:i w:val="0"/>
        </w:rPr>
        <w:t>The original color test (10.4) used a single seed and a fixed 16-iteration budget — the same combination of risk factors already shown to matter elsewhere in this project (a fixed budget alone reversed the donor-seeding and scene-cut findings; single-seed alone reversed 10.3). Re-tested at full resolution, true convergence (plateau-verified, up to 200 iterations),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Original (1 seed, 16 iters)</w:t>
            </w:r>
          </w:p>
        </w:tc>
        <w:tc>
          <w:tcPr>
            <w:tcW w:type="dxa" w:w="3120"/>
          </w:tcPr>
          <w:p>
            <w:r>
              <w:t>This audit (3 seeds, true convergence)</w:t>
            </w:r>
          </w:p>
        </w:tc>
      </w:tr>
      <w:tr>
        <w:tc>
          <w:tcPr>
            <w:tcW w:type="dxa" w:w="3120"/>
          </w:tcPr>
          <w:p>
            <w:r>
              <w:t>Native</w:t>
            </w:r>
          </w:p>
        </w:tc>
        <w:tc>
          <w:tcPr>
            <w:tcW w:type="dxa" w:w="3120"/>
          </w:tcPr>
          <w:p>
            <w:r>
              <w:t>6.8 dB</w:t>
            </w:r>
          </w:p>
        </w:tc>
        <w:tc>
          <w:tcPr>
            <w:tcW w:type="dxa" w:w="3120"/>
          </w:tcPr>
          <w:p>
            <w:r>
              <w:t>9.97 dB (range 7.32–12.55 dB)</w:t>
            </w:r>
          </w:p>
        </w:tc>
      </w:tr>
      <w:tr>
        <w:tc>
          <w:tcPr>
            <w:tcW w:type="dxa" w:w="3120"/>
          </w:tcPr>
          <w:p>
            <w:r>
              <w:t>Naive reuse</w:t>
            </w:r>
          </w:p>
        </w:tc>
        <w:tc>
          <w:tcPr>
            <w:tcW w:type="dxa" w:w="3120"/>
          </w:tcPr>
          <w:p>
            <w:r>
              <w:t>5.8 dB (−1.0 dB)</w:t>
            </w:r>
          </w:p>
        </w:tc>
        <w:tc>
          <w:tcPr>
            <w:tcW w:type="dxa" w:w="3120"/>
          </w:tcPr>
          <w:p>
            <w:r>
              <w:t>6.97 dB (−3.00 dB, range 6.69–7.28 dB)</w:t>
            </w:r>
          </w:p>
        </w:tc>
      </w:tr>
      <w:tr>
        <w:tc>
          <w:tcPr>
            <w:tcW w:type="dxa" w:w="3120"/>
          </w:tcPr>
          <w:p>
            <w:r>
              <w:t>Joint</w:t>
            </w:r>
          </w:p>
        </w:tc>
        <w:tc>
          <w:tcPr>
            <w:tcW w:type="dxa" w:w="3120"/>
          </w:tcPr>
          <w:p>
            <w:r>
              <w:t>6.3 dB (−0.5 dB)</w:t>
            </w:r>
          </w:p>
        </w:tc>
        <w:tc>
          <w:tcPr>
            <w:tcW w:type="dxa" w:w="3120"/>
          </w:tcPr>
          <w:p>
            <w:r>
              <w:t>8.33 dB (−1.64 dB, range 7.10–9.70 dB)</w:t>
            </w:r>
          </w:p>
        </w:tc>
      </w:tr>
    </w:tbl>
    <w:p>
      <w:r>
        <w:rPr>
          <w:i/>
        </w:rPr>
        <w:t>Note: The ordering (native &gt; joint &gt; naive reuse) is unchanged, but the magnitude of every gap grew substantially. This is mechanistically sensible, not a red flag: native's own quality rises a great deal once actually run to convergence (the original 16-iteration cutoff was premature, the same lesson as 10.1's compute baseline); naive reuse cannot benefit from additional iterations at all (it is a one-shot propagation, not an iterative solve), so as native pulls ahead with more time, the gap to naive reuse necessarily widens. Joint solve can improve with more iterations, but by less than native (it must satisfy 3× the constraints with the same phase pattern), so its gap widens too, just less severely. Practical consequence for Gap 9: joint solve's original −0.5 dB framing (“nearly free” next to native) does not hold — at −1.64 dB it is a real, meaningfully worse tradeoff than reported, though still likely preferable to naive reuse's −3.0 dB.</w:t>
      </w:r>
    </w:p>
    <w:p>
      <w:pPr>
        <w:pStyle w:val="Heading2"/>
      </w:pPr>
      <w:r>
        <w:t>A.14.2 Learning-rate sweep (10.2) — confirmed at full resolution, 3 seeds</w:t>
      </w:r>
    </w:p>
    <w:p>
      <w:r>
        <w:rPr>
          <w:i w:val="0"/>
        </w:rPr>
        <w:t>10.2's learning-rate sweep (“four materially different optimization strategies, under 0.6 dB of spread”) was flagged as the single most exposed finding in this document: single-seed AND 512×512-only, the same double-gap that broke 10.3 and 10.8. Re-tested at full resolution (4,700×2,700) across 3 seeds per strategy (fixed lr=0.02, fixed lr=0.05, cosine decay, one-cycle), N_STEPS=800:</w:t>
      </w:r>
    </w:p>
    <w:tbl>
      <w:tblPr>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Seeds (dB)</w:t>
            </w:r>
          </w:p>
        </w:tc>
        <w:tc>
          <w:tcPr>
            <w:tcW w:type="dxa" w:w="2340"/>
          </w:tcPr>
          <w:p>
            <w:r>
              <w:t>Avg</w:t>
            </w:r>
          </w:p>
        </w:tc>
        <w:tc>
          <w:tcPr>
            <w:tcW w:type="dxa" w:w="2340"/>
          </w:tcPr>
          <w:p>
            <w:r>
              <w:t>Spread</w:t>
            </w:r>
          </w:p>
        </w:tc>
      </w:tr>
      <w:tr>
        <w:tc>
          <w:tcPr>
            <w:tcW w:type="dxa" w:w="2340"/>
          </w:tcPr>
          <w:p>
            <w:r>
              <w:t>fixed lr=0.02</w:t>
            </w:r>
          </w:p>
        </w:tc>
        <w:tc>
          <w:tcPr>
            <w:tcW w:type="dxa" w:w="2340"/>
          </w:tcPr>
          <w:p>
            <w:r>
              <w:t>11.95, 11.63, 11.68</w:t>
            </w:r>
          </w:p>
        </w:tc>
        <w:tc>
          <w:tcPr>
            <w:tcW w:type="dxa" w:w="2340"/>
          </w:tcPr>
          <w:p>
            <w:r>
              <w:t>11.75</w:t>
            </w:r>
          </w:p>
        </w:tc>
        <w:tc>
          <w:tcPr>
            <w:tcW w:type="dxa" w:w="2340"/>
          </w:tcPr>
          <w:p>
            <w:r>
              <w:t>0.33</w:t>
            </w:r>
          </w:p>
        </w:tc>
      </w:tr>
      <w:tr>
        <w:tc>
          <w:tcPr>
            <w:tcW w:type="dxa" w:w="2340"/>
          </w:tcPr>
          <w:p>
            <w:r>
              <w:t>fixed lr=0.05</w:t>
            </w:r>
          </w:p>
        </w:tc>
        <w:tc>
          <w:tcPr>
            <w:tcW w:type="dxa" w:w="2340"/>
          </w:tcPr>
          <w:p>
            <w:r>
              <w:t>11.84, 11.95, 12.13</w:t>
            </w:r>
          </w:p>
        </w:tc>
        <w:tc>
          <w:tcPr>
            <w:tcW w:type="dxa" w:w="2340"/>
          </w:tcPr>
          <w:p>
            <w:r>
              <w:t>11.97</w:t>
            </w:r>
          </w:p>
        </w:tc>
        <w:tc>
          <w:tcPr>
            <w:tcW w:type="dxa" w:w="2340"/>
          </w:tcPr>
          <w:p>
            <w:r>
              <w:t>0.29</w:t>
            </w:r>
          </w:p>
        </w:tc>
      </w:tr>
      <w:tr>
        <w:tc>
          <w:tcPr>
            <w:tcW w:type="dxa" w:w="2340"/>
          </w:tcPr>
          <w:p>
            <w:r>
              <w:t>cosine decay</w:t>
            </w:r>
          </w:p>
        </w:tc>
        <w:tc>
          <w:tcPr>
            <w:tcW w:type="dxa" w:w="2340"/>
          </w:tcPr>
          <w:p>
            <w:r>
              <w:t>11.66, 11.96, 11.71</w:t>
            </w:r>
          </w:p>
        </w:tc>
        <w:tc>
          <w:tcPr>
            <w:tcW w:type="dxa" w:w="2340"/>
          </w:tcPr>
          <w:p>
            <w:r>
              <w:t>11.78</w:t>
            </w:r>
          </w:p>
        </w:tc>
        <w:tc>
          <w:tcPr>
            <w:tcW w:type="dxa" w:w="2340"/>
          </w:tcPr>
          <w:p>
            <w:r>
              <w:t>0.30</w:t>
            </w:r>
          </w:p>
        </w:tc>
      </w:tr>
      <w:tr>
        <w:tc>
          <w:tcPr>
            <w:tcW w:type="dxa" w:w="2340"/>
          </w:tcPr>
          <w:p>
            <w:r>
              <w:t>one-cycle</w:t>
            </w:r>
          </w:p>
        </w:tc>
        <w:tc>
          <w:tcPr>
            <w:tcW w:type="dxa" w:w="2340"/>
          </w:tcPr>
          <w:p>
            <w:r>
              <w:t>11.85, 11.67, 11.81</w:t>
            </w:r>
          </w:p>
        </w:tc>
        <w:tc>
          <w:tcPr>
            <w:tcW w:type="dxa" w:w="2340"/>
          </w:tcPr>
          <w:p>
            <w:r>
              <w:t>11.78</w:t>
            </w:r>
          </w:p>
        </w:tc>
        <w:tc>
          <w:tcPr>
            <w:tcW w:type="dxa" w:w="2340"/>
          </w:tcPr>
          <w:p>
            <w:r>
              <w:t>0.18</w:t>
            </w:r>
          </w:p>
        </w:tc>
      </w:tr>
    </w:tbl>
    <w:p>
      <w:pPr>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lr_sweep_seed_check.png"/>
                    <pic:cNvPicPr/>
                  </pic:nvPicPr>
                  <pic:blipFill>
                    <a:blip r:embed="rId15"/>
                    <a:stretch>
                      <a:fillRect/>
                    </a:stretch>
                  </pic:blipFill>
                  <pic:spPr>
                    <a:xfrm>
                      <a:off x="0" y="0"/>
                      <a:ext cx="5486400" cy="3048000"/>
                    </a:xfrm>
                    <a:prstGeom prst="rect"/>
                  </pic:spPr>
                </pic:pic>
              </a:graphicData>
            </a:graphic>
          </wp:inline>
        </w:drawing>
      </w:r>
    </w:p>
    <w:p>
      <w:pPr>
        <w:jc w:val="center"/>
      </w:pPr>
      <w:r>
        <w:rPr>
          <w:i/>
          <w:sz w:val="18"/>
        </w:rPr>
        <w:t>All 12 runs (3 seeds × 4 strategies), full resolution. The four strategies interleave throughout training — no strategy pulls consistently ahead of the others.</w:t>
      </w:r>
    </w:p>
    <w:p>
      <w:r>
        <w:rPr>
          <w:i/>
        </w:rPr>
        <w:t>Note: overall spread across all 12 runs was 0.50 dB — close to the original &lt;0.6 dB claim. One run (fixed lr=0.02, seed 0) was still measurably improving at N_STEPS=800; this is noted as a minor caveat but does not change the conclusion given the overall spread already sits within the originally reported bound. This finding holds up under the corrected methodology and needs no revision.</w:t>
      </w:r>
    </w:p>
    <w:p>
      <w:pPr>
        <w:pStyle w:val="Heading2"/>
      </w:pPr>
      <w:r>
        <w:t>A.14.3 Neural-prior comparison (10.2) — attempted, found untestable at current cost</w:t>
      </w:r>
    </w:p>
    <w:p>
      <w:r>
        <w:rPr>
          <w:i w:val="0"/>
        </w:rPr>
        <w:t>10.2's neural-prior comparison (CNN-parameterized phase vs. SGD, 512×512, single seed) was the second half of the same audit item as the learning-rate sweep. A full-resolution calibration run (20 training steps) found this comparison is not tractable to re-verify the same way: each training step took ~4.6 seconds at full resolution (peak GPU memory 10.4 GB), roughly 10× the ~0.48s/step measured for plain SGD at the same resolution (A.14.2). Matching SGD's 800-step budget would cost approximately one hour per run; a 3-seed check would cost approximately three hours for this condition alone.</w:t>
      </w:r>
    </w:p>
    <w:p>
      <w:r>
        <w:rPr>
          <w:i w:val="0"/>
        </w:rPr>
        <w:t>Separately, and more importantly: quality during the calibration run did not converge cleanly. Across 20 steps, PSNR oscillated between 4.19 and 6.36 dB with no clear upward trend — well below even the network's original 512×512 result (~11 dB). This suggests the network's hyperparameters (learning rate, latent size, channel count) were tuned for 512×512 and do not transfer to full resolution without rework, which is a materially larger undertaking than a straightforward re-run.</w:t>
      </w:r>
    </w:p>
    <w:p>
      <w:r>
        <w:rPr>
          <w:i/>
        </w:rPr>
        <w:t>Note: STATUS: untested, not confirmed either way. This is the one audit item this revision could not close — recorded here rather than silently left off the list, per this project's standing practice of stating what remains genuinely open rather than implying completeness. 10.2's “four lines of evidence” for Gap 7's representational-limit conclusion should be read as three independently re-confirmable (averaging, plane-count [still unaudited itself, see below], learning-rate sweep) and one (neural-prior) that remains exactly as originally reported: single-seed, small-scale, unverified at the resolution that matters.</w:t>
      </w:r>
    </w:p>
    <w:p>
      <w:pPr>
        <w:pStyle w:val="Heading2"/>
      </w:pPr>
      <w:r>
        <w:t>A.14.4 Large-shift warm-start speedup (10.5) — seed-checked, found highly volatile</w:t>
      </w:r>
    </w:p>
    <w:p>
      <w:r>
        <w:rPr>
          <w:i w:val="0"/>
        </w:rPr>
        <w:t>10.5's steady-pan warm-start table reports a 3-seed range for the small-shift full-resolution case (7.67×–9.33×) but the large-shift (~12% of frame) full-resolution case was still a single-seed figure (~6.0×) sitting in the same table — easy to miss next to a properly-checked row. Re-tested with the same 3-base-seed methodology used for the small-shift case:</w:t>
      </w:r>
    </w:p>
    <w:tbl>
      <w:tblPr>
        <w:tblW w:type="auto" w:w="0"/>
        <w:tblLook w:firstColumn="1" w:firstRow="1" w:lastColumn="0" w:lastRow="0" w:noHBand="0" w:noVBand="1" w:val="04A0"/>
      </w:tblPr>
      <w:tblGrid>
        <w:gridCol w:w="4680"/>
        <w:gridCol w:w="4680"/>
      </w:tblGrid>
      <w:tr>
        <w:tc>
          <w:tcPr>
            <w:tcW w:type="dxa" w:w="4680"/>
          </w:tcPr>
          <w:p>
            <w:r>
              <w:t>Base seed</w:t>
            </w:r>
          </w:p>
        </w:tc>
        <w:tc>
          <w:tcPr>
            <w:tcW w:type="dxa" w:w="4680"/>
          </w:tcPr>
          <w:p>
            <w:r>
              <w:t>Speedup</w:t>
            </w:r>
          </w:p>
        </w:tc>
      </w:tr>
      <w:tr>
        <w:tc>
          <w:tcPr>
            <w:tcW w:type="dxa" w:w="4680"/>
          </w:tcPr>
          <w:p>
            <w:r>
              <w:t>0</w:t>
            </w:r>
          </w:p>
        </w:tc>
        <w:tc>
          <w:tcPr>
            <w:tcW w:type="dxa" w:w="4680"/>
          </w:tcPr>
          <w:p>
            <w:r>
              <w:t>8.00×</w:t>
            </w:r>
          </w:p>
        </w:tc>
      </w:tr>
      <w:tr>
        <w:tc>
          <w:tcPr>
            <w:tcW w:type="dxa" w:w="4680"/>
          </w:tcPr>
          <w:p>
            <w:r>
              <w:t>1</w:t>
            </w:r>
          </w:p>
        </w:tc>
        <w:tc>
          <w:tcPr>
            <w:tcW w:type="dxa" w:w="4680"/>
          </w:tcPr>
          <w:p>
            <w:r>
              <w:t>13.67×</w:t>
            </w:r>
          </w:p>
        </w:tc>
      </w:tr>
      <w:tr>
        <w:tc>
          <w:tcPr>
            <w:tcW w:type="dxa" w:w="4680"/>
          </w:tcPr>
          <w:p>
            <w:r>
              <w:t>2</w:t>
            </w:r>
          </w:p>
        </w:tc>
        <w:tc>
          <w:tcPr>
            <w:tcW w:type="dxa" w:w="4680"/>
          </w:tcPr>
          <w:p>
            <w:r>
              <w:t>5.33×</w:t>
            </w:r>
          </w:p>
        </w:tc>
      </w:tr>
    </w:tbl>
    <w:p>
      <w:r>
        <w:rPr>
          <w:i/>
        </w:rPr>
        <w:t>Note: range 5.33×–13.67×, a 93% spread — roughly 5x wider than the small-shift row's 19%. The original single-seed figure (~6.0×) happens to sit near the low end of this range, so it wasn't wildly wrong, but it substantially understated the volatility: the true number could plausibly have come out anywhere from 5× to nearly 14× depending on which seed was drawn. Reported as ~9× (3-seed mean) going forward, not a single point, matching the treatment already given to the small-shift row.</w:t>
      </w:r>
    </w:p>
    <w:p>
      <w:pPr>
        <w:pStyle w:val="Heading2"/>
      </w:pPr>
      <w:r>
        <w:t>A.14.5 Shift-sweep “unexplained” non-monotonic pattern (10.9) — resolved as seed noise</w:t>
      </w:r>
    </w:p>
    <w:p>
      <w:r>
        <w:rPr>
          <w:i w:val="0"/>
        </w:rPr>
        <w:t>The full 6-point shift-magnitude sweep (3, 10, 30, 60, 100, 150px on a 512×512 frame) has been cited since it was first measured as showing an unexplained non-monotonic speedup curve — but every point in that sweep was itself a single seed, never checked against this project's own multi-seed standard. Re-tested with 3 base seeds per shift value, using the pad-crop (non-wrapping) motion model already established as more defensible than the original roll-based version:</w:t>
      </w:r>
    </w:p>
    <w:tbl>
      <w:tblPr>
        <w:tblW w:type="auto" w:w="0"/>
        <w:tblLook w:firstColumn="1" w:firstRow="1" w:lastColumn="0" w:lastRow="0" w:noHBand="0" w:noVBand="1" w:val="04A0"/>
      </w:tblPr>
      <w:tblGrid>
        <w:gridCol w:w="2340"/>
        <w:gridCol w:w="2340"/>
        <w:gridCol w:w="2340"/>
        <w:gridCol w:w="2340"/>
      </w:tblGrid>
      <w:tr>
        <w:tc>
          <w:tcPr>
            <w:tcW w:type="dxa" w:w="2340"/>
          </w:tcPr>
          <w:p>
            <w:r>
              <w:t>Shift (px)</w:t>
            </w:r>
          </w:p>
        </w:tc>
        <w:tc>
          <w:tcPr>
            <w:tcW w:type="dxa" w:w="2340"/>
          </w:tcPr>
          <w:p>
            <w:r>
              <w:t>Seed avgs</w:t>
            </w:r>
          </w:p>
        </w:tc>
        <w:tc>
          <w:tcPr>
            <w:tcW w:type="dxa" w:w="2340"/>
          </w:tcPr>
          <w:p>
            <w:r>
              <w:t>Mean</w:t>
            </w:r>
          </w:p>
        </w:tc>
        <w:tc>
          <w:tcPr>
            <w:tcW w:type="dxa" w:w="2340"/>
          </w:tcPr>
          <w:p>
            <w:r>
              <w:t>Within-point spread</w:t>
            </w:r>
          </w:p>
        </w:tc>
      </w:tr>
      <w:tr>
        <w:tc>
          <w:tcPr>
            <w:tcW w:type="dxa" w:w="2340"/>
          </w:tcPr>
          <w:p>
            <w:r>
              <w:t>3</w:t>
            </w:r>
          </w:p>
        </w:tc>
        <w:tc>
          <w:tcPr>
            <w:tcW w:type="dxa" w:w="2340"/>
          </w:tcPr>
          <w:p>
            <w:r>
              <w:t>14.86, 13.71, 14.00</w:t>
            </w:r>
          </w:p>
        </w:tc>
        <w:tc>
          <w:tcPr>
            <w:tcW w:type="dxa" w:w="2340"/>
          </w:tcPr>
          <w:p>
            <w:r>
              <w:t>14.19</w:t>
            </w:r>
          </w:p>
        </w:tc>
        <w:tc>
          <w:tcPr>
            <w:tcW w:type="dxa" w:w="2340"/>
          </w:tcPr>
          <w:p>
            <w:r>
              <w:t>1.14</w:t>
            </w:r>
          </w:p>
        </w:tc>
      </w:tr>
      <w:tr>
        <w:tc>
          <w:tcPr>
            <w:tcW w:type="dxa" w:w="2340"/>
          </w:tcPr>
          <w:p>
            <w:r>
              <w:t>10</w:t>
            </w:r>
          </w:p>
        </w:tc>
        <w:tc>
          <w:tcPr>
            <w:tcW w:type="dxa" w:w="2340"/>
          </w:tcPr>
          <w:p>
            <w:r>
              <w:t>11.36, 10.48, 12.36</w:t>
            </w:r>
          </w:p>
        </w:tc>
        <w:tc>
          <w:tcPr>
            <w:tcW w:type="dxa" w:w="2340"/>
          </w:tcPr>
          <w:p>
            <w:r>
              <w:t>11.40</w:t>
            </w:r>
          </w:p>
        </w:tc>
        <w:tc>
          <w:tcPr>
            <w:tcW w:type="dxa" w:w="2340"/>
          </w:tcPr>
          <w:p>
            <w:r>
              <w:t>1.88</w:t>
            </w:r>
          </w:p>
        </w:tc>
      </w:tr>
      <w:tr>
        <w:tc>
          <w:tcPr>
            <w:tcW w:type="dxa" w:w="2340"/>
          </w:tcPr>
          <w:p>
            <w:r>
              <w:t>30</w:t>
            </w:r>
          </w:p>
        </w:tc>
        <w:tc>
          <w:tcPr>
            <w:tcW w:type="dxa" w:w="2340"/>
          </w:tcPr>
          <w:p>
            <w:r>
              <w:t>11.95, 10.12, 12.88</w:t>
            </w:r>
          </w:p>
        </w:tc>
        <w:tc>
          <w:tcPr>
            <w:tcW w:type="dxa" w:w="2340"/>
          </w:tcPr>
          <w:p>
            <w:r>
              <w:t>11.65</w:t>
            </w:r>
          </w:p>
        </w:tc>
        <w:tc>
          <w:tcPr>
            <w:tcW w:type="dxa" w:w="2340"/>
          </w:tcPr>
          <w:p>
            <w:r>
              <w:t>2.76</w:t>
            </w:r>
          </w:p>
        </w:tc>
      </w:tr>
      <w:tr>
        <w:tc>
          <w:tcPr>
            <w:tcW w:type="dxa" w:w="2340"/>
          </w:tcPr>
          <w:p>
            <w:r>
              <w:t>60</w:t>
            </w:r>
          </w:p>
        </w:tc>
        <w:tc>
          <w:tcPr>
            <w:tcW w:type="dxa" w:w="2340"/>
          </w:tcPr>
          <w:p>
            <w:r>
              <w:t>11.47, 11.49, 9.81</w:t>
            </w:r>
          </w:p>
        </w:tc>
        <w:tc>
          <w:tcPr>
            <w:tcW w:type="dxa" w:w="2340"/>
          </w:tcPr>
          <w:p>
            <w:r>
              <w:t>10.92</w:t>
            </w:r>
          </w:p>
        </w:tc>
        <w:tc>
          <w:tcPr>
            <w:tcW w:type="dxa" w:w="2340"/>
          </w:tcPr>
          <w:p>
            <w:r>
              <w:t>1.68</w:t>
            </w:r>
          </w:p>
        </w:tc>
      </w:tr>
      <w:tr>
        <w:tc>
          <w:tcPr>
            <w:tcW w:type="dxa" w:w="2340"/>
          </w:tcPr>
          <w:p>
            <w:r>
              <w:t>100</w:t>
            </w:r>
          </w:p>
        </w:tc>
        <w:tc>
          <w:tcPr>
            <w:tcW w:type="dxa" w:w="2340"/>
          </w:tcPr>
          <w:p>
            <w:r>
              <w:t>7.51, 10.08, 7.14</w:t>
            </w:r>
          </w:p>
        </w:tc>
        <w:tc>
          <w:tcPr>
            <w:tcW w:type="dxa" w:w="2340"/>
          </w:tcPr>
          <w:p>
            <w:r>
              <w:t>8.25</w:t>
            </w:r>
          </w:p>
        </w:tc>
        <w:tc>
          <w:tcPr>
            <w:tcW w:type="dxa" w:w="2340"/>
          </w:tcPr>
          <w:p>
            <w:r>
              <w:t>2.94</w:t>
            </w:r>
          </w:p>
        </w:tc>
      </w:tr>
      <w:tr>
        <w:tc>
          <w:tcPr>
            <w:tcW w:type="dxa" w:w="2340"/>
          </w:tcPr>
          <w:p>
            <w:r>
              <w:t>150</w:t>
            </w:r>
          </w:p>
        </w:tc>
        <w:tc>
          <w:tcPr>
            <w:tcW w:type="dxa" w:w="2340"/>
          </w:tcPr>
          <w:p>
            <w:r>
              <w:t>7.29, 6.39, 5.14</w:t>
            </w:r>
          </w:p>
        </w:tc>
        <w:tc>
          <w:tcPr>
            <w:tcW w:type="dxa" w:w="2340"/>
          </w:tcPr>
          <w:p>
            <w:r>
              <w:t>6.27</w:t>
            </w:r>
          </w:p>
        </w:tc>
        <w:tc>
          <w:tcPr>
            <w:tcW w:type="dxa" w:w="2340"/>
          </w:tcPr>
          <w:p>
            <w:r>
              <w:t>2.14</w:t>
            </w:r>
          </w:p>
        </w:tc>
      </w:tr>
    </w:tbl>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shift_sweep_seed_check.png"/>
                    <pic:cNvPicPr/>
                  </pic:nvPicPr>
                  <pic:blipFill>
                    <a:blip r:embed="rId16"/>
                    <a:stretch>
                      <a:fillRect/>
                    </a:stretch>
                  </pic:blipFill>
                  <pic:spPr>
                    <a:xfrm>
                      <a:off x="0" y="0"/>
                      <a:ext cx="5486400" cy="3048000"/>
                    </a:xfrm>
                    <a:prstGeom prst="rect"/>
                  </pic:spPr>
                </pic:pic>
              </a:graphicData>
            </a:graphic>
          </wp:inline>
        </w:drawing>
      </w:r>
    </w:p>
    <w:p>
      <w:pPr>
        <w:jc w:val="center"/>
      </w:pPr>
      <w:r>
        <w:rPr>
          <w:i/>
          <w:sz w:val="18"/>
        </w:rPr>
        <w:t>Per-seed speedup across the full shift-magnitude sweep (512×512), with the 3-seed mean in black. The mid-sweep wobble sits well inside the per-point seed spread — not a real non-monotonic effect.</w:t>
      </w:r>
    </w:p>
    <w:p>
      <w:r>
        <w:rPr>
          <w:i/>
        </w:rPr>
        <w:t>Note: seed-averaged, the curve decays smoothly with shift magnitude (14.19 → 6.27), with only a negligible non-monotonic wobble (10px → 30px, 11.40 → 11.65) well inside the seed-to-seed noise floor at any single point (up to 2.94× within-point spread, vs. a 7.92× between-point range — a real, much larger signal than the noise). The original dip-then-partial-recovery shape that was flagged as unexplained does not survive proper averaging; a single unlucky or lucky seed at one or more of the mid-sweep points was sufficient to manufacture the appearance of a real physical wobble. This item is closed: no real anomaly remains to investigate, just ordinary seed variance that had not yet been checked.</w:t>
      </w:r>
    </w:p>
    <w:p>
      <w:pPr>
        <w:pStyle w:val="Heading2"/>
      </w:pPr>
      <w:r>
        <w:t>A.14.6 Two-plane dropoff, original base scenario (10.8) — full-resolution and seed-checked</w:t>
      </w:r>
    </w:p>
    <w:p>
      <w:r>
        <w:rPr>
          <w:i w:val="0"/>
        </w:rPr>
        <w:t>10.8's content-adaptivity claim (built on purpose-made CLOSEUP/LAYERED profiles) was already retracted at full resolution in the previous revision (A.13). Separately, this project's ORIGINAL two-plane-dropoff test — using the project's standard near/mid/far content, not the CLOSEUP/LAYERED profiles — had itself only ever been run at 512×512. Retested at full resolution, single seed first:</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Plateau</w:t>
            </w:r>
          </w:p>
        </w:tc>
        <w:tc>
          <w:tcPr>
            <w:tcW w:type="dxa" w:w="3120"/>
          </w:tcPr>
          <w:p>
            <w:r>
              <w:t>FFTs/frame</w:t>
            </w:r>
          </w:p>
        </w:tc>
      </w:tr>
      <w:tr>
        <w:tc>
          <w:tcPr>
            <w:tcW w:type="dxa" w:w="3120"/>
          </w:tcPr>
          <w:p>
            <w:r>
              <w:t>3-plane baseline</w:t>
            </w:r>
          </w:p>
        </w:tc>
        <w:tc>
          <w:tcPr>
            <w:tcW w:type="dxa" w:w="3120"/>
          </w:tcPr>
          <w:p>
            <w:r>
              <w:t>64</w:t>
            </w:r>
          </w:p>
        </w:tc>
        <w:tc>
          <w:tcPr>
            <w:tcW w:type="dxa" w:w="3120"/>
          </w:tcPr>
          <w:p>
            <w:r>
              <w:t>768</w:t>
            </w:r>
          </w:p>
        </w:tc>
      </w:tr>
      <w:tr>
        <w:tc>
          <w:tcPr>
            <w:tcW w:type="dxa" w:w="3120"/>
          </w:tcPr>
          <w:p>
            <w:r>
              <w:t>2-plane (mid dropped)</w:t>
            </w:r>
          </w:p>
        </w:tc>
        <w:tc>
          <w:tcPr>
            <w:tcW w:type="dxa" w:w="3120"/>
          </w:tcPr>
          <w:p>
            <w:r>
              <w:t>189</w:t>
            </w:r>
          </w:p>
        </w:tc>
        <w:tc>
          <w:tcPr>
            <w:tcW w:type="dxa" w:w="3120"/>
          </w:tcPr>
          <w:p>
            <w:r>
              <w:t>1512</w:t>
            </w:r>
          </w:p>
        </w:tc>
      </w:tr>
    </w:tbl>
    <w:p>
      <w:pPr>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two_plane_dropoff_fullres_base.png"/>
                    <pic:cNvPicPr/>
                  </pic:nvPicPr>
                  <pic:blipFill>
                    <a:blip r:embed="rId17"/>
                    <a:stretch>
                      <a:fillRect/>
                    </a:stretch>
                  </pic:blipFill>
                  <pic:spPr>
                    <a:xfrm>
                      <a:off x="0" y="0"/>
                      <a:ext cx="5486400" cy="1828800"/>
                    </a:xfrm>
                    <a:prstGeom prst="rect"/>
                  </pic:spPr>
                </pic:pic>
              </a:graphicData>
            </a:graphic>
          </wp:inline>
        </w:drawing>
      </w:r>
    </w:p>
    <w:p>
      <w:pPr>
        <w:jc w:val="center"/>
      </w:pPr>
      <w:r>
        <w:rPr>
          <w:i/>
          <w:sz w:val="18"/>
        </w:rPr>
        <w:t>Full-resolution reconstruction at the dropped mid depth, standard (non-CLOSEUP/LAYERED) content: the 2-plane proxy still resolves the caption text, just at lower contrast than the 3-plane actual solve — consistent with the quality figures, independent of the compute-side reversal.</w:t>
      </w:r>
    </w:p>
    <w:p>
      <w:r>
        <w:rPr>
          <w:i w:val="0"/>
        </w:rPr>
        <w:t>Quality held up in the same range as the 512×512 result (ceiling 10.73 dB, proxy 6.52 dB, floor 5.49 dB, vs. 9.76/6.29/4.86 dB at small scale). Compute did not: 2-plane needed nearly 3× more iterations to converge (189 vs. 64), enough that total FFT cost nearly doubled (−96.9% “saved,” i.e. a real cost increase) instead of matching the small-scale result's +22.7% saving.</w:t>
      </w:r>
    </w:p>
    <w:p>
      <w:r>
        <w:rPr>
          <w:i w:val="0"/>
        </w:rPr>
        <w:t>That comparison was itself single-seed on both sides — exactly the kind of measurement this whole audit exists to distrust. Re-tested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FFTs per seed</w:t>
            </w:r>
          </w:p>
        </w:tc>
        <w:tc>
          <w:tcPr>
            <w:tcW w:type="dxa" w:w="3120"/>
          </w:tcPr>
          <w:p>
            <w:r>
              <w:t>Avg FFTs</w:t>
            </w:r>
          </w:p>
        </w:tc>
      </w:tr>
      <w:tr>
        <w:tc>
          <w:tcPr>
            <w:tcW w:type="dxa" w:w="3120"/>
          </w:tcPr>
          <w:p>
            <w:r>
              <w:t>3-plane</w:t>
            </w:r>
          </w:p>
        </w:tc>
        <w:tc>
          <w:tcPr>
            <w:tcW w:type="dxa" w:w="3120"/>
          </w:tcPr>
          <w:p>
            <w:r>
              <w:t>768, 2232, 864</w:t>
            </w:r>
          </w:p>
        </w:tc>
        <w:tc>
          <w:tcPr>
            <w:tcW w:type="dxa" w:w="3120"/>
          </w:tcPr>
          <w:p>
            <w:r>
              <w:t>1288</w:t>
            </w:r>
          </w:p>
        </w:tc>
      </w:tr>
      <w:tr>
        <w:tc>
          <w:tcPr>
            <w:tcW w:type="dxa" w:w="3120"/>
          </w:tcPr>
          <w:p>
            <w:r>
              <w:t>2-plane</w:t>
            </w:r>
          </w:p>
        </w:tc>
        <w:tc>
          <w:tcPr>
            <w:tcW w:type="dxa" w:w="3120"/>
          </w:tcPr>
          <w:p>
            <w:r>
              <w:t>1512, 1728, 1720</w:t>
            </w:r>
          </w:p>
        </w:tc>
        <w:tc>
          <w:tcPr>
            <w:tcW w:type="dxa" w:w="3120"/>
          </w:tcPr>
          <w:p>
            <w:r>
              <w:t>1653</w:t>
            </w:r>
          </w:p>
        </w:tc>
      </w:tr>
    </w:tbl>
    <w:p>
      <w:r>
        <w:rPr>
          <w:i/>
        </w:rPr>
        <w:t>Note: 3-plane's own seed variance is enormous here — one seed (2232 FFTs) is nearly 3× another (768 FFTs), which by itself dwarfs the comparison being made. Across all 9 possible seed pairings, the “compute saved by dropping mid” ranges from +32.3% (a real saving) to −125.0% (more than double the cost) — the sign is not stable. The 3-seed average (1288 vs. 1653 FFTs) shows 2-plane costing 28.4% MORE than 3-plane, the opposite direction from the small-scale result (+22.7% saving), though not as extreme as the single-seed −96.9% figure it replaces. Conclusion: the original “dropping mid saves ~20–33% compute” claim, as stated for this project's standard content, does not hold at full resolution. With only 3 seeds the true average isn't pinned down precisely — it could plausibly range from a modest saving to a real cost increase — but the direction is genuinely uncertain and should not be reported as a confirmed saving. This does not affect the CLOSEUP/LAYERED profiles' own full-resolution results (A.12, A.13), which used different, purpose-built content and were checked independently.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