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 xml:space="preserve">v19 · Two findings that predated this project's multi-seed and full-resolution standards were caught and corrected this revision, without a prompted audit. 10.3's long-standing "no benefit for sparse content" sequential-rendering conclusion — present in this document since its earliest surviving revision — is reversed: properly seed-tested (25 pairings), near and mid content show a small but consistently real advantage, never crossing zero. Separately, 10.8's content-adaptive plane-count candidate is retracted outright — a full-resolution retest flipped which content profile benefits more, the same jump-to-scale reversal pattern seen elsewhere in this document. A systematic audit of what else in this document predates these standards is flagged as still needed, not yet done. See 10.3, 10.8, 10.9, and Appendix A.13.</w:t>
      </w:r>
    </w:p>
    <w:p>
      <w:pPr>
        <w:spacing w:after="160"/>
      </w:pPr>
      <w:r>
        <w:rPr>
          <w:b w:val="false"/>
          <w:bCs w:val="false"/>
          <w:i w:val="false"/>
          <w:iCs w:val="false"/>
        </w:rPr>
        <w:t xml:space="preserve">This document derives every target number in the system from first-principles physics and states every open gap with its magnitude. The posture is unchanged from v12–v18: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rPr>
                <w:b w:val="false"/>
                <w:bCs w:val="false"/>
                <w:sz w:val="20"/>
                <w:szCs w:val="20"/>
              </w:rPr>
              <w:t xml:space="preserve">~1,291.7 TFLOP/s, 5-seed average (10.1), monochrome, cold-start</w:t>
            </w:r>
          </w:p>
        </w:tc>
        <w:tc>
          <w:tcPr>
            <w:tcW w:type="dxa" w:w="3000"/>
          </w:tcPr>
          <w:p>
            <w:r>
              <w:rPr>
                <w:b w:val="false"/>
                <w:bCs w:val="false"/>
                <w:sz w:val="20"/>
                <w:szCs w:val="20"/>
              </w:rPr>
              <w:t xml:space="preserve">552±198 FFTs/frame avg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rPr>
                <w:b w:val="false"/>
                <w:bCs w:val="false"/>
                <w:sz w:val="20"/>
                <w:szCs w:val="20"/>
              </w:rPr>
              <w:t xml:space="preserve">~199W ± 71 measured, 5-seed average (10.1), monochrome (range 130–282W); ~597W estimated with color (Gap 9, not yet jointly measured)</w:t>
            </w:r>
          </w:p>
        </w:tc>
        <w:tc>
          <w:tcPr>
            <w:tcW w:type="dxa" w:w="3000"/>
          </w:tcPr>
          <w:p>
            <w:r>
              <w:rPr>
                <w:b w:val="false"/>
                <w:bCs w:val="false"/>
                <w:sz w:val="20"/>
                <w:szCs w:val="20"/>
              </w:rPr>
              <w:t xml:space="preserve">1,291.7 TFLOP/s ÷ 6.5 TOPS/W (BFP16)</w:t>
            </w:r>
          </w:p>
        </w:tc>
      </w:tr>
      <w:tr>
        <w:tc>
          <w:tcPr>
            <w:tcW w:type="dxa" w:w="2400"/>
          </w:tcPr>
          <w:p>
            <w:r>
              <w:rPr>
                <w:b w:val="false"/>
                <w:bCs w:val="false"/>
                <w:sz w:val="20"/>
                <w:szCs w:val="20"/>
              </w:rPr>
              <w:t xml:space="preserve">Power budget target</w:t>
            </w:r>
          </w:p>
        </w:tc>
        <w:tc>
          <w:tcPr>
            <w:tcW w:type="dxa" w:w="3600"/>
          </w:tcPr>
          <w:p>
            <w:r>
              <w:rPr>
                <w:b w:val="false"/>
                <w:bCs w:val="false"/>
                <w:sz w:val="20"/>
                <w:szCs w:val="20"/>
              </w:rPr>
              <w:t xml:space="preserve">≤ 500 mW — ~397× over at current monochrome average (range 260×–564×); ~1,194× with color estimate</w:t>
            </w:r>
          </w:p>
        </w:tc>
        <w:tc>
          <w:tcPr>
            <w:tcW w:type="dxa" w:w="3000"/>
          </w:tcPr>
          <w:p>
            <w:r>
              <w:rPr>
                <w:b w:val="false"/>
                <w:bCs w:val="false"/>
                <w:sz w:val="20"/>
                <w:szCs w:val="20"/>
              </w:rPr>
              <w:t xml:space="preserve">See 10.1 and Gap 2</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rPr>
                <w:b w:val="false"/>
                <w:bCs w:val="false"/>
                <w:sz w:val="20"/>
                <w:szCs w:val="20"/>
              </w:rPr>
              <w:t xml:space="preserve">~46–92 min at the original ~1.3W estimate; ~18–36s at the measured ~199W average baseline (range ~13–55s across seed variance,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 xml:space="preserve">Note: Every figure in this table with a citation to Section 10 is a live measurement, not a closed spec — treat this table as current-best-known, not final. The compute/power figures were rebaselined this revision to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rPr>
                <w:b w:val="false"/>
                <w:bCs w:val="false"/>
                <w:sz w:val="20"/>
                <w:szCs w:val="20"/>
              </w:rPr>
              <w:t xml:space="preserve">~199W ± 71 measured, 5-seed average (10.1, monochrome), range 130–282W; ~597W estimated with color vs. 500mW budget — ~397× over on average (range 260×–564×); ~1,194× with color estimate</w:t>
            </w:r>
          </w:p>
        </w:tc>
        <w:tc>
          <w:tcPr>
            <w:tcW w:type="dxa" w:w="3900"/>
          </w:tcPr>
          <w:p>
            <w:r>
              <w:rPr>
                <w:b w:val="false"/>
                <w:bCs w:val="false"/>
                <w:sz w:val="20"/>
                <w:szCs w:val="20"/>
              </w:rPr>
              <w:t xml:space="preserve">A full-resolution, real-content, true-convergence measurement (10.1) found 552 FFTs/frame on average — but a single-seed version of this same measurement (434 FFTs, 156W, 312×) was found to vary genuinely with random seed, not just measurement noise, after a materially improved plateau-detector failed to close the gap (Appendix A.7). Closing this gap requires a different architecture or algorithm, not just a faster implementation. Two preliminary, unconfirmed levers: temporal reuse between similar frames may reduce average (not peak) compute (10.5); INT8 precision may match BFP16 quality algorithmically, a possible ~3× power reduction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rPr>
                <w:b w:val="false"/>
                <w:bCs w:val="false"/>
                <w:sz w:val="20"/>
                <w:szCs w:val="20"/>
              </w:rPr>
              <w:t xml:space="preserve">~324–540mW sustainable vs. ~199W average measured — ~368–614× over, not ~2× (range ~240×–870×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rPr>
                <w:b w:val="false"/>
                <w:bCs w:val="false"/>
                <w:sz w:val="20"/>
                <w:szCs w:val="20"/>
              </w:rPr>
              <w:t xml:space="preserve">~18–36 seconds continuous at the measured ~199W average baseline (range ~13–55s across seed variance);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rPr>
                <w:b w:val="false"/>
                <w:bCs w:val="false"/>
                <w:sz w:val="20"/>
                <w:szCs w:val="20"/>
              </w:rPr>
              <w:t xml:space="preserve">Representational, not algorithmic — confirmed by three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rPr>
                <w:b w:val="false"/>
                <w:bCs w:val="false"/>
                <w:sz w:val="20"/>
                <w:szCs w:val="20"/>
              </w:rPr>
              <w:t xml:space="preserve">Native 6.8 dB, naive reuse 5.8 dB (−1.0 dB), joint solve 6.3 dB (−0.5 dB short of native), corrected metric, full resolution</w:t>
            </w:r>
          </w:p>
        </w:tc>
        <w:tc>
          <w:tcPr>
            <w:tcW w:type="dxa" w:w="3900"/>
          </w:tcPr>
          <w:p>
            <w:r>
              <w:rPr>
                <w:b w:val="false"/>
                <w:bCs w:val="false"/>
                <w:sz w:val="20"/>
                <w:szCs w:val="20"/>
              </w:rPr>
              <w:t xml:space="preserve">Characterized (10.4). Joint multi-color solve is a candidate this document proposes from simulation, not an observed commercial technique — worth raising with a panel supplier directly</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 xml:space="preserve">A full-resolution, real-content, true-convergence measurement, averaged across 5 random seeds after single-seed measurements proved unstable, puts sustained compute at ~1,291.7 TFLOP/s, implying ~199W average at today's realistic BFP16 ceiling — ~397× the 500mW budget on average, before color (Gap 9) multiplies it further. Preliminary quantization-emulation testing (not yet hardware-confirmed) suggests INT8 precision may reach the same quality as BFP16 — if true, that's ~65W, ~129× over budget, via 20 TOPS/W instead of 6.5. What closes the remaining gap: hardware confirmation of INT8 viability,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 xml:space="preserve">10.1 Compute estimate — current measured baseline (5-seed average)</w:t>
      </w:r>
    </w:p>
    <w:p>
      <w:pPr>
        <w:spacing w:after="160"/>
      </w:pPr>
      <w:r>
        <w:rPr>
          <w:b w:val="false"/>
          <w:bCs w:val="false"/>
          <w:i w:val="false"/>
          <w:iCs w:val="false"/>
        </w:rPr>
        <w:t xml:space="preserve">A genuine end-to-end convergence measurement — full target resolution (4,700×2,700), real content, run to true convergence with plateau auto-detected rather than assumed — initially produced a single-seed figure of 434 FFTs/frame, ~156W, ~312× over budget. That figure superseded an earlier measurement (696 FFTs/frame, ~250W, ~500×) which could not be reproduced from any surviving code state — not an error, just never committed before being overwritten (Appendix A.4).</w:t>
      </w:r>
    </w:p>
    <w:p>
      <w:pPr>
        <w:spacing w:after="160"/>
      </w:pPr>
      <w:r>
        <w:rPr>
          <w:b w:val="false"/>
          <w:bCs w:val="false"/>
          <w:i w:val="false"/>
          <w:iCs w:val="false"/>
        </w:rPr>
        <w:t xml:space="preserve">The single-seed figure was then tested for seed sensitivity, on the reasoning that a plateau-detected convergence point sitting anywhere in a flat, noisy region of the curve might not be reliable from one random draw: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 xml:space="preserve">552 ± 198 FFTs/frame  ×  6.5 GFLOP/FFT  ×  360Hz  =  ~1,291.7 TFLOP/s average  →  ~199W ± 71 average  →  ~397× over the 500mW budget on average (range 260×–564×)</w:t>
      </w:r>
    </w:p>
    <w:p>
      <w:pPr>
        <w:spacing w:after="200"/>
      </w:pPr>
      <w:r>
        <w:rPr>
          <w:i/>
          <w:iCs/>
          <w:color w:val="555555"/>
          <w:sz w:val="20"/>
          <w:szCs w:val="20"/>
        </w:rPr>
        <w:t xml:space="preserve">Note: Final quality is tight across seeds (11.47–12.00 dB, 0.53 dB spread) while iterations-to-plateau vary widely (30–65) — confirmed as genuine algorithmic variance in how different random starting phases converge, not a plateau-detection artifact: a materially improved detection criterion (sustained quality hold against an averaged reference, replacing a single-threshold crossing) was tested directly against these same five convergence histories and reduced the spread by less than 3% (35 iterations → 34). See Appendix A.7 for the full comparison.</w:t>
      </w:r>
    </w:p>
    <w:p>
      <w:pPr>
        <w:spacing w:after="200"/>
      </w:pPr>
      <w:r>
        <w:rPr>
          <w:i/>
          <w:iCs/>
          <w:color w:val="555555"/>
          <w:sz w:val="20"/>
          <w:szCs w:val="20"/>
        </w:rPr>
        <w:t xml:space="preserve">Note: Single-seed convergence measurements are no longer treated as sufficient for any figure in this document. Every downstream reference to compute/power (Sections 3, 5, 8, 11) uses this 5-seed average.</w:t>
      </w:r>
    </w:p>
    <w:p>
      <w:pPr>
        <w:pStyle w:val="Heading2"/>
        <w:spacing w:after="150" w:before="300"/>
      </w:pPr>
      <w:r>
        <w:t xml:space="preserve">10.2 Image quality and speckle ceiling (Gap 7)</w:t>
      </w:r>
    </w:p>
    <w:p>
      <w:pPr>
        <w:spacing w:after="160"/>
      </w:pPr>
      <w:r>
        <w:rPr>
          <w:b w:val="false"/>
          <w:bCs w:val="false"/>
          <w:i w:val="false"/>
          <w:iCs w:val="false"/>
        </w:rPr>
        <w:t xml:space="preserve">Reconstructed images plateau at roughly 11–14 dB PSNR (corrected metric — see Appendix A.2) — visibly grainy, consistent with coherent speckle. Three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 xml:space="preserve">Quality degrades monotonically with simultaneous depth-plane count: 14.6 dB (1 plane) → 11.9 dB (2 planes) → 11.5 dB (3 planes), corrected metric.</w:t>
      </w:r>
    </w:p>
    <w:p>
      <w:pPr>
        <w:pStyle w:val="ListParagraph"/>
        <w:numPr>
          <w:ilvl w:val="0"/>
          <w:numId w:val="1"/>
        </w:numPr>
        <w:spacing w:after="100"/>
      </w:pPr>
      <w:r>
        <w:t xml:space="preserve">A learning-rate sweep across four materially different optimization strategies produced under 0.6 dB of spread — ruling out optimizer tuning as the limiting factor.</w:t>
      </w:r>
    </w:p>
    <w:p>
      <w:pPr>
        <w:pStyle w:val="ListParagraph"/>
        <w:numPr>
          <w:ilvl w:val="0"/>
          <w:numId w:val="1"/>
        </w:numPr>
        <w:spacing w:after="100"/>
      </w:pPr>
      <w:r>
        <w:t xml:space="preserve">A follow-up test comparing GS, direct pixel-wise gradient descent, and a CNN-parameterized ("neural-prior") phase representation at equal step budget found no benefit from the network's structural bias (11.07 dB vs. SGD's 13.83 dB) — a fourth, architecturally distinct line of evidence pointing the same direction.</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false"/>
          <w:iCs w:val="false"/>
        </w:rPr>
        <w:t xml:space="preserve">Sequential rendering (solving and displaying each depth plane's phase pattern separately, at 3× the sub-frame cost) shows a real quality advantage at small scale. The original conclusion at target resolution — reported in every prior revision of this document — was that this advantage survives for dense content but disappears entirely for sparse content (icons, text). That conclusion is superseded this revision: it was based on a single seed pairing per condition, never tested against the multi-seed standard this document has applied to every other convergence-speed or quality comparison since 10.7/A.9.</w:t>
      </w:r>
    </w:p>
    <w:p>
      <w:pPr>
        <w:spacing w:after="160"/>
      </w:pPr>
      <w:r>
        <w:rPr>
          <w:b w:val="false"/>
          <w:bCs w:val="false"/>
          <w:i w:val="false"/>
          <w:iCs w:val="false"/>
        </w:rPr>
        <w:t xml:space="preserve">Retested with 5 seeds per condition (25 independent seed pairings total, simultaneous vs. sequential) at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across 25 seed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the 25 seed pairings, for every plane, shows a positive delta — sequential never loses to simultaneous, anywhere in this sample. The original single-seed test's near/mid deltas were genuinely small enough (sub-1–2 dB) to be indistinguishable from seed-to-seed noise in one comparison; properly seed-tested, the sign never actually crosses zero. This is a real, if modest, effect for sparse content, not the "no benefit" this document previously reported.</w:t>
      </w:r>
    </w:p>
    <w:p>
      <w:pPr>
        <w:spacing w:after="200"/>
      </w:pPr>
      <w:r>
        <w:rPr>
          <w:i/>
          <w:iCs/>
          <w:color w:val="555555"/>
          <w:sz w:val="20"/>
          <w:szCs w:val="20"/>
        </w:rPr>
        <w:t xml:space="preserve">Note: Methodology caveat: this retest used the project's amplitude-vs-amplitude convergence metric (matching GS's own internal optimization target, consistent with the experiment scripts used since 10.7), not confirmed to be on the same absolute scale as the psnr_intensity-corrected metric behind the ~1.9–2.1 dB dense-content figure quoted in earlier revisions and Gap 7. The qualitative finding — near and mid show a real, consistently positive effect, not zero — is trustworthy on its own terms; the exact dB magnitudes above should not be assumed directly comparable to previously published corrected-metric figures without confirming consistent methodology first.</w:t>
      </w:r>
    </w:p>
    <w:p>
      <w:pPr>
        <w:spacing w:after="160"/>
      </w:pPr>
      <w:r>
        <w:rPr>
          <w:b w:val="false"/>
          <w:bCs w:val="false"/>
          <w:i w:val="false"/>
          <w:iCs w:val="false"/>
        </w:rPr>
        <w:t xml:space="preserve">Practical read: near/mid's advantage (roughly 0.3–2 dB) is real but small next to far's (2.8–4.4 dB), and Gap 1 already shows no commercial panel meets even the 360Hz base requirement, let alone the 1,080Hz-equivalent a 3× sub-frame cost would demand. The likely product recommendation — don't prioritize sequential rendering for near/mid content — probably still holds, but for a different and more honest reason than this document previously stated: a real, measured, small benefit judged not worth a 3× frame-rate cost, not the absence of any benefit at all.</w:t>
      </w:r>
    </w:p>
    <w:p>
      <w:pPr>
        <w:spacing w:after="200"/>
      </w:pPr>
      <w:r>
        <w:rPr>
          <w:i/>
          <w:iCs/>
          <w:color w:val="555555"/>
          <w:sz w:val="20"/>
          <w:szCs w:val="20"/>
        </w:rPr>
        <w:t xml:space="preserve">Note: This reversal was caught by applying the multi-seed standard retroactively to an old finding that predated it, not by a new test design. It raises a real open question about what else in this document was measured before that standard existed and hasn't been re-checked since — flagged in 10.9, not yet resolved by a systematic audit.</w:t>
      </w:r>
    </w:p>
    <w:p>
      <w:pPr>
        <w:pStyle w:val="Heading2"/>
        <w:spacing w:after="150" w:before="300"/>
      </w:pPr>
      <w:r>
        <w:t xml:space="preserve">10.4 Color / chromatic dispersion (Gap 9)</w:t>
      </w:r>
    </w:p>
    <w:p>
      <w:pPr>
        <w:spacing w:after="160"/>
      </w:pPr>
      <w:r>
        <w:rPr>
          <w:b w:val="false"/>
          <w:bCs w:val="false"/>
          <w:i w:val="false"/>
          <w:iCs w:val="false"/>
        </w:rPr>
        <w:t xml:space="preserve">A phase pattern solved for one wavelength does not fully transfer to others. At full target resolution, across all three depth planes, corrected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c>
          <w:tcPr>
            <w:tcW w:type="dxa" w:w="3200"/>
            <w:shd w:fill="F2F2F2" w:val="clear"/>
          </w:tcPr>
          <w:p>
            <w:r>
              <w:rPr>
                <w:b/>
                <w:bCs/>
                <w:sz w:val="20"/>
                <w:szCs w:val="20"/>
              </w:rPr>
              <w:t xml:space="preserve">Approach</w:t>
            </w:r>
          </w:p>
        </w:tc>
        <w:tc>
          <w:tcPr>
            <w:tcW w:type="dxa" w:w="2800"/>
            <w:shd w:fill="F2F2F2" w:val="clear"/>
          </w:tcPr>
          <w:p>
            <w:r>
              <w:rPr>
                <w:b/>
                <w:bCs/>
                <w:sz w:val="20"/>
                <w:szCs w:val="20"/>
              </w:rPr>
              <w:t xml:space="preserve">Quality (avg. red+blue)</w:t>
            </w:r>
          </w:p>
        </w:tc>
        <w:tc>
          <w:tcPr>
            <w:tcW w:type="dxa" w:w="3000"/>
            <w:shd w:fill="F2F2F2" w:val="clear"/>
          </w:tcPr>
          <w:p>
            <w:r>
              <w:rPr>
                <w:b/>
                <w:bCs/>
                <w:sz w:val="20"/>
                <w:szCs w:val="20"/>
              </w:rPr>
              <w:t xml:space="preserve">Cost</w:t>
            </w:r>
          </w:p>
        </w:tc>
      </w:tr>
      <w:tr>
        <w:tc>
          <w:tcPr>
            <w:tcW w:type="dxa" w:w="3200"/>
          </w:tcPr>
          <w:p>
            <w:r>
              <w:rPr>
                <w:b w:val="false"/>
                <w:bCs w:val="false"/>
                <w:sz w:val="20"/>
                <w:szCs w:val="20"/>
              </w:rPr>
              <w:t xml:space="preserve">Native (separate solve per color)</w:t>
            </w:r>
          </w:p>
        </w:tc>
        <w:tc>
          <w:tcPr>
            <w:tcW w:type="dxa" w:w="2800"/>
          </w:tcPr>
          <w:p>
            <w:r>
              <w:rPr>
                <w:b w:val="false"/>
                <w:bCs w:val="false"/>
                <w:sz w:val="20"/>
                <w:szCs w:val="20"/>
              </w:rPr>
              <w:t xml:space="preserve">6.8 dB</w:t>
            </w:r>
          </w:p>
        </w:tc>
        <w:tc>
          <w:tcPr>
            <w:tcW w:type="dxa" w:w="3000"/>
          </w:tcPr>
          <w:p>
            <w:r>
              <w:rPr>
                <w:b w:val="false"/>
                <w:bCs w:val="false"/>
                <w:sz w:val="20"/>
                <w:szCs w:val="20"/>
              </w:rPr>
              <w:t xml:space="preserve">3 sub-frames — matches HOLOEYE GAEA-2.1's Color Field Sequential practice</w:t>
            </w:r>
          </w:p>
        </w:tc>
      </w:tr>
      <w:tr>
        <w:tc>
          <w:tcPr>
            <w:tcW w:type="dxa" w:w="3200"/>
          </w:tcPr>
          <w:p>
            <w:r>
              <w:rPr>
                <w:b w:val="false"/>
                <w:bCs w:val="false"/>
                <w:sz w:val="20"/>
                <w:szCs w:val="20"/>
              </w:rPr>
              <w:t xml:space="preserve">Naive reuse (green phase, unmodified)</w:t>
            </w:r>
          </w:p>
        </w:tc>
        <w:tc>
          <w:tcPr>
            <w:tcW w:type="dxa" w:w="2800"/>
          </w:tcPr>
          <w:p>
            <w:r>
              <w:rPr>
                <w:b w:val="false"/>
                <w:bCs w:val="false"/>
                <w:sz w:val="20"/>
                <w:szCs w:val="20"/>
              </w:rPr>
              <w:t xml:space="preserve">5.8 dB (−1.0 dB)</w:t>
            </w:r>
          </w:p>
        </w:tc>
        <w:tc>
          <w:tcPr>
            <w:tcW w:type="dxa" w:w="3000"/>
          </w:tcPr>
          <w:p>
            <w:r>
              <w:rPr>
                <w:b w:val="false"/>
                <w:bCs w:val="false"/>
                <w:sz w:val="20"/>
                <w:szCs w:val="20"/>
              </w:rPr>
              <w:t xml:space="preserve">1 sub-frame — effectively free</w:t>
            </w:r>
          </w:p>
        </w:tc>
      </w:tr>
      <w:tr>
        <w:tc>
          <w:tcPr>
            <w:tcW w:type="dxa" w:w="3200"/>
          </w:tcPr>
          <w:p>
            <w:r>
              <w:rPr>
                <w:b w:val="false"/>
                <w:bCs w:val="false"/>
                <w:sz w:val="20"/>
                <w:szCs w:val="20"/>
              </w:rPr>
              <w:t xml:space="preserve">Joint (single pattern, 9 constraints at once)</w:t>
            </w:r>
          </w:p>
        </w:tc>
        <w:tc>
          <w:tcPr>
            <w:tcW w:type="dxa" w:w="2800"/>
          </w:tcPr>
          <w:p>
            <w:r>
              <w:rPr>
                <w:b w:val="false"/>
                <w:bCs w:val="false"/>
                <w:sz w:val="20"/>
                <w:szCs w:val="20"/>
              </w:rPr>
              <w:t xml:space="preserve">6.3 dB (−0.5 dB short of native)</w:t>
            </w:r>
          </w:p>
        </w:tc>
        <w:tc>
          <w:tcPr>
            <w:tcW w:type="dxa" w:w="3000"/>
          </w:tcPr>
          <w:p>
            <w:r>
              <w:rPr>
                <w:b w:val="false"/>
                <w:bCs w:val="false"/>
                <w:sz w:val="20"/>
                <w:szCs w:val="20"/>
              </w:rPr>
              <w:t xml:space="preserve">1 sub-frame at same total FFT cost as native — proposed design point, not commercially observed</w:t>
            </w:r>
          </w:p>
        </w:tc>
      </w:tr>
    </w:tbl>
    <w:p>
      <w:pPr>
        <w:spacing w:after="200"/>
      </w:pPr>
      <w:r>
        <w:rPr>
          <w:i/>
          <w:iCs/>
          <w:color w:val="555555"/>
          <w:sz w:val="20"/>
          <w:szCs w:val="20"/>
        </w:rPr>
        <w:t xml:space="preserve">Note: Joint solve was measured at a fixed 16-iteration cutoff, which 10.1's convergence work found premature for true convergence — a 9-constraint joint solve may need more iterations than a 3-constraint native one, in which case joint may not be compute-neutral as tested. Treat as a candidate, not a confirmed design point.</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false"/>
          <w:iCs w:val="false"/>
        </w:rPr>
        <w:t xml:space="preserve">Tested against a synthetic panning sequence (no real motion-capture content used yet)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rPr>
                <w:b w:val="false"/>
                <w:bCs w:val="false"/>
                <w:sz w:val="20"/>
                <w:szCs w:val="20"/>
              </w:rPr>
              <w:t xml:space="preserve">~6.0×</w:t>
            </w:r>
          </w:p>
        </w:tc>
      </w:tr>
    </w:tbl>
    <w:p>
      <w:pPr>
        <w:spacing w:after="200"/>
      </w:pPr>
      <w:r>
        <w:rPr>
          <w:i/>
          <w:iCs/>
          <w:color w:val="555555"/>
          <w:sz w:val="20"/>
          <w:szCs w:val="20"/>
        </w:rPr>
        <w:t xml:space="preserve">Note: The steady-pan speedup survives the jump to target resolution — unlike the sequential-rendering finding in 10.3, which vanished entirely at this same resolution scale-up. It rests on one shift magnitude at each scale, though — not yet the breadth of testing behind 10.2–10.4.</w:t>
      </w:r>
    </w:p>
    <w:p>
      <w:pPr>
        <w:spacing w:after="200"/>
      </w:pPr>
      <w:r>
        <w:rPr>
          <w:i/>
          <w:iCs/>
          <w:color w:val="555555"/>
          <w:sz w:val="20"/>
          <w:szCs w:val="20"/>
        </w:rPr>
        <w:t xml:space="preserve">Note: Re-tested across 3 seeds after 10.1's compute baseline revealed seed-dependent fragility elsewhere in this project's convergence measurements: 9.33×, 9.33×, 7.67× — a ~19% spread, far tighter than the ~76% swing seen in the single-seed compute baseline before averaging. This is structural, not luck: warm-start's threshold crossing usually happens on the very first iteration, not in a noisy plateau region, so it isn't exposed to the same fragility. Reported as ~8–9× going forward, not a single point.</w:t>
      </w:r>
    </w:p>
    <w:p>
      <w:pPr>
        <w:pStyle w:val="Heading3"/>
        <w:spacing w:after="120" w:before="250"/>
      </w:pPr>
      <w:r>
        <w:t xml:space="preserve">Scene-cut robustness — retested, and the original finding did not hold</w:t>
      </w:r>
    </w:p>
    <w:p>
      <w:pPr>
        <w:spacing w:after="160"/>
      </w:pPr>
      <w:r>
        <w:rPr>
          <w:b w:val="false"/>
          <w:bCs w:val="false"/>
          <w:i w:val="false"/>
          <w:iCs w:val="false"/>
        </w:rPr>
        <w:t xml:space="preserve">An initial single-pair test (10.5, earlier revisions) found severe negative transfer at 512×512 (warm-start never converged within a 30-iteration budget after an abrupt content change) that appeared to partially reverse at full resolution. Per the standing rule established in 10.7/A.9, neither of those results had been checked against true, plateau-verified convergence — both used a small, fixed iteration budget. Five scene-cut pairs, at two severities (moderate: shifted content; severe: fully permuted content-to-depth-plane assignment), were retested at both scales with a generous, plateau-auto-detected budget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 xml:space="preserve">Note: The original catastrophic-failure finding does not reproduce under correct methodology, at either scale, across five pairs including several more severe (full content-to-depth-plane permutation, not just a spatial shift) than the original single test case. This is the same failure mode as the donor-seeding reversal in 10.7, pointed in the opposite direction: there, a small budget manufactured a fake win; here, a small budget manufactured a fake catastrophe. Both are now retired as fixed-budget artifacts, and both reinforce the same standing rule from independent directions.</w:t>
      </w:r>
    </w:p>
    <w:p>
      <w:pPr>
        <w:spacing w:after="200"/>
      </w:pPr>
      <w:r>
        <w:rPr>
          <w:i/>
          <w:iCs/>
          <w:color w:val="555555"/>
          <w:sz w:val="20"/>
          <w:szCs w:val="20"/>
        </w:rPr>
        <w:t xml:space="preserve">Note: The speedup side of the finding is weaker than it looked at small scale, though, in the same shrinking-at-scale pattern seen elsewhere in this document (10.3): 4 of 5 pairs beat cold-start at 512×512, but only 2 of 5 did at full resolution — the rest converged normally, just without a clear speed advantage. The honest summary is that warm-starting through a scene cut is usually roughly neutral to mildly helpful, essentially never catastrophic, at least across the pairs tested here.</w:t>
      </w:r>
    </w:p>
    <w:p>
      <w:pPr>
        <w:pStyle w:val="Heading3"/>
        <w:spacing w:after="120" w:before="250"/>
      </w:pPr>
      <w:r>
        <w:t xml:space="preserve">Independent-content validation — closing the shared-source-content gap</w:t>
      </w:r>
    </w:p>
    <w:p>
      <w:pPr>
        <w:spacing w:after="160"/>
      </w:pPr>
      <w:r>
        <w:rPr>
          <w:b w:val="false"/>
          <w:bCs w:val="false"/>
          <w:i w:val="false"/>
          <w:iCs w:val="false"/>
        </w:rPr>
        <w:t xml:space="preserve">Every result above — steady-pan, scene-cuts — was built from one base scene, varied only by shift or plane permutation. This retests both against genuinely independent, procedurally-generated content (a different random icon, word, and Gaussian-blob "photo" scene per trial, not derived from a shared source) and a smoother parallax-motion model (per-plane random-walk velocity, nearer planes moving faster than farther ones, matching real motion parallax) instead of constant-velocity shift. This is still synthetic content, not real motion-capture or recorded footage — a step up in realism, not a claim of product-content validation.</w:t>
      </w:r>
    </w:p>
    <w:p>
      <w:pPr>
        <w:spacing w:after="160"/>
      </w:pPr>
      <w:r>
        <w:rPr>
          <w:b w:val="false"/>
          <w:bCs w:val="false"/>
          <w:i w:val="false"/>
          <w:iCs w:val="false"/>
        </w:rPr>
        <w:t xml:space="preserve">Getting a trustworthy result here required catching a second, different kind of methodology artifact than 10.7/A.9's fixed-budget problem. The initial run reported warm-start plateauing at exactly iteration 5 for nearly every frame across all three motion sequences tested — a suspiciously uniform number. Investigation found the cause: the project's local-window plateau detector (used by default since 10.7) checks only whether a short recent window is locally flat, and 5 was the earliest iteration it was structurally capable of returning at all — a detector floor, not a genuine finding. Cross-checked against a different, final-value-anchored detector (confirming a candidate plateau's value actually matches where the curve eventually settles, not just that it looks flat nearby) and a manual seven-frame spot-check: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 xml:space="preserve">Note: Two of seven spot-checked frames were false positives from the local-window detector, not just the suspicious uniform-5 case that triggered the investigation. This is a different failure mode than 10.7/A.9's fixed-budget problem — the budget here was already generous — but the same underlying lesson: a plateau-detection method that only checks local flatness, without confirming the flat region matches the run's true eventual value, can silently report false convergence even with plenty of iterations available. The local-window detector is retired as this project's default going forward; the final-value-anchored method is the standard. See Appendix A.11 for the full record.</w:t>
      </w:r>
    </w:p>
    <w:p>
      <w:pPr>
        <w:spacing w:after="160"/>
      </w:pPr>
      <w:r>
        <w:rPr>
          <w:b w:val="false"/>
          <w:bCs w:val="false"/>
          <w:i w:val="false"/>
          <w:iCs w:val="false"/>
        </w:rPr>
        <w:t xml:space="preserve">Results, using the final-value-anchored detector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false"/>
          <w:iCs w:val="false"/>
        </w:rPr>
        <w:t xml:space="preserve">4 of 4 independent scene-cut pairs beat cold-start; 0 of 4 showed negative transfer — consistent with, and now independently confirming, the shift/permutation-based result in the section above. Under parallax motion, across 3 independently-seeded sequences (21 real frame-to-frame comparisons, excluding each sequence's shared first frame): 17 of 21 comparisons favored warm-start (81%), with per-sequence win rates of 4/7, 7/7, and 6/7 — genuinely favorable on balance, not a uniform win, and with real, currently unexplained variability in how consistently it helps from one motion sequence to the next.</w:t>
      </w:r>
    </w:p>
    <w:p>
      <w:pPr>
        <w:spacing w:after="200"/>
      </w:pPr>
      <w:r>
        <w:rPr>
          <w:i/>
          <w:iCs/>
          <w:color w:val="555555"/>
          <w:sz w:val="20"/>
          <w:szCs w:val="20"/>
        </w:rPr>
        <w:t xml:space="preserve">Note: This validates rather than contradicts every finding in this section: warm-starting helps on both similar and genuinely independent content, scene cuts do not cause catastrophic failure even between fully unrelated scenes, and the honest picture is "usually favorable, sometimes dramatically, occasionally a net cost" rather than a uniform win in either direction. The seed-to-seed spread in win rate (4/7 to 7/7) is noted but not investigated further here.</w:t>
      </w:r>
    </w:p>
    <w:p>
      <w:pPr>
        <w:spacing w:after="160"/>
      </w:pPr>
      <w:r>
        <w:rPr>
          <w:b w:val="false"/>
          <w:bCs w:val="false"/>
          <w:i w:val="false"/>
          <w:iCs w:val="false"/>
        </w:rPr>
        <w:t xml:space="preserve">Read the steady-pan result as a duty-cycle finding, not a peak-compute reduction: average power draw across a real usage session could be substantially lower than the steady-state figure in 10.1 implies, for content that doesn't change abruptly frame to frame. The scene-cut retest, unlike the earlier revision's conclusion, does not currently indicate that a dedicated cut-detection fallback (reverting to cold-start rather than warm-starting from an unrelated prior frame) is necessary — the worst case observed across all trials, including independent content, was a normal, converging solve, not a failure to converge.</w:t>
      </w:r>
    </w:p>
    <w:p>
      <w:pPr>
        <w:pStyle w:val="Heading2"/>
        <w:spacing w:after="150" w:before="300"/>
      </w:pPr>
      <w:r>
        <w:t xml:space="preserve">10.6 Precision: does INT8 corrupt the computation? (tests the assumption in 4.5)</w:t>
      </w:r>
    </w:p>
    <w:p>
      <w:pPr>
        <w:spacing w:after="160"/>
      </w:pPr>
      <w:r>
        <w:rPr>
          <w:b w:val="false"/>
          <w:bCs w:val="false"/>
          <w:i w:val="false"/>
          <w:iCs w:val="false"/>
        </w:rPr>
        <w:t xml:space="preserve">Section 4.5 assumed, without testing, that INT8 precision (20 TOPS/W) corrupts the CGH wave computation and that BFP16 (6.5 TOPS/W) is required. This was tested via quantization emulation — rounding the field to N-bit fixed-point precision at each point in the GS loop a real ASIC datapath would actually round (after each forward propagate, after the amplitude constraint, after each backward propagate), then continuing the surrounding arithmetic in float32. This approximates the cumulative effect of running at N bits but does not model rounding error accumulating inside a single FFT's internal butterfly stages — see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false"/>
          <w:iCs w:val="false"/>
        </w:rPr>
        <w:t xml:space="preserve">8-bit (INT8-equivalent) quality matches float32 within noise — confirmed at full target resolution, at true convergence, and held up under three direct attempts to break it: replacing an oracle quantization scale with a realistic static one, retesting at full resolution and true convergence rather than a small fixed-budget test, and checking an apparent "INT8 needs more iterations" side-finding across multiple seeds, which was retracted once it became clear the effect was the same seed-dependent plateau variance found in 10.1, not an INT8-specific penalty. 4-bit shows real, mechanistically sensible degradation — the quantization step is coarse enough that the algorithm exhausts what the noise floor allows within a few iterations and plateaus early. See Appendix A.8 for the full stress-testing sequence.</w:t>
      </w:r>
    </w:p>
    <w:p>
      <w:pPr>
        <w:spacing w:after="200"/>
      </w:pPr>
      <w:r>
        <w:rPr>
          <w:i/>
          <w:iCs/>
          <w:color w:val="555555"/>
          <w:sz w:val="20"/>
          <w:szCs w:val="20"/>
        </w:rPr>
        <w:t xml:space="preserve">Note: This is algorithm-level evidence, not a hardware-validated result — see the methodology caveat above. If confirmed on real hardware, this is a direct ~3× lever on Gap 2: 20 TOPS/W instead of 6.5 would bring the current average baseline from ~199W to roughly ~65W (~129× over budget instead of ~397×). Not yet adopted as this document's headline power figure; the BFP16-based baseline in 10.1 is used throughout until independently confirmed by a silicon architect or FPGA test.</w:t>
      </w:r>
    </w:p>
    <w:p>
      <w:pPr>
        <w:pStyle w:val="Heading2"/>
        <w:spacing w:after="150" w:before="300"/>
      </w:pPr>
      <w:r>
        <w:t xml:space="preserve">10.7 Initialization strategy — three approaches tested, all negative at true convergence</w:t>
      </w:r>
    </w:p>
    <w:p>
      <w:pPr>
        <w:spacing w:after="160"/>
      </w:pPr>
      <w:r>
        <w:rPr>
          <w:b w:val="false"/>
          <w:bCs w:val="false"/>
          <w:i w:val="false"/>
          <w:iCs w:val="false"/>
        </w:rPr>
        <w:t xml:space="preserve">10.1/Appendix A.7 found that random-phase initialization causes genuine iteration-count variance (30–65 iterations across seeds) despite consistent final quality — some random starting points have a short path to the target, others a long one, with no way to know which in advance. Three deterministic (seed-independent) alternatives were tested to see whether a smarter starting point avoids gambling on the random draw.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false"/>
          <w:iCs w:val="false"/>
        </w:rPr>
        <w:t xml:space="preserve">The donor-seeding result is the most important of the three, not for the technique itself but for what testing it properly exposed.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false"/>
          <w:iCs w:val="false"/>
        </w:rPr>
        <w:t xml:space="preserve">Rerun to true, verified convergence (200 iterations, plateau confirmed on both conditions in both directions) instead of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gridCol w:w="3600"/>
      </w:tblGrid>
      <w:tr>
        <w:tc>
          <w:tcPr>
            <w:tcW w:type="dxa" w:w="3200"/>
            <w:shd w:fill="F2F2F2" w:val="clear"/>
          </w:tcPr>
          <w:p>
            <w:r>
              <w:rPr>
                <w:b/>
                <w:bCs/>
                <w:sz w:val="20"/>
                <w:szCs w:val="20"/>
              </w:rPr>
              <w:t xml:space="preserve">Direction</w:t>
            </w:r>
          </w:p>
        </w:tc>
        <w:tc>
          <w:tcPr>
            <w:tcW w:type="dxa" w:w="2600"/>
            <w:shd w:fill="F2F2F2" w:val="clear"/>
          </w:tcPr>
          <w:p>
            <w:r>
              <w:rPr>
                <w:b/>
                <w:bCs/>
                <w:sz w:val="20"/>
                <w:szCs w:val="20"/>
              </w:rPr>
              <w:t xml:space="preserve">Random avg iters (true convergence)</w:t>
            </w:r>
          </w:p>
        </w:tc>
        <w:tc>
          <w:tcPr>
            <w:tcW w:type="dxa" w:w="2600"/>
            <w:shd w:fill="F2F2F2" w:val="clear"/>
          </w:tcPr>
          <w:p>
            <w:r>
              <w:rPr>
                <w:b/>
                <w:bCs/>
                <w:sz w:val="20"/>
                <w:szCs w:val="20"/>
              </w:rPr>
              <w:t xml:space="preserve">Donor avg iters (true convergence)</w:t>
            </w:r>
          </w:p>
        </w:tc>
        <w:tc>
          <w:tcPr>
            <w:tcW w:type="dxa" w:w="3600"/>
            <w:shd w:fill="F2F2F2" w:val="clear"/>
          </w:tcPr>
          <w:p>
            <w:r>
              <w:rPr>
                <w:b/>
                <w:bCs/>
                <w:sz w:val="20"/>
                <w:szCs w:val="20"/>
              </w:rPr>
              <w:t xml:space="preserve">Real effect</w:t>
            </w:r>
          </w:p>
        </w:tc>
      </w:tr>
      <w:tr>
        <w:tc>
          <w:tcPr>
            <w:tcW w:type="dxa" w:w="3200"/>
          </w:tcPr>
          <w:p>
            <w:r>
              <w:rPr>
                <w:b w:val="false"/>
                <w:bCs w:val="false"/>
                <w:sz w:val="20"/>
                <w:szCs w:val="20"/>
              </w:rPr>
              <w:t xml:space="preserve">A: realistic donor → synthetic target</w:t>
            </w:r>
          </w:p>
        </w:tc>
        <w:tc>
          <w:tcPr>
            <w:tcW w:type="dxa" w:w="2600"/>
          </w:tcPr>
          <w:p>
            <w:r>
              <w:rPr>
                <w:b w:val="false"/>
                <w:bCs w:val="false"/>
                <w:sz w:val="20"/>
                <w:szCs w:val="20"/>
              </w:rPr>
              <w:t xml:space="preserve">40.2 (11.18 dB)</w:t>
            </w:r>
          </w:p>
        </w:tc>
        <w:tc>
          <w:tcPr>
            <w:tcW w:type="dxa" w:w="2600"/>
          </w:tcPr>
          <w:p>
            <w:r>
              <w:rPr>
                <w:b w:val="false"/>
                <w:bCs w:val="false"/>
                <w:sz w:val="20"/>
                <w:szCs w:val="20"/>
              </w:rPr>
              <w:t xml:space="preserve">41.5 (11.19 dB)</w:t>
            </w:r>
          </w:p>
        </w:tc>
        <w:tc>
          <w:tcPr>
            <w:tcW w:type="dxa" w:w="3600"/>
          </w:tcPr>
          <w:p>
            <w:r>
              <w:rPr>
                <w:b w:val="false"/>
                <w:bCs w:val="false"/>
                <w:sz w:val="20"/>
                <w:szCs w:val="20"/>
              </w:rPr>
              <w:t xml:space="preserve">None — the 24% speedup was entirely a budget artifact</w:t>
            </w:r>
          </w:p>
        </w:tc>
      </w:tr>
      <w:tr>
        <w:tc>
          <w:tcPr>
            <w:tcW w:type="dxa" w:w="3200"/>
          </w:tcPr>
          <w:p>
            <w:r>
              <w:rPr>
                <w:b w:val="false"/>
                <w:bCs w:val="false"/>
                <w:sz w:val="20"/>
                <w:szCs w:val="20"/>
              </w:rPr>
              <w:t xml:space="preserve">B: synthetic donor → realistic target</w:t>
            </w:r>
          </w:p>
        </w:tc>
        <w:tc>
          <w:tcPr>
            <w:tcW w:type="dxa" w:w="2600"/>
          </w:tcPr>
          <w:p>
            <w:r>
              <w:rPr>
                <w:b w:val="false"/>
                <w:bCs w:val="false"/>
                <w:sz w:val="20"/>
                <w:szCs w:val="20"/>
              </w:rPr>
              <w:t xml:space="preserve">94.2 (12.08 dB)</w:t>
            </w:r>
          </w:p>
        </w:tc>
        <w:tc>
          <w:tcPr>
            <w:tcW w:type="dxa" w:w="2600"/>
          </w:tcPr>
          <w:p>
            <w:r>
              <w:rPr>
                <w:b w:val="false"/>
                <w:bCs w:val="false"/>
                <w:sz w:val="20"/>
                <w:szCs w:val="20"/>
              </w:rPr>
              <w:t xml:space="preserve">108.7 (11.90 dB)</w:t>
            </w:r>
          </w:p>
        </w:tc>
        <w:tc>
          <w:tcPr>
            <w:tcW w:type="dxa" w:w="3600"/>
          </w:tcPr>
          <w:p>
            <w:r>
              <w:rPr>
                <w:b w:val="false"/>
                <w:bCs w:val="false"/>
                <w:sz w:val="20"/>
                <w:szCs w:val="20"/>
              </w:rPr>
              <w:t xml:space="preserve">Reversed — donor-seeding needs 15% more iterations and costs ~0.18 dB, not a win at all</w:t>
            </w:r>
          </w:p>
        </w:tc>
      </w:tr>
    </w:tbl>
    <w:p>
      <w:pPr>
        <w:spacing w:after="200"/>
      </w:pPr>
      <w:r>
        <w:rPr>
          <w:i/>
          <w:iCs/>
          <w:color w:val="555555"/>
          <w:sz w:val="20"/>
          <w:szCs w:val="20"/>
        </w:rPr>
        <w:t xml:space="preserve">Note: The mechanism in Direction B: a donor phase built for unrelated content isn't neutral — it appears to send the solve down a longer, more circuitous path before settling, the same structured-but-wrong pattern seen in the flat-phase backprop result above, not a coincidence. A biased starting point can cost more than starting from nothing, even when it looks like a head start within a limited budget.</w:t>
      </w:r>
    </w:p>
    <w:p>
      <w:pPr>
        <w:spacing w:after="200"/>
      </w:pPr>
      <w:r>
        <w:rPr>
          <w:i/>
          <w:iCs/>
          <w:color w:val="555555"/>
          <w:sz w:val="20"/>
          <w:szCs w:val="20"/>
        </w:rPr>
        <w:t xml:space="preserve">Note: All three results point the same direction: none of the initialization strategies tested reduces or avoids the iteration-count variance characterized in 10.1/A.7. That variance currently looks like a structural property of this algorithm's search landscape, addressed only by seed-averaging (10.1), not by any starting-point strategy tried so far. The backprop and low-res results above predate this investigation's discovery of the convergence-budget artifact and have not been re-verified against it — flagged as an open caveat, not assumed safe, per the same standing rule this section establishes. See Appendix A.9 for the full record.</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false"/>
          <w:iCs w:val="false"/>
        </w:rPr>
        <w:t xml:space="preserve">Tested across two content profiles differing in how much is actually happening at the middle depth: CLOSEUP (sparse mid content, masked to a small region per the sparse-content methodology in 10.6/A.6) and LAYERED (dense, photo-like mid content filling the frame). Both propagate the 2-plane (near/far only) solution to the dropped mid depth and compare against the real mid target, the 3-plane baseline's actual solved mid quality (the ceiling), and a blank field (the floor).</w:t>
      </w:r>
    </w:p>
    <w:p>
      <w:pPr>
        <w:spacing w:after="160"/>
      </w:pPr>
      <w:r>
        <w:rPr>
          <w:b w:val="false"/>
          <w:bCs w:val="false"/>
          <w:i w:val="false"/>
          <w:iCs w:val="false"/>
        </w:rPr>
        <w:t xml:space="preserve">The initial, raw-dB result came back opposite to the working hypothesis — CLOSEUP (sparse mid) showed a larger gap-to-ceiling than LAYERED (dense mid), the reverse of "less there to 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600"/>
        <w:gridCol w:w="1600"/>
        <w:gridCol w:w="1400"/>
      </w:tblGrid>
      <w:tr>
        <w:tc>
          <w:tcPr>
            <w:tcW w:type="dxa" w:w="2400"/>
            <w:shd w:fill="F2F2F2" w:val="clear"/>
          </w:tcPr>
          <w:p>
            <w:r>
              <w:rPr>
                <w:b/>
                <w:bCs/>
                <w:sz w:val="20"/>
                <w:szCs w:val="20"/>
              </w:rPr>
              <w:t xml:space="preserve">Profile</w:t>
            </w:r>
          </w:p>
        </w:tc>
        <w:tc>
          <w:tcPr>
            <w:tcW w:type="dxa" w:w="1600"/>
            <w:shd w:fill="F2F2F2" w:val="clear"/>
          </w:tcPr>
          <w:p>
            <w:r>
              <w:rPr>
                <w:b/>
                <w:bCs/>
                <w:sz w:val="20"/>
                <w:szCs w:val="20"/>
              </w:rPr>
              <w:t xml:space="preserve">Ceiling (3-plane)</w:t>
            </w:r>
          </w:p>
        </w:tc>
        <w:tc>
          <w:tcPr>
            <w:tcW w:type="dxa" w:w="2400"/>
            <w:shd w:fill="F2F2F2" w:val="clear"/>
          </w:tcPr>
          <w:p>
            <w:r>
              <w:rPr>
                <w:b/>
                <w:bCs/>
                <w:sz w:val="20"/>
                <w:szCs w:val="20"/>
              </w:rPr>
              <w:t xml:space="preserve">Proxy (2-plane, unsolicited)</w:t>
            </w:r>
          </w:p>
        </w:tc>
        <w:tc>
          <w:tcPr>
            <w:tcW w:type="dxa" w:w="1600"/>
            <w:shd w:fill="F2F2F2" w:val="clear"/>
          </w:tcPr>
          <w:p>
            <w:r>
              <w:rPr>
                <w:b/>
                <w:bCs/>
                <w:sz w:val="20"/>
                <w:szCs w:val="20"/>
              </w:rPr>
              <w:t xml:space="preserve">Floor (blank)</w:t>
            </w:r>
          </w:p>
        </w:tc>
        <w:tc>
          <w:tcPr>
            <w:tcW w:type="dxa" w:w="1600"/>
            <w:shd w:fill="F2F2F2" w:val="clear"/>
          </w:tcPr>
          <w:p>
            <w:r>
              <w:rPr>
                <w:b/>
                <w:bCs/>
                <w:sz w:val="20"/>
                <w:szCs w:val="20"/>
              </w:rPr>
              <w:t xml:space="preserve">Gap to ceiling</w:t>
            </w:r>
          </w:p>
        </w:tc>
        <w:tc>
          <w:tcPr>
            <w:tcW w:type="dxa" w:w="1400"/>
            <w:shd w:fill="F2F2F2" w:val="clear"/>
          </w:tcPr>
          <w:p>
            <w:r>
              <w:rPr>
                <w:b/>
                <w:bCs/>
                <w:sz w:val="20"/>
                <w:szCs w:val="20"/>
              </w:rPr>
              <w:t xml:space="preserve">FFTs saved</w:t>
            </w:r>
          </w:p>
        </w:tc>
      </w:tr>
      <w:tr>
        <w:tc>
          <w:tcPr>
            <w:tcW w:type="dxa" w:w="2400"/>
          </w:tcPr>
          <w:p>
            <w:r>
              <w:rPr>
                <w:b w:val="false"/>
                <w:bCs w:val="false"/>
                <w:sz w:val="20"/>
                <w:szCs w:val="20"/>
              </w:rPr>
              <w:t xml:space="preserve">CLOSEUP (sparse mid)</w:t>
            </w:r>
          </w:p>
        </w:tc>
        <w:tc>
          <w:tcPr>
            <w:tcW w:type="dxa" w:w="1600"/>
          </w:tcPr>
          <w:p>
            <w:r>
              <w:rPr>
                <w:b w:val="false"/>
                <w:bCs w:val="false"/>
                <w:sz w:val="20"/>
                <w:szCs w:val="20"/>
              </w:rPr>
              <w:t xml:space="preserve">8.94 dB</w:t>
            </w:r>
          </w:p>
        </w:tc>
        <w:tc>
          <w:tcPr>
            <w:tcW w:type="dxa" w:w="2400"/>
          </w:tcPr>
          <w:p>
            <w:r>
              <w:rPr>
                <w:b w:val="false"/>
                <w:bCs w:val="false"/>
                <w:sz w:val="20"/>
                <w:szCs w:val="20"/>
              </w:rPr>
              <w:t xml:space="preserve">5.12 dB</w:t>
            </w:r>
          </w:p>
        </w:tc>
        <w:tc>
          <w:tcPr>
            <w:tcW w:type="dxa" w:w="1600"/>
          </w:tcPr>
          <w:p>
            <w:r>
              <w:rPr>
                <w:b w:val="false"/>
                <w:bCs w:val="false"/>
                <w:sz w:val="20"/>
                <w:szCs w:val="20"/>
              </w:rPr>
              <w:t xml:space="preserve">2.71 dB</w:t>
            </w:r>
          </w:p>
        </w:tc>
        <w:tc>
          <w:tcPr>
            <w:tcW w:type="dxa" w:w="1600"/>
          </w:tcPr>
          <w:p>
            <w:r>
              <w:rPr>
                <w:b w:val="false"/>
                <w:bCs w:val="false"/>
                <w:sz w:val="20"/>
                <w:szCs w:val="20"/>
              </w:rPr>
              <w:t xml:space="preserve">3.82 dB</w:t>
            </w:r>
          </w:p>
        </w:tc>
        <w:tc>
          <w:tcPr>
            <w:tcW w:type="dxa" w:w="1400"/>
          </w:tcPr>
          <w:p>
            <w:r>
              <w:rPr>
                <w:b w:val="false"/>
                <w:bCs w:val="false"/>
                <w:sz w:val="20"/>
                <w:szCs w:val="20"/>
              </w:rPr>
              <w:t xml:space="preserve">+32.9%</w:t>
            </w:r>
          </w:p>
        </w:tc>
      </w:tr>
      <w:tr>
        <w:tc>
          <w:tcPr>
            <w:tcW w:type="dxa" w:w="2400"/>
          </w:tcPr>
          <w:p>
            <w:r>
              <w:rPr>
                <w:b w:val="false"/>
                <w:bCs w:val="false"/>
                <w:sz w:val="20"/>
                <w:szCs w:val="20"/>
              </w:rPr>
              <w:t xml:space="preserve">LAYERED (dense mid)</w:t>
            </w:r>
          </w:p>
        </w:tc>
        <w:tc>
          <w:tcPr>
            <w:tcW w:type="dxa" w:w="1600"/>
          </w:tcPr>
          <w:p>
            <w:r>
              <w:rPr>
                <w:b w:val="false"/>
                <w:bCs w:val="false"/>
                <w:sz w:val="20"/>
                <w:szCs w:val="20"/>
              </w:rPr>
              <w:t xml:space="preserve">6.55 dB</w:t>
            </w:r>
          </w:p>
        </w:tc>
        <w:tc>
          <w:tcPr>
            <w:tcW w:type="dxa" w:w="2400"/>
          </w:tcPr>
          <w:p>
            <w:r>
              <w:rPr>
                <w:b w:val="false"/>
                <w:bCs w:val="false"/>
                <w:sz w:val="20"/>
                <w:szCs w:val="20"/>
              </w:rPr>
              <w:t xml:space="preserve">3.84 dB</w:t>
            </w:r>
          </w:p>
        </w:tc>
        <w:tc>
          <w:tcPr>
            <w:tcW w:type="dxa" w:w="1600"/>
          </w:tcPr>
          <w:p>
            <w:r>
              <w:rPr>
                <w:b w:val="false"/>
                <w:bCs w:val="false"/>
                <w:sz w:val="20"/>
                <w:szCs w:val="20"/>
              </w:rPr>
              <w:t xml:space="preserve">2.90 dB</w:t>
            </w:r>
          </w:p>
        </w:tc>
        <w:tc>
          <w:tcPr>
            <w:tcW w:type="dxa" w:w="1600"/>
          </w:tcPr>
          <w:p>
            <w:r>
              <w:rPr>
                <w:b w:val="false"/>
                <w:bCs w:val="false"/>
                <w:sz w:val="20"/>
                <w:szCs w:val="20"/>
              </w:rPr>
              <w:t xml:space="preserve">2.71 dB</w:t>
            </w:r>
          </w:p>
        </w:tc>
        <w:tc>
          <w:tcPr>
            <w:tcW w:type="dxa" w:w="1400"/>
          </w:tcPr>
          <w:p>
            <w:r>
              <w:rPr>
                <w:b w:val="false"/>
                <w:bCs w:val="false"/>
                <w:sz w:val="20"/>
                <w:szCs w:val="20"/>
              </w:rPr>
              <w:t xml:space="preserve">+20.1%</w:t>
            </w:r>
          </w:p>
        </w:tc>
      </w:tr>
    </w:tbl>
    <w:p>
      <w:pPr>
        <w:spacing w:after="200"/>
      </w:pPr>
      <w:r>
        <w:rPr>
          <w:i/>
          <w:iCs/>
          <w:color w:val="555555"/>
          <w:sz w:val="20"/>
          <w:szCs w:val="20"/>
        </w:rPr>
        <w:t xml:space="preserve">Note: Investigated rather than accepted at face value. Two genuine confounds were found: CLOSEUP's sparse mid content was correctly masked to a small region (per the established sparse-content methodology) while LAYERED's dense mid was measured over the full frame — different measurement bases, not a fair comparison. Separately, LAYERED's own 3-plane ceiling is inherently lower than CLOSEUP's (busy, textured content is harder to reconstruct at all, consistent with this document's established pattern elsewhere), leaving it less floor-to-ceiling range to begin with regardless of how much real content the dropped depth carried.</w:t>
      </w:r>
    </w:p>
    <w:p>
      <w:pPr>
        <w:spacing w:after="160"/>
      </w:pPr>
      <w:r>
        <w:rPr>
          <w:b w:val="false"/>
          <w:bCs w:val="false"/>
          <w:i w:val="false"/>
          <w:iCs w:val="false"/>
        </w:rPr>
        <w:t xml:space="preserve">A normalized metric — the fraction of each profile's own floor-to-ceiling range recovered for free — controls for both confounds and reverses the finding back to the original hypothesis: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 xml:space="preserve">Note: Sparse-at-the-dropped-depth content both survives more (38.7% vs. 25.8% of its own range recovered without being solved for) and saves more compute (32.9% vs. 20.1% fewer FFTs/frame) when the middle plane is dropped — a coherent, physically sensible pattern: less to solve for, less to lose, at 512×512. The normalized metric is a stated choice, not neutral ground truth — it weights each profile's dB range equally per percentage point, which isn't obviously the right assumption if two scenes have very different absolute ranges. Both raw and normalized numbers are reported together for this reason, per Appendix A.12.</w:t>
      </w:r>
    </w:p>
    <w:p>
      <w:pPr>
        <w:spacing w:after="160"/>
      </w:pPr>
      <w:r>
        <w:rPr>
          <w:b w:val="false"/>
          <w:bCs w:val="false"/>
          <w:i w:val="false"/>
          <w:iCs w:val="false"/>
        </w:rPr>
        <w:t xml:space="preserve">This suggested a real design candidate beyond a fixed plane-count choice: a content-adaptive plane count, solving 2 planes when the middle depth is sparse and 3 when it isn't. It does not survive a full-resolution retest, and the finding is retracted, not merely weakened: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sign flips, not just the margin: CLOSEUP recovers more at small scale, LAYERED recovers more at full resolution — the same jump-to-target-resolution reversal pattern already seen elsewhere in this document (10.3, donor-seeding in A.9, scene-cut negative transfer in A.10), now confirmed a fourth time. The specific claim that content sparsity at the dropped depth predicts how much survives is retracted; it should not be treated as a supported finding. What does survive at both scales: dropping mid saves real compute either way (~20–33% fewer FFTs/frame across profiles and scales) and recovers meaningfully more than a blank floor in every case tested — dropping mid is a real, no-free-lunch-but-not-total-loss lever, just not one that content type can currently predict the size of. See Appendix A.12 for the full record.</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 xml:space="preserve">A border/grid artifact in full-resolution reconstructions remains mechanistically unexplained (deprioritized, non-blocking — see Appendix A.3). A similar unexplained non-monotonic pattern showed up in the temporal warm-start shift-magnitude sweep (10.5); the leading hypothesis (padding wraparound) was tested and ruled out, but the actual cause is still open.</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 xml:space="preserve">Whether 2 depth planes (dropping mid) are perceptually acceptable is still untested — 10.8 confirmed dropping mid saves real compute and isn't total loss, but the specific content-adaptive plane-count idea was retracted after a full-resolution retest reversed it. The perceptual verdict itself remains a question for a human or optical engineer, not simulation.</w:t>
      </w:r>
    </w:p>
    <w:p>
      <w:pPr>
        <w:pStyle w:val="ListParagraph"/>
        <w:numPr>
          <w:ilvl w:val="0"/>
          <w:numId w:val="1"/>
        </w:numPr>
        <w:spacing w:after="100"/>
      </w:pPr>
      <w:r>
        <w:t xml:space="preserve">Systematic audit needed, not yet done: two findings this revision (10.3's sequential-rendering result, 10.8's content-adaptive plane count) turned out to have been measured before this project's multi-seed and full-resolution standards existed, and neither had been retroactively re-checked until caught by chance. It is currently unknown what else in this document — particularly 10.2's plane-count figures and 10.4's color figures, both single-seed as far as is currently documented — carries the same risk. Flagged as a real, currently unresolved gap in this document's own rigor, not deferred by oversight.</w:t>
      </w:r>
    </w:p>
    <w:p>
      <w:pPr>
        <w:pStyle w:val="ListParagraph"/>
        <w:numPr>
          <w:ilvl w:val="0"/>
          <w:numId w:val="1"/>
        </w:numPr>
        <w:spacing w:after="100"/>
      </w:pPr>
      <w:r>
        <w:t xml:space="preserve">Standing rule, established this revision (10.7/A.9), reinforced three times now across two different mechanisms: any comparison of convergence speed between two conditions must verify both have reached true, plateau-confirmed convergence before being trusted, using a detection method anchored to the run's actual final value, not just local flatness. A fixed iteration budget flipped a result in both directions (a fake 64% win in 10.7, a fake catastrophic failure in 10.5); a local-window-only plateau detector separately produced false "instant convergence" positives even under a generous budget (10.5's independent-content validation). The local-window detector is retired as this project's default; the final-value-anchored method is the standard going forward.</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Heading1"/>
        <w:spacing w:after="200" w:before="400"/>
      </w:pPr>
      <w:r>
        <w:t xml:space="preserve">11. Closing Note</w:t>
      </w:r>
    </w:p>
    <w:p>
      <w:pPr>
        <w:spacing w:after="160"/>
      </w:pPr>
      <w:r>
        <w:rPr>
          <w:b w:val="false"/>
          <w:bCs w:val="false"/>
          <w:i w:val="false"/>
          <w:iCs w:val="false"/>
        </w:rPr>
        <w:t xml:space="preserve">This revision's central lesson is procedural, and it echoes the one before it. v13 rebaselined the compute figure after an earlier number turned out to be unreproducible; that replacement — 434 FFTs/frame, ~156W, ~312× over budget, reported from a single seed — was itself treated as settled and written into the document as current. It wasn't settled. Rerunning it across five seeds surfaced genuine algorithmic variance (30–65 iterations to plateau, not measurement noise) that a materially improved plateau-detection method failed to explain away. The figure used throughout this document is now a seed-averaged range, not a point estimate, and single-seed convergence measurements are no longer treated as sufficient anywhere in this project.</w:t>
      </w:r>
    </w:p>
    <w:p>
      <w:pPr>
        <w:spacing w:after="160"/>
      </w:pPr>
      <w:r>
        <w:rPr>
          <w:b w:val="false"/>
          <w:bCs w:val="false"/>
          <w:i w:val="false"/>
          <w:iCs w:val="false"/>
        </w:rPr>
        <w:t xml:space="preserve">The same suspicion, pointed at a different result, produced the opposite outcome. An unexpectedly clean finding — that INT8 precision matches float32 quality — survived three direct attempts to break it: a more realistic quantization scale in place of an oracle one, a full-resolution true-convergence retest, and a multi-seed check of an apparent side-effect that turned out to be the same seed-variance pattern caught elsewhere in this revision, not an INT8-specific penalty. That finding held. If confirmed on real hardware, it is a genuine ~3× lever on the compute gap (10.6); it is reported here as a promising algorithm-level candidate, not yet a confirmed one, pending exactly the kind of hardware or FPGA validation Section 9 already stages for.</w:t>
      </w:r>
    </w:p>
    <w:p>
      <w:pPr>
        <w:spacing w:after="160"/>
      </w:pPr>
      <w:r>
        <w:rPr>
          <w:b w:val="false"/>
          <w:bCs w:val="false"/>
          <w:i w:val="false"/>
          <w:iCs w:val="false"/>
        </w:rPr>
        <w:t xml:space="preserve">Both outcomes came from the same discipline, applied evenly rather than selectively: treat every clean-looking number as a hypothesis until it has been actively attacked, whether the attack is expected to confirm it or break it. That discipline cost real time this revision — probably more than it saved on either single number — but it is the reason this document is more trustworthy now than at the start of it, in both directions: the number that got worse under scrutiny (compute), and the number that earned real support instead of resting on a stated assumption (INT8).</w:t>
      </w:r>
    </w:p>
    <w:p>
      <w:pPr>
        <w:spacing w:after="160"/>
      </w:pPr>
      <w:r>
        <w:rPr>
          <w:b w:val="false"/>
          <w:bCs w:val="false"/>
          <w:i w:val="false"/>
          <w:iCs w:val="false"/>
        </w:rPr>
        <w:t xml:space="preserve">v15 added a third case: three deterministic phase-initialization strategies were tested against the seed-variance problem in 10.1; one of them — donor-seeding — looked like a 24–64% speedup at a fixed iteration budget, a result clean enough to be genuinely tempting to write up as-is. Rerunning it to true, verified convergence on both sides reversed the finding entirely: no effect in one content direction, a real loss in the other. The lesson wasn't really about phase initialization — it was that a fixed iteration budget can flip the sign of a comparison, not just its size, whenever the two conditions being compared don't finish at the same rate. That became a standing rule for this project (10.9, Appendix A.9).</w:t>
      </w:r>
    </w:p>
    <w:p>
      <w:pPr>
        <w:spacing w:after="160"/>
      </w:pPr>
      <w:r>
        <w:rPr>
          <w:b w:val="false"/>
          <w:bCs w:val="false"/>
          <w:i w:val="false"/>
          <w:iCs w:val="false"/>
        </w:rPr>
        <w:t xml:space="preserve">This revision tested that rule against a second, independent case, and it held again — in the opposite direction. The original scene-cut finding in 10.5 (severe negative transfer at small scale, warm-start never converging after an abrupt content change) had never been checked against true, plateau-verified convergence; it used the same kind of small fixed budget that produced v15's false win. Retested properly across five cut pairs at two severities and both resolutions, the catastrophic-failure result did not reproduce once. The same underlying error — trusting a result before confirming both conditions actually finished — had this time manufactured a fake disaster instead of a fake win. Two independent cases, in opposite directions, is a much stronger basis for a standing rule than one: this is no longer treated as a one-off catch in this project, but as a property of how these measurements fail if not made carefully.</w:t>
      </w:r>
    </w:p>
    <w:p>
      <w:pPr>
        <w:spacing w:after="160"/>
      </w:pPr>
      <w:r>
        <w:rPr>
          <w:b w:val="false"/>
          <w:bCs w:val="false"/>
          <w:i w:val="false"/>
          <w:iCs w:val="false"/>
        </w:rPr>
        <w:t xml:space="preserve">v17 closed the remaining gap flagged in both of those investigations — every result so far had been built from one base scene, varied by shift or permutation. Retesting against genuinely independent, procedurally-generated content surfaced a third, different failure mode under the same general rule: not a budget too small, but a detection method too narrow. The project's local-window plateau detector reported warm-start converging at exactly iteration 5 for nearly every frame in a motion sequence — a number suspicious enough to investigate before trusting. It turned out to be a structural floor of the detector itself, not a genuine finding; a spot-check found two more silent false positives it had already produced elsewhere. A fixed budget and an under-specified detector turn out to be two different ways of making the same mistake — trusting that a measurement finished before confirming it actually did — and this project has now caught both. The local-window detector is retired; a single, final-value-anchored method is the standard going forward. The underlying results, once measured honestly, validated rather than overturned everything already believed about warm-starting: genuinely helpful on independent content too, never catastrophic, but a real, favorable-on-balance effect rather than a uniform win.</w:t>
      </w:r>
    </w:p>
    <w:p>
      <w:pPr>
        <w:spacing w:after="160"/>
      </w:pPr>
      <w:r>
        <w:rPr>
          <w:b w:val="false"/>
          <w:bCs w:val="false"/>
          <w:i w:val="false"/>
          <w:iCs w:val="false"/>
        </w:rPr>
        <w:t xml:space="preserve">This revision's catch was smaller but the same shape, applied to a new question rather than an old one. Testing whether dropping the middle depth plane loses less content when little is actually happening there produced a result opposite to the hypothesis on first read. Rather than accepting the surprise or dismissing it, the two content profiles being compared were checked for whether they were actually comparable — and they weren't: one had been correctly measured over a small masked region, the other over the full frame, and the two profiles had different inherent reconstruction ceilings to begin with. A normalized metric controlling for both reversed the finding back to the expected direction. Neither the raw nor the normalized number was treated as automatically correct — both are reported together, with the normalization's own assumption stated plainly, rather than quietly presenting only the number that confirmed the hypothesis.</w:t>
      </w:r>
    </w:p>
    <w:p>
      <w:pPr>
        <w:spacing w:after="160"/>
      </w:pPr>
      <w:r>
        <w:rPr>
          <w:b w:val="false"/>
          <w:bCs w:val="false"/>
          <w:i w:val="false"/>
          <w:iCs w:val="false"/>
        </w:rPr>
        <w:t xml:space="preserve">This revision's two remaining catches are the most consequential yet, not because the mechanism is new, but because of what they were found in. 10.3's sequential-rendering finding — that sparse content shows no benefit from sequential depth-plane rendering — has been in this document since its earliest surviving revision, and was the flagship example this document's own closing note repeatedly cited as proof of its rigor. It had never been checked against the multi-seed standard adopted in v15, because it predated that standard and nobody had gone back to re-verify it. Retested with 25 independent seed pairings, the finding reverses: sparse content shows a small, real, consistently positive advantage after all, not zero. Separately, 10.8's content-adaptive plane-count candidate — proposed only one revision ago — was retracted outright after a full-resolution retest flipped which content profile actually benefits more, the same small-scale-to-target-resolution reversal this document has now documented four separate times (10.3, A.9's donor-seeding, A.10's scene-cut negative transfer, and this one).</w:t>
      </w:r>
    </w:p>
    <w:p>
      <w:pPr>
        <w:spacing w:after="160"/>
      </w:pPr>
      <w:r>
        <w:rPr>
          <w:b w:val="false"/>
          <w:bCs w:val="false"/>
          <w:i w:val="false"/>
          <w:iCs w:val="false"/>
        </w:rPr>
        <w:t xml:space="preserve">Neither catch came from a planned audit — both surfaced because someone went back and applied the project's current standards to an old result on their own initiative, not because a gap was flagged and scheduled. That is arguably the more important finding than either individual reversal: this document's own rigor has a real blind spot, in the form of every finding that was measured before its current standards existed and has not yet been re-checked against them. A systematic pass identifying which figures carry this risk is flagged in 10.9 as a genuine, currently open gap in this document's own process — not a hypothetical one, since it has now caught two real, previously-unnoticed errors on the first attempt.</w:t>
      </w:r>
    </w:p>
    <w:p>
      <w:pPr>
        <w:spacing w:after="160"/>
      </w:pPr>
      <w:r>
        <w:rPr>
          <w:b w:val="false"/>
          <w:bCs w:val="false"/>
          <w:i w:val="false"/>
          <w:iCs w:val="false"/>
        </w:rPr>
        <w:t xml:space="preserve">The working discipline stays the same as every prior revision: state the physics and the measurements plainly, name what doesn't close yet, and let the specificity of the question stand in for credibility that would otherwise have to be earned by pretending the gaps — or the process failures — aren't there.</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 xml:space="preserve">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current baseline (434 FFTs/frame, ~156W, reported in 10.1) is the figure that regenerates from the current codebase.</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 xml:space="preserve">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