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v23 · Closes the last remaining audit item: 10.2's plane-count figures. Retested at full resolution across multiple seeds: the 2-vs-3-plane quality drop is confirmed (every seed pairing agrees), but the 1-vs-2-plane step is genuinely indistinguishable from ordinary seed variance — a near-coin-flip win rate that barely moved even after nearly doubling the seed count. The claimed clean three-step monotonic ordering does not hold, though quality does still degrade overall with more simultaneous planes. Magnitudes were also corrected: originally reported 14.6/11.9/11.5 dB, now ~7.8/7.4/7.0 dB. A masking bug (unmasked PSNR on sparse icon/text content — the same class of error already caught twice elsewhere in this document) was found and fixed before trusting the first pass. See 10.2 and Appendix A.14.7. Nothing remains open from either audit list.</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rPr>
                <w:b w:val="false"/>
                <w:bCs w:val="false"/>
                <w:sz w:val="20"/>
                <w:szCs w:val="20"/>
              </w:rPr>
              <w:t xml:space="preserve">~1,291.7 TFLOP/s, 5-seed average (10.1), monochrome, cold-start</w:t>
            </w:r>
          </w:p>
        </w:tc>
        <w:tc>
          <w:tcPr>
            <w:tcW w:type="dxa" w:w="3000"/>
          </w:tcPr>
          <w:p>
            <w:r>
              <w:rPr>
                <w:b w:val="false"/>
                <w:bCs w:val="false"/>
                <w:sz w:val="20"/>
                <w:szCs w:val="20"/>
              </w:rPr>
              <w:t xml:space="preserve">552±198 FFTs/frame avg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rPr>
                <w:b w:val="false"/>
                <w:bCs w:val="false"/>
                <w:sz w:val="20"/>
                <w:szCs w:val="20"/>
              </w:rPr>
              <w:t xml:space="preserve">~199W ± 71 measured, 5-seed average (10.1), monochrome (range 130–282W); ~597W estimated with color (Gap 9, not yet jointly measured)</w:t>
            </w:r>
          </w:p>
        </w:tc>
        <w:tc>
          <w:tcPr>
            <w:tcW w:type="dxa" w:w="3000"/>
          </w:tcPr>
          <w:p>
            <w:r>
              <w:rPr>
                <w:b w:val="false"/>
                <w:bCs w:val="false"/>
                <w:sz w:val="20"/>
                <w:szCs w:val="20"/>
              </w:rPr>
              <w:t xml:space="preserve">1,291.7 TFLOP/s ÷ 6.5 TOPS/W (BFP16)</w:t>
            </w:r>
          </w:p>
        </w:tc>
      </w:tr>
      <w:tr>
        <w:tc>
          <w:tcPr>
            <w:tcW w:type="dxa" w:w="2400"/>
          </w:tcPr>
          <w:p>
            <w:r>
              <w:rPr>
                <w:b w:val="false"/>
                <w:bCs w:val="false"/>
                <w:sz w:val="20"/>
                <w:szCs w:val="20"/>
              </w:rPr>
              <w:t xml:space="preserve">Power budget target</w:t>
            </w:r>
          </w:p>
        </w:tc>
        <w:tc>
          <w:tcPr>
            <w:tcW w:type="dxa" w:w="3600"/>
          </w:tcPr>
          <w:p>
            <w:r>
              <w:rPr>
                <w:b w:val="false"/>
                <w:bCs w:val="false"/>
                <w:sz w:val="20"/>
                <w:szCs w:val="20"/>
              </w:rPr>
              <w:t xml:space="preserve">≤ 500 mW — ~397× over at current monochrome average (range 260×–564×); ~1,194× with color estimate</w:t>
            </w:r>
          </w:p>
        </w:tc>
        <w:tc>
          <w:tcPr>
            <w:tcW w:type="dxa" w:w="3000"/>
          </w:tcPr>
          <w:p>
            <w:r>
              <w:rPr>
                <w:b w:val="false"/>
                <w:bCs w:val="false"/>
                <w:sz w:val="20"/>
                <w:szCs w:val="20"/>
              </w:rPr>
              <w:t xml:space="preserve">See 10.1 and Gap 2</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rPr>
                <w:b w:val="false"/>
                <w:bCs w:val="false"/>
                <w:sz w:val="20"/>
                <w:szCs w:val="20"/>
              </w:rPr>
              <w:t xml:space="preserve">~46–92 min at the original ~1.3W estimate; ~18–36s at the measured ~199W average baseline (range ~13–55s across seed variance,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rPr>
                <w:b w:val="false"/>
                <w:bCs w:val="false"/>
                <w:sz w:val="20"/>
                <w:szCs w:val="20"/>
              </w:rPr>
              <w:t xml:space="preserve">~199W ± 71 measured, 5-seed average (10.1, monochrome), range 130–282W; ~597W estimated with color vs. 500mW budget — ~397× over on average (range 260×–564×); ~1,194× with color estimate</w:t>
            </w:r>
          </w:p>
        </w:tc>
        <w:tc>
          <w:tcPr>
            <w:tcW w:type="dxa" w:w="3900"/>
          </w:tcPr>
          <w:p>
            <w:r>
              <w:rPr>
                <w:b w:val="false"/>
                <w:bCs w:val="false"/>
                <w:sz w:val="20"/>
                <w:szCs w:val="20"/>
              </w:rPr>
              <w:t xml:space="preserve">A full-resolution, real-content, true-convergence measurement (10.1) found 552 FFTs/frame on average — but a single-seed version of this same measurement (434 FFTs, 156W, 312×) was found to vary genuinely with random seed, not just measurement noise, after a materially improved plateau-detector failed to close the gap (Appendix A.7). Closing this gap requires a different architecture or algorithm, not just a faster implementation. Two preliminary, unconfirmed levers: temporal reuse between similar frames may reduce average (not peak) compute (10.5); INT8 precision may match BFP16 quality algorithmically, a possible ~3× power reduction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rPr>
                <w:b w:val="false"/>
                <w:bCs w:val="false"/>
                <w:sz w:val="20"/>
                <w:szCs w:val="20"/>
              </w:rPr>
              <w:t xml:space="preserve">~324–540mW sustainable vs. ~199W average measured — ~368–614× over, not ~2× (range ~240×–870×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rPr>
                <w:b w:val="false"/>
                <w:bCs w:val="false"/>
                <w:sz w:val="20"/>
                <w:szCs w:val="20"/>
              </w:rPr>
              <w:t xml:space="preserve">~18–36 seconds continuous at the measured ~199W average baseline (range ~13–55s across seed variance);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rPr>
                <w:b w:val="false"/>
                <w:bCs w:val="false"/>
                <w:sz w:val="20"/>
                <w:szCs w:val="20"/>
              </w:rPr>
              <w:t xml:space="preserve">Representational, not algorithmic — confirmed by three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 xml:space="preserve">A full-resolution, real-content, true-convergence measurement, averaged across 5 random seeds after single-seed measurements proved unstable, puts sustained compute at ~1,291.7 TFLOP/s, implying ~199W average at today's realistic BFP16 ceiling — ~397× the 500mW budget on average, before color (Gap 9) multiplies it further. Preliminary quantization-emulation testing (not yet hardware-confirmed) suggests INT8 precision may reach the same quality as BFP16 — if true, that's ~65W, ~129× over budget, via 20 TOPS/W instead of 6.5. What closes the remaining gap: hardware confirmation of INT8 viability,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 xml:space="preserve">10.1 Compute estimate — current measured baseline (5-seed average)</w:t>
      </w:r>
    </w:p>
    <w:p>
      <w:pPr>
        <w:spacing w:after="160"/>
      </w:pPr>
      <w:r>
        <w:rPr>
          <w:b w:val="false"/>
          <w:bCs w:val="false"/>
          <w:i w:val="0"/>
          <w:iCs w:val="false"/>
        </w:rPr>
        <w:t>A full-resolution (4,700×2,700), real-content convergence measurement is run to true, plateau-detected convergence rather than a fixed iteration budget. Because a single seed's convergence point could sit anywhere in a flat, noisy region of the curve, this is checked across 5 random seeds rather than trusted from one.</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 xml:space="preserve">552 ± 198 FFTs/frame  ×  6.5 GFLOP/FFT  ×  360Hz  =  ~1,291.7 TFLOP/s average  →  ~199W ± 71 average  →  ~397× over the 500mW budget on average (range 260×–564×)</w:t>
      </w:r>
    </w:p>
    <w:p>
      <w:pPr>
        <w:spacing w:after="200"/>
      </w:pPr>
      <w:r>
        <w:rPr>
          <w:i/>
          <w:iCs/>
          <w:color w:val="555555"/>
          <w:sz w:val="20"/>
          <w:szCs w:val="20"/>
        </w:rPr>
        <w:t>Note: final image quality is consistent across seeds (11.47–12.00 dB); the FFT count varies because different random starting phases genuinely take different numbers of iterations to converge, not because of measurement noise (Appendix A.7). This 5-seed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Convergence curves for all 5 seeds, full resolution, real content (mean PSNR across planes vs. iteration). Same run as the table above: final quality converges to a tight band while the iteration at which each seed gets there varies widely — the source of the 30–65 iteration spread.</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current average baseline from ~199W to roughly ~65W (~129× over budget instead of ~397×).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this revision: the neural-prior comparison (10.2), left open in v21 as untestable at current cost, is now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 also closed the last open item from the original audit list: 10.2's plane-count figures, retested at full resolution across multiple seeds, showed the 2-to-3-plane quality drop is real and consistent, but the 1-to-2-plane step could not be distinguished from ordinary seed variance even after doubling the sample — reported as genuinely inconclusive rather than assumed. Nothing from either audit list remains open; what's left in 10.9 are items that always needed a specialist or real hardware, not more simulation.</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 xml:space="preserve">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current baseline (434 FFTs/frame, ~156W, reported in 10.1) is the figure that regenerates from the current codebase.</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 xml:space="preserve">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