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HOLOGRAPHIC AR GLASSES</w:t>
      </w:r>
    </w:p>
    <w:p>
      <w:pPr>
        <w:spacing w:after="60"/>
      </w:pPr>
      <w:r>
        <w:rPr>
          <w:sz w:val="26"/>
          <w:szCs w:val="26"/>
        </w:rPr>
        <w:t xml:space="preserve">Technical Reference — Target Specification, Derivations &amp; Open Gaps</w:t>
      </w:r>
    </w:p>
    <w:p>
      <w:pPr>
        <w:spacing w:after="60"/>
      </w:pPr>
      <w:r>
        <w:rPr>
          <w:i/>
          <w:iCs/>
        </w:rPr>
        <w:t xml:space="preserve">Prepared for specialist conversations — optical engineering, waveguides, panel suppliers, silicon architecture, investment</w:t>
      </w:r>
    </w:p>
    <w:p>
      <w:pPr>
        <w:spacing w:after="300"/>
      </w:pPr>
      <w:r>
        <w:rPr>
          <w:b/>
          <w:bCs/>
        </w:rPr>
        <w:t xml:space="preserve">v12  ·  Draft for review — Section 3 target table and Gap 2 now lead with the measured figures (~1,628 TFLOP/s, ~250–750W) directly, not a footnote pointing away from the stale original numbers</w:t>
      </w:r>
    </w:p>
    <w:p>
      <w:pPr>
        <w:spacing w:after="120"/>
      </w:pPr>
      <w:r>
        <w:rPr>
          <w:b w:val="false"/>
          <w:bCs w:val="false"/>
          <w:i w:val="false"/>
          <w:iCs w:val="false"/>
        </w:rPr>
        <w:t xml:space="preserve">This document derives every target number in the system from first-principles physics, and deliberately leads with the parts that are not yet solved rather than papering over them. Every figure below is traceable to an equation; every open gap is stated with its magnitude, not hand-waved. This revision adds a new Section 10 summarizing preliminary software simulation work done to test the two most quantifiable assumptions in this document — the CGH compute estimate and achievable image quality — before engaging specialists.</w:t>
      </w:r>
    </w:p>
    <w:p>
      <w:pPr>
        <w:pStyle w:val="Heading1"/>
        <w:spacing w:after="150" w:before="300"/>
      </w:pPr>
      <w:r>
        <w:rPr>
          <w:b/>
          <w:bCs/>
        </w:rPr>
        <w:t xml:space="preserve">1. Purpose &amp; Posture</w:t>
      </w:r>
    </w:p>
    <w:p>
      <w:pPr>
        <w:spacing w:after="120"/>
      </w:pPr>
      <w:r>
        <w:rPr>
          <w:b w:val="false"/>
          <w:bCs w:val="false"/>
          <w:i w:val="false"/>
          <w:iCs w:val="false"/>
        </w:rPr>
        <w:t xml:space="preserve">The goal of this document is to move a holographic AR glasses concept from a physics-grounded specification toward staged hardware validation. The approach is deliberately honest about what is unresolved: four structural gaps (panel availability, compute power, color, eye tracking) are surfaced up front rather than discovered by a specialist mid-meeting. Investment and validation are staged so that later, more expensive commitments are gated on proof from earlier, cheaper ones.</w:t>
      </w:r>
    </w:p>
    <w:p>
      <w:pPr>
        <w:pStyle w:val="Heading1"/>
        <w:spacing w:after="150" w:before="300"/>
      </w:pPr>
      <w:r>
        <w:rPr>
          <w:b/>
          <w:bCs/>
        </w:rPr>
        <w:t xml:space="preserve">2. The Governing Equation</w:t>
      </w:r>
    </w:p>
    <w:p>
      <w:pPr>
        <w:spacing w:after="120"/>
      </w:pPr>
      <w:r>
        <w:rPr>
          <w:b w:val="false"/>
          <w:bCs w:val="false"/>
          <w:i w:val="false"/>
          <w:iCs w:val="false"/>
        </w:rPr>
        <w:t xml:space="preserve">Every spatial number in this system — pixel count, panel size, eyebox, field of view — is derived from a single conserved quantity: the space-bandwidth product (the coherent-optics analogue of étendue). It is conserved through any lossless passive optic. No waveguide material or index of refraction can increase it; a high-index material can only reduce how much of it is wasted.</w:t>
      </w:r>
    </w:p>
    <w:p>
      <w:pPr>
        <w:spacing w:after="120"/>
        <w:jc w:val="center"/>
      </w:pPr>
      <w:r>
        <w:rPr>
          <w:i/>
          <w:iCs/>
        </w:rPr>
        <w:t xml:space="preserve">N  =  2 · W_eyebox · sin(FOV / 2) / λ</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shd w:fill="D9D9D9" w:val="clear"/>
          </w:tcPr>
          <w:p>
            <w:r>
              <w:rPr>
                <w:b/>
                <w:bCs/>
              </w:rPr>
              <w:t xml:space="preserve">Term</w:t>
            </w:r>
          </w:p>
        </w:tc>
        <w:tc>
          <w:tcPr>
            <w:tcW w:type="dxa" w:w="7500"/>
            <w:shd w:fill="D9D9D9" w:val="clear"/>
          </w:tcPr>
          <w:p>
            <w:r>
              <w:rPr>
                <w:b/>
                <w:bCs/>
              </w:rPr>
              <w:t xml:space="preserve">Meaning</w:t>
            </w:r>
          </w:p>
        </w:tc>
      </w:tr>
      <w:tr>
        <w:tc>
          <w:tcPr>
            <w:tcW w:type="dxa" w:w="2000"/>
          </w:tcPr>
          <w:p>
            <w:r>
              <w:t xml:space="preserve">N</w:t>
            </w:r>
          </w:p>
        </w:tc>
        <w:tc>
          <w:tcPr>
            <w:tcW w:type="dxa" w:w="7500"/>
          </w:tcPr>
          <w:p>
            <w:r>
              <w:t xml:space="preserve">Pixel count required, one axis</w:t>
            </w:r>
          </w:p>
        </w:tc>
      </w:tr>
      <w:tr>
        <w:tc>
          <w:tcPr>
            <w:tcW w:type="dxa" w:w="2000"/>
          </w:tcPr>
          <w:p>
            <w:r>
              <w:t xml:space="preserve">W_eyebox</w:t>
            </w:r>
          </w:p>
        </w:tc>
        <w:tc>
          <w:tcPr>
            <w:tcW w:type="dxa" w:w="7500"/>
          </w:tcPr>
          <w:p>
            <w:r>
              <w:t xml:space="preserve">Eyebox width — the window your pupil must sit inside</w:t>
            </w:r>
          </w:p>
        </w:tc>
      </w:tr>
      <w:tr>
        <w:tc>
          <w:tcPr>
            <w:tcW w:type="dxa" w:w="2000"/>
          </w:tcPr>
          <w:p>
            <w:r>
              <w:t xml:space="preserve">FOV</w:t>
            </w:r>
          </w:p>
        </w:tc>
        <w:tc>
          <w:tcPr>
            <w:tcW w:type="dxa" w:w="7500"/>
          </w:tcPr>
          <w:p>
            <w:r>
              <w:t xml:space="preserve">Full field of view, that axis</w:t>
            </w:r>
          </w:p>
        </w:tc>
      </w:tr>
      <w:tr>
        <w:tc>
          <w:tcPr>
            <w:tcW w:type="dxa" w:w="2000"/>
          </w:tcPr>
          <w:p>
            <w:r>
              <w:t xml:space="preserve">λ</w:t>
            </w:r>
          </w:p>
        </w:tc>
        <w:tc>
          <w:tcPr>
            <w:tcW w:type="dxa" w:w="7500"/>
          </w:tcPr>
          <w:p>
            <w:r>
              <w:t xml:space="preserve">Wavelength — worst case is the shortest (blue, ~450nm)</w:t>
            </w:r>
          </w:p>
        </w:tc>
      </w:tr>
    </w:tbl>
    <w:p>
      <w:pPr>
        <w:spacing w:after="160" w:before="160"/>
      </w:pPr>
    </w:p>
    <w:p>
      <w:pPr>
        <w:spacing w:after="160"/>
      </w:pPr>
      <w:r>
        <w:rPr>
          <w:i/>
          <w:iCs/>
          <w:color w:val="555555"/>
        </w:rPr>
        <w:t xml:space="preserve">Note: Pixel PITCH does not appear in this equation. Pitch sets physical panel size and the waveguide's required angular magnification — not pixel count. This is the correction that overturned the original 'high-index TiO₂ widens the FOV' claim: FOV is pixel-count-limited, not material-limited.</w:t>
      </w:r>
    </w:p>
    <w:p>
      <w:pPr>
        <w:pStyle w:val="Heading1"/>
        <w:spacing w:after="150" w:before="300"/>
      </w:pPr>
      <w:r>
        <w:rPr>
          <w:b/>
          <w:bCs/>
        </w:rPr>
        <w:t xml:space="preserve">3. Target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rPr>
          <w:tblHeader/>
        </w:trPr>
        <w:tc>
          <w:tcPr>
            <w:tcW w:type="dxa" w:w="3200"/>
            <w:shd w:fill="D9D9D9" w:val="clear"/>
          </w:tcPr>
          <w:p>
            <w:r>
              <w:rPr>
                <w:b/>
                <w:bCs/>
              </w:rPr>
              <w:t xml:space="preserve">Parameter</w:t>
            </w:r>
          </w:p>
        </w:tc>
        <w:tc>
          <w:tcPr>
            <w:tcW w:type="dxa" w:w="3200"/>
            <w:shd w:fill="D9D9D9" w:val="clear"/>
          </w:tcPr>
          <w:p>
            <w:r>
              <w:rPr>
                <w:b/>
                <w:bCs/>
              </w:rPr>
              <w:t xml:space="preserve">Target</w:t>
            </w:r>
          </w:p>
        </w:tc>
        <w:tc>
          <w:tcPr>
            <w:tcW w:type="dxa" w:w="3100"/>
            <w:shd w:fill="D9D9D9" w:val="clear"/>
          </w:tcPr>
          <w:p>
            <w:r>
              <w:rPr>
                <w:b/>
                <w:bCs/>
              </w:rPr>
              <w:t xml:space="preserve">Basis</w:t>
            </w:r>
          </w:p>
        </w:tc>
      </w:tr>
      <w:tr>
        <w:tc>
          <w:tcPr>
            <w:tcW w:type="dxa" w:w="3200"/>
          </w:tcPr>
          <w:p>
            <w:r>
              <w:t xml:space="preserve">Panel resolution</w:t>
            </w:r>
          </w:p>
        </w:tc>
        <w:tc>
          <w:tcPr>
            <w:tcW w:type="dxa" w:w="3200"/>
          </w:tcPr>
          <w:p>
            <w:r>
              <w:t xml:space="preserve">4,700 × 2,700 (~12.6 Mpix)</w:t>
            </w:r>
          </w:p>
        </w:tc>
        <w:tc>
          <w:tcPr>
            <w:tcW w:type="dxa" w:w="3100"/>
          </w:tcPr>
          <w:p>
            <w:r>
              <w:t xml:space="preserve">SBP invariant at λ=450nm worst case</w:t>
            </w:r>
          </w:p>
        </w:tc>
      </w:tr>
      <w:tr>
        <w:tc>
          <w:tcPr>
            <w:tcW w:type="dxa" w:w="3200"/>
          </w:tcPr>
          <w:p>
            <w:r>
              <w:t xml:space="preserve">Pixel pitch</w:t>
            </w:r>
          </w:p>
        </w:tc>
        <w:tc>
          <w:tcPr>
            <w:tcW w:type="dxa" w:w="3200"/>
          </w:tcPr>
          <w:p>
            <w:r>
              <w:t xml:space="preserve">2.0 µm</w:t>
            </w:r>
          </w:p>
        </w:tc>
        <w:tc>
          <w:tcPr>
            <w:tcW w:type="dxa" w:w="3100"/>
          </w:tcPr>
          <w:p>
            <w:r>
              <w:t xml:space="preserve">Sets panel size; open — no confirmed supplier</w:t>
            </w:r>
          </w:p>
        </w:tc>
      </w:tr>
      <w:tr>
        <w:tc>
          <w:tcPr>
            <w:tcW w:type="dxa" w:w="3200"/>
          </w:tcPr>
          <w:p>
            <w:r>
              <w:t xml:space="preserve">Panel active area</w:t>
            </w:r>
          </w:p>
        </w:tc>
        <w:tc>
          <w:tcPr>
            <w:tcW w:type="dxa" w:w="3200"/>
          </w:tcPr>
          <w:p>
            <w:r>
              <w:t xml:space="preserve">9.4mm × 5.4mm (~10.8mm diag.)</w:t>
            </w:r>
          </w:p>
        </w:tc>
        <w:tc>
          <w:tcPr>
            <w:tcW w:type="dxa" w:w="3100"/>
          </w:tcPr>
          <w:p>
            <w:r>
              <w:t xml:space="preserve">N × pitch</w:t>
            </w:r>
          </w:p>
        </w:tc>
      </w:tr>
      <w:tr>
        <w:tc>
          <w:tcPr>
            <w:tcW w:type="dxa" w:w="3200"/>
          </w:tcPr>
          <w:p>
            <w:r>
              <w:t xml:space="preserve">Native panel diffraction angle</w:t>
            </w:r>
          </w:p>
        </w:tc>
        <w:tc>
          <w:tcPr>
            <w:tcW w:type="dxa" w:w="3200"/>
          </w:tcPr>
          <w:p>
            <w:r>
              <w:t xml:space="preserve">±6.46°</w:t>
            </w:r>
          </w:p>
        </w:tc>
        <w:tc>
          <w:tcPr>
            <w:tcW w:type="dxa" w:w="3100"/>
          </w:tcPr>
          <w:p>
            <w:r>
              <w:t xml:space="preserve">sin θ = λ / 2p</w:t>
            </w:r>
          </w:p>
        </w:tc>
      </w:tr>
      <w:tr>
        <w:tc>
          <w:tcPr>
            <w:tcW w:type="dxa" w:w="3200"/>
          </w:tcPr>
          <w:p>
            <w:r>
              <w:t xml:space="preserve">Required waveguide ang. magnification</w:t>
            </w:r>
          </w:p>
        </w:tc>
        <w:tc>
          <w:tcPr>
            <w:tcW w:type="dxa" w:w="3200"/>
          </w:tcPr>
          <w:p>
            <w:r>
              <w:t xml:space="preserve">~3.87×</w:t>
            </w:r>
          </w:p>
        </w:tc>
        <w:tc>
          <w:tcPr>
            <w:tcW w:type="dxa" w:w="3100"/>
          </w:tcPr>
          <w:p>
            <w:r>
              <w:t xml:space="preserve">25° needed ÷ 6.46° native</w:t>
            </w:r>
          </w:p>
        </w:tc>
      </w:tr>
      <w:tr>
        <w:tc>
          <w:tcPr>
            <w:tcW w:type="dxa" w:w="3200"/>
          </w:tcPr>
          <w:p>
            <w:r>
              <w:t xml:space="preserve">Eyebox, instantaneous</w:t>
            </w:r>
          </w:p>
        </w:tc>
        <w:tc>
          <w:tcPr>
            <w:tcW w:type="dxa" w:w="3200"/>
          </w:tcPr>
          <w:p>
            <w:r>
              <w:t xml:space="preserve">2.5mm</w:t>
            </w:r>
          </w:p>
        </w:tc>
        <w:tc>
          <w:tcPr>
            <w:tcW w:type="dxa" w:w="3100"/>
          </w:tcPr>
          <w:p>
            <w:r>
              <w:t xml:space="preserve">~daylight pupil diameter</w:t>
            </w:r>
          </w:p>
        </w:tc>
      </w:tr>
      <w:tr>
        <w:tc>
          <w:tcPr>
            <w:tcW w:type="dxa" w:w="3200"/>
          </w:tcPr>
          <w:p>
            <w:r>
              <w:t xml:space="preserve">Eyebox, effective</w:t>
            </w:r>
          </w:p>
        </w:tc>
        <w:tc>
          <w:tcPr>
            <w:tcW w:type="dxa" w:w="3200"/>
          </w:tcPr>
          <w:p>
            <w:r>
              <w:t xml:space="preserve">5.0mm</w:t>
            </w:r>
          </w:p>
        </w:tc>
        <w:tc>
          <w:tcPr>
            <w:tcW w:type="dxa" w:w="3100"/>
          </w:tcPr>
          <w:p>
            <w:r>
              <w:t xml:space="preserve">2×2 time-multiplexed</w:t>
            </w:r>
          </w:p>
        </w:tc>
      </w:tr>
      <w:tr>
        <w:tc>
          <w:tcPr>
            <w:tcW w:type="dxa" w:w="3200"/>
          </w:tcPr>
          <w:p>
            <w:r>
              <w:t xml:space="preserve">Field of view</w:t>
            </w:r>
          </w:p>
        </w:tc>
        <w:tc>
          <w:tcPr>
            <w:tcW w:type="dxa" w:w="3200"/>
          </w:tcPr>
          <w:p>
            <w:r>
              <w:t xml:space="preserve">50° × 28° (~57° diagonal)</w:t>
            </w:r>
          </w:p>
        </w:tc>
        <w:tc>
          <w:tcPr>
            <w:tcW w:type="dxa" w:w="3100"/>
          </w:tcPr>
          <w:p>
            <w:r>
              <w:t xml:space="preserve">Design target, not physics-fixed</w:t>
            </w:r>
          </w:p>
        </w:tc>
      </w:tr>
      <w:tr>
        <w:tc>
          <w:tcPr>
            <w:tcW w:type="dxa" w:w="3200"/>
          </w:tcPr>
          <w:p>
            <w:r>
              <w:t xml:space="preserve">Composite frame rate</w:t>
            </w:r>
          </w:p>
        </w:tc>
        <w:tc>
          <w:tcPr>
            <w:tcW w:type="dxa" w:w="3200"/>
          </w:tcPr>
          <w:p>
            <w:r>
              <w:t xml:space="preserve">360 Hz (original target, eyebox steering only); ~1,080Hz-equivalent likely required once color is included (Gap 9) — not yet a settled number</w:t>
            </w:r>
          </w:p>
        </w:tc>
        <w:tc>
          <w:tcPr>
            <w:tcW w:type="dxa" w:w="3100"/>
          </w:tcPr>
          <w:p>
            <w:r>
              <w:t xml:space="preserve">90Hz perceptual × 4 (2×2 tiles)</w:t>
            </w:r>
          </w:p>
        </w:tc>
      </w:tr>
      <w:tr>
        <w:tc>
          <w:tcPr>
            <w:tcW w:type="dxa" w:w="3200"/>
          </w:tcPr>
          <w:p>
            <w:r>
              <w:t xml:space="preserve">MEMS settle time required</w:t>
            </w:r>
          </w:p>
        </w:tc>
        <w:tc>
          <w:tcPr>
            <w:tcW w:type="dxa" w:w="3200"/>
          </w:tcPr>
          <w:p>
            <w:r>
              <w:t xml:space="preserve">&lt; ~1 ms</w:t>
            </w:r>
          </w:p>
        </w:tc>
        <w:tc>
          <w:tcPr>
            <w:tcW w:type="dxa" w:w="3100"/>
          </w:tcPr>
          <w:p>
            <w:r>
              <w:t xml:space="preserve">Within 2.78ms slot at 360Hz</w:t>
            </w:r>
          </w:p>
        </w:tc>
      </w:tr>
      <w:tr>
        <w:tc>
          <w:tcPr>
            <w:tcW w:type="dxa" w:w="3200"/>
          </w:tcPr>
          <w:p>
            <w:r>
              <w:t xml:space="preserve">CGH compute</w:t>
            </w:r>
          </w:p>
        </w:tc>
        <w:tc>
          <w:tcPr>
            <w:tcW w:type="dxa" w:w="3200"/>
          </w:tcPr>
          <w:p>
            <w:r>
              <w:t xml:space="preserve">~7.5 TFLOP/s (original design target — see note below); ~1,628 TFLOP/s measured (10.1c), monochrome, one depth strategy</w:t>
            </w:r>
          </w:p>
        </w:tc>
        <w:tc>
          <w:tcPr>
            <w:tcW w:type="dxa" w:w="3100"/>
          </w:tcPr>
          <w:p>
            <w:r>
              <w:t xml:space="preserve">14 FFTs/frame × 1.49GFLOP × 360Hz</w:t>
            </w:r>
          </w:p>
        </w:tc>
      </w:tr>
      <w:tr>
        <w:tc>
          <w:tcPr>
            <w:tcW w:type="dxa" w:w="3200"/>
          </w:tcPr>
          <w:p>
            <w:r>
              <w:t xml:space="preserve">CGH ASIC power (realistic)</w:t>
            </w:r>
          </w:p>
        </w:tc>
        <w:tc>
          <w:tcPr>
            <w:tcW w:type="dxa" w:w="3200"/>
          </w:tcPr>
          <w:p>
            <w:r>
              <w:t xml:space="preserve">~1.15 W (original estimate); ~250W measured (10.1c, monochrome); ~750W estimated with color (Gap 9, not yet jointly measured)</w:t>
            </w:r>
          </w:p>
        </w:tc>
        <w:tc>
          <w:tcPr>
            <w:tcW w:type="dxa" w:w="3100"/>
          </w:tcPr>
          <w:p>
            <w:r>
              <w:t xml:space="preserve">7.5 TFLOP/s ÷ 6.5 TOPS/W (BFP16)</w:t>
            </w:r>
          </w:p>
        </w:tc>
      </w:tr>
      <w:tr>
        <w:tc>
          <w:tcPr>
            <w:tcW w:type="dxa" w:w="3200"/>
          </w:tcPr>
          <w:p>
            <w:r>
              <w:t xml:space="preserve">Power budget target</w:t>
            </w:r>
          </w:p>
        </w:tc>
        <w:tc>
          <w:tcPr>
            <w:tcW w:type="dxa" w:w="3200"/>
          </w:tcPr>
          <w:p>
            <w:r>
              <w:t xml:space="preserve">≤ 500 mW</w:t>
            </w:r>
          </w:p>
        </w:tc>
        <w:tc>
          <w:tcPr>
            <w:tcW w:type="dxa" w:w="3100"/>
          </w:tcPr>
          <w:p>
            <w:r>
              <w:t xml:space="preserve">~2.3× gap vs. original target; ~500× vs. measured monochrome; ~1,500× vs. estimated with color</w:t>
            </w:r>
          </w:p>
        </w:tc>
      </w:tr>
      <w:tr>
        <w:tc>
          <w:tcPr>
            <w:tcW w:type="dxa" w:w="3200"/>
          </w:tcPr>
          <w:p>
            <w:r>
              <w:t xml:space="preserve">Laser optical output</w:t>
            </w:r>
          </w:p>
        </w:tc>
        <w:tc>
          <w:tcPr>
            <w:tcW w:type="dxa" w:w="3200"/>
          </w:tcPr>
          <w:p>
            <w:r>
              <w:t xml:space="preserve">~18 mW</w:t>
            </w:r>
          </w:p>
        </w:tc>
        <w:tc>
          <w:tcPr>
            <w:tcW w:type="dxa" w:w="3100"/>
          </w:tcPr>
          <w:p>
            <w:r>
              <w:t xml:space="preserve">3000 nits target, 0.2% system efficiency</w:t>
            </w:r>
          </w:p>
        </w:tc>
      </w:tr>
      <w:tr>
        <w:tc>
          <w:tcPr>
            <w:tcW w:type="dxa" w:w="3200"/>
          </w:tcPr>
          <w:p>
            <w:r>
              <w:t xml:space="preserve">Thermal sustainable budget</w:t>
            </w:r>
          </w:p>
        </w:tc>
        <w:tc>
          <w:tcPr>
            <w:tcW w:type="dxa" w:w="3200"/>
          </w:tcPr>
          <w:p>
            <w:r>
              <w:t xml:space="preserve">~324–540 mW</w:t>
            </w:r>
          </w:p>
        </w:tc>
        <w:tc>
          <w:tcPr>
            <w:tcW w:type="dxa" w:w="3100"/>
          </w:tcPr>
          <w:p>
            <w:r>
              <w:t xml:space="preserve">10.8cm² contact × 30–50 mW/cm²</w:t>
            </w:r>
          </w:p>
        </w:tc>
      </w:tr>
      <w:tr>
        <w:tc>
          <w:tcPr>
            <w:tcW w:type="dxa" w:w="3200"/>
          </w:tcPr>
          <w:p>
            <w:r>
              <w:t xml:space="preserve">Battery capacity (est.)</w:t>
            </w:r>
          </w:p>
        </w:tc>
        <w:tc>
          <w:tcPr>
            <w:tcW w:type="dxa" w:w="3200"/>
          </w:tcPr>
          <w:p>
            <w:r>
              <w:t xml:space="preserve">~1–2 Wh</w:t>
            </w:r>
          </w:p>
        </w:tc>
        <w:tc>
          <w:tcPr>
            <w:tcW w:type="dxa" w:w="3100"/>
          </w:tcPr>
          <w:p>
            <w:r>
              <w:t xml:space="preserve">Glasses-form estimate</w:t>
            </w:r>
          </w:p>
        </w:tc>
      </w:tr>
      <w:tr>
        <w:tc>
          <w:tcPr>
            <w:tcW w:type="dxa" w:w="3200"/>
          </w:tcPr>
          <w:p>
            <w:r>
              <w:t xml:space="preserve">Continuous runtime @ ~1.3W</w:t>
            </w:r>
          </w:p>
        </w:tc>
        <w:tc>
          <w:tcPr>
            <w:tcW w:type="dxa" w:w="3200"/>
          </w:tcPr>
          <w:p>
            <w:r>
              <w:t xml:space="preserve">~46–92 min at ~1.3W; ~14–29 s at the measured ~250W (10.1c)</w:t>
            </w:r>
          </w:p>
        </w:tc>
        <w:tc>
          <w:tcPr>
            <w:tcW w:type="dxa" w:w="3100"/>
          </w:tcPr>
          <w:p>
            <w:r>
              <w:t xml:space="preserve">Forces duty-cycled use, not continuous</w:t>
            </w:r>
          </w:p>
        </w:tc>
      </w:tr>
      <w:tr>
        <w:tc>
          <w:tcPr>
            <w:tcW w:type="dxa" w:w="3200"/>
          </w:tcPr>
          <w:p>
            <w:r>
              <w:t xml:space="preserve">Gaze tracking requirement</w:t>
            </w:r>
          </w:p>
        </w:tc>
        <w:tc>
          <w:tcPr>
            <w:tcW w:type="dxa" w:w="3200"/>
          </w:tcPr>
          <w:p>
            <w:r>
              <w:t xml:space="preserve">±0.5mm, 200Hz, &lt;5ms latency</w:t>
            </w:r>
          </w:p>
        </w:tc>
        <w:tc>
          <w:tcPr>
            <w:tcW w:type="dxa" w:w="3100"/>
          </w:tcPr>
          <w:p>
            <w:r>
              <w:t xml:space="preserve">Tabled — safety-critical dependency. Derived independently from Section 4.3's 2.78ms MEMS slot; a &lt;5ms tracking latency is nearly two sub-frame slots stale relative to it. Not reconciled — worth raising if a specialist asks</w:t>
            </w:r>
          </w:p>
        </w:tc>
      </w:tr>
    </w:tbl>
    <w:p>
      <w:pPr>
        <w:spacing w:after="160" w:before="160"/>
      </w:pPr>
    </w:p>
    <w:p>
      <w:pPr>
        <w:spacing w:after="160"/>
      </w:pPr>
      <w:r>
        <w:rPr>
          <w:i/>
          <w:iCs/>
          <w:color w:val="555555"/>
        </w:rPr>
        <w:t xml:space="preserve">Note: The right-hand “Basis” column for CGH compute and CGH ASIC power still shows only the original closed-form derivation (14 FFTs × 1.49 GFLOP × 360Hz) — kept for traceability, since it is a clean formula the measured figures are not. The measured figures themselves are now the Target values above, not a footnote: ~1,628 TFLOP/s and ~250W (10.1c, monochrome). Composite frame rate and CGH ASIC power both carry an unresolved color-driven revision on top of that (Gap 9) — treat every number in this table as live until Section 10 is fully closed out, not as a finished specification.</w:t>
      </w:r>
    </w:p>
    <w:p>
      <w:pPr>
        <w:pStyle w:val="Heading1"/>
        <w:spacing w:after="150" w:before="300"/>
      </w:pPr>
      <w:r>
        <w:rPr>
          <w:b/>
          <w:bCs/>
        </w:rPr>
        <w:t xml:space="preserve">4. Derivation Walkthrough</w:t>
      </w:r>
    </w:p>
    <w:p>
      <w:pPr>
        <w:pStyle w:val="Heading2"/>
        <w:spacing w:after="100" w:before="200"/>
      </w:pPr>
      <w:r>
        <w:rPr>
          <w:b/>
          <w:bCs/>
        </w:rPr>
        <w:t xml:space="preserve">4.1 Panel resolution</w:t>
      </w:r>
    </w:p>
    <w:p>
      <w:pPr>
        <w:spacing w:after="120"/>
      </w:pPr>
      <w:r>
        <w:rPr>
          <w:b w:val="false"/>
          <w:bCs w:val="false"/>
          <w:i w:val="false"/>
          <w:iCs w:val="false"/>
        </w:rPr>
        <w:t xml:space="preserve">Solved for N at λ=450nm (worst case), W_eyebox=2.5mm, half-FOV=25° (horizontal) and 14° (vertical).</w:t>
      </w:r>
    </w:p>
    <w:p>
      <w:pPr>
        <w:spacing w:after="120"/>
        <w:jc w:val="center"/>
      </w:pPr>
      <w:r>
        <w:rPr>
          <w:i/>
          <w:iCs/>
        </w:rPr>
        <w:t xml:space="preserve">N = 2 · W_eyebox · sin(FOV/2) / λ</w:t>
      </w:r>
    </w:p>
    <w:p>
      <w:pPr>
        <w:spacing w:after="120"/>
        <w:jc w:val="center"/>
      </w:pPr>
      <w:r>
        <w:rPr>
          <w:i/>
          <w:iCs/>
        </w:rPr>
        <w:t xml:space="preserve">N_x = 4,696   N_y = 2,688   →  ~12.6 Mpix total</w:t>
      </w:r>
    </w:p>
    <w:p>
      <w:pPr>
        <w:spacing w:after="160"/>
      </w:pPr>
      <w:r>
        <w:rPr>
          <w:i/>
          <w:iCs/>
          <w:color w:val="555555"/>
        </w:rPr>
        <w:t xml:space="preserve">Note: Rounds to 4,700 × 2,700 for physical layout purposes.</w:t>
      </w:r>
    </w:p>
    <w:p>
      <w:pPr>
        <w:pStyle w:val="Heading2"/>
        <w:spacing w:after="100" w:before="200"/>
      </w:pPr>
      <w:r>
        <w:rPr>
          <w:b/>
          <w:bCs/>
        </w:rPr>
        <w:t xml:space="preserve">4.2 Panel size &amp; waveguide angular magnification</w:t>
      </w:r>
    </w:p>
    <w:p>
      <w:pPr>
        <w:spacing w:after="120"/>
      </w:pPr>
      <w:r>
        <w:rPr>
          <w:b w:val="false"/>
          <w:bCs w:val="false"/>
          <w:i w:val="false"/>
          <w:iCs w:val="false"/>
        </w:rPr>
        <w:t xml:space="preserve">Panel size follows directly: N × pitch. But the panel's own native diffraction angle, from the same grating physics as a CD's rainbow, falls well short of the required FOV half-angle.</w:t>
      </w:r>
    </w:p>
    <w:p>
      <w:pPr>
        <w:spacing w:after="120"/>
        <w:jc w:val="center"/>
      </w:pPr>
      <w:r>
        <w:rPr>
          <w:i/>
          <w:iCs/>
        </w:rPr>
        <w:t xml:space="preserve">sin θ_max = λ / 2p   →   θ_max = 6.46° at p = 2.0µm</w:t>
      </w:r>
    </w:p>
    <w:p>
      <w:pPr>
        <w:spacing w:after="120"/>
        <w:jc w:val="center"/>
      </w:pPr>
      <w:r>
        <w:rPr>
          <w:i/>
          <w:iCs/>
        </w:rPr>
        <w:t xml:space="preserve">Required magnification = 25° / 6.46° ≈ 3.87×</w:t>
      </w:r>
    </w:p>
    <w:p>
      <w:pPr>
        <w:spacing w:after="160"/>
      </w:pPr>
      <w:r>
        <w:rPr>
          <w:i/>
          <w:iCs/>
          <w:color w:val="555555"/>
        </w:rPr>
        <w:t xml:space="preserve">Note: This magnification must come from optical power built into the waveguide combiner. No vendor has confirmed this while preserving coherent phase — see Gap 3.</w:t>
      </w:r>
    </w:p>
    <w:p>
      <w:pPr>
        <w:pStyle w:val="Heading2"/>
        <w:spacing w:after="100" w:before="200"/>
      </w:pPr>
      <w:r>
        <w:rPr>
          <w:b/>
          <w:bCs/>
        </w:rPr>
        <w:t xml:space="preserve">4.3 Eyebox multiplexing &amp; frame rate</w:t>
      </w:r>
    </w:p>
    <w:p>
      <w:pPr>
        <w:spacing w:after="120"/>
      </w:pPr>
      <w:r>
        <w:rPr>
          <w:b w:val="false"/>
          <w:bCs w:val="false"/>
          <w:i w:val="false"/>
          <w:iCs w:val="false"/>
        </w:rPr>
        <w:t xml:space="preserve">A 2×2 grid of 2.5mm sub-positions, cycled fast enough to look continuous, covers a 5mm effective eyebox without growing pixel count.</w:t>
      </w:r>
    </w:p>
    <w:p>
      <w:pPr>
        <w:spacing w:after="120"/>
        <w:jc w:val="center"/>
      </w:pPr>
      <w:r>
        <w:rPr>
          <w:i/>
          <w:iCs/>
        </w:rPr>
        <w:t xml:space="preserve">90Hz (perceptual) × 4 (2×2 positions) = 360Hz composite</w:t>
      </w:r>
    </w:p>
    <w:p>
      <w:pPr>
        <w:spacing w:after="160"/>
      </w:pPr>
      <w:r>
        <w:rPr>
          <w:i/>
          <w:iCs/>
          <w:color w:val="555555"/>
        </w:rPr>
        <w:t xml:space="preserve">Note: MEMS steering must settle to a new position within ~1ms of the 2.78ms slot, repeatably, for years of daily use — unverified against any named component.</w:t>
      </w:r>
    </w:p>
    <w:p>
      <w:pPr>
        <w:pStyle w:val="Heading2"/>
        <w:spacing w:after="100" w:before="200"/>
      </w:pPr>
      <w:r>
        <w:rPr>
          <w:b/>
          <w:bCs/>
        </w:rPr>
        <w:t xml:space="preserve">4.4 CGH compute</w:t>
      </w:r>
    </w:p>
    <w:p>
      <w:pPr>
        <w:spacing w:after="120"/>
      </w:pPr>
      <w:r>
        <w:rPr>
          <w:b w:val="false"/>
          <w:bCs w:val="false"/>
          <w:i w:val="false"/>
          <w:iCs w:val="false"/>
        </w:rPr>
        <w:t xml:space="preserve">8 FFTs to build a layered 3D target + 6 FFTs for iterative phase retrieval = 14 FFTs/frame, at ~1.49 GFLOP per 2D FFT (5·N·log₂N).</w:t>
      </w:r>
    </w:p>
    <w:p>
      <w:pPr>
        <w:spacing w:after="120"/>
        <w:jc w:val="center"/>
      </w:pPr>
      <w:r>
        <w:rPr>
          <w:i/>
          <w:iCs/>
        </w:rPr>
        <w:t xml:space="preserve">14 × 1.49 GFLOP = 20.8 GFLOP/frame  ×  360Hz</w:t>
      </w:r>
    </w:p>
    <w:p>
      <w:pPr>
        <w:spacing w:after="120"/>
        <w:jc w:val="center"/>
      </w:pPr>
      <w:r>
        <w:rPr>
          <w:i/>
          <w:iCs/>
        </w:rPr>
        <w:t xml:space="preserve">≈ 7.5 TFLOP/s sustained</w:t>
      </w:r>
    </w:p>
    <w:p>
      <w:pPr>
        <w:spacing w:after="160"/>
      </w:pPr>
      <w:r>
        <w:rPr>
          <w:i/>
          <w:iCs/>
          <w:color w:val="555555"/>
        </w:rPr>
        <w:t xml:space="preserve">Note: ORIGINAL ESTIMATE, REVISED BY MEASUREMENT: the flop-count constant (5N log₂N) itself was never independently tested — 10.1b only checked it against a different array size (padded vs. unpadded), not against its own accuracy as a formula. What was tested and found far too low were the two inputs it was applied to: A genuine end-to-end convergence sweep (Section 10.1c) measured ~696 FFTs/frame needed for real multi-plane convergence at full resolution with real content, not 14 — and Section 10.1b measured ~6.5 GFLOP per FFT at the resolution actually computed (padded), not 1.49. Combined: ~4,524 GFLOP/frame, ~218× this derivation — see Section 10.1c and Gap 2 for the current measured figure.</w:t>
      </w:r>
    </w:p>
    <w:p>
      <w:pPr>
        <w:pStyle w:val="Heading2"/>
        <w:spacing w:after="100" w:before="200"/>
      </w:pPr>
      <w:r>
        <w:rPr>
          <w:b/>
          <w:bCs/>
        </w:rPr>
        <w:t xml:space="preserve">4.5 Power — the precision ceiling</w:t>
      </w:r>
    </w:p>
    <w:p>
      <w:pPr>
        <w:spacing w:after="120"/>
      </w:pPr>
      <w:r>
        <w:rPr>
          <w:b w:val="false"/>
          <w:bCs w:val="false"/>
          <w:i w:val="false"/>
          <w:iCs w:val="false"/>
        </w:rPr>
        <w:t xml:space="preserve">FFTs cannot run at INT8 (20 TOPS/W) without corrupting the wave computation — dynamic range collapses. 16-bit block floating point (BFP16) is required, at a realistic ~6.5 TOPS/W.</w:t>
      </w:r>
    </w:p>
    <w:p>
      <w:pPr>
        <w:spacing w:after="120"/>
        <w:jc w:val="center"/>
      </w:pPr>
      <w:r>
        <w:rPr>
          <w:i/>
          <w:iCs/>
        </w:rPr>
        <w:t xml:space="preserve">7.5 TFLOP/s ÷ 6.5 TOPS/W ≈ 1,154 mW</w:t>
      </w:r>
    </w:p>
    <w:p>
      <w:pPr>
        <w:spacing w:after="160"/>
      </w:pPr>
      <w:r>
        <w:rPr>
          <w:i/>
          <w:iCs/>
          <w:color w:val="555555"/>
        </w:rPr>
        <w:t xml:space="preserve">Note: ORIGINAL ESTIMATE, REVISED BY MEASUREMENT: ~2.3× over the 500mW budget at this derivation's inputs. A genuine end-to-end measurement (Section 10.1c) at the same 6.5 TOPS/W efficiency found ~250W, ~500× over budget — not the '180× solved by an ASIC' claim of early reference material, and considerably worse than the 2.3× figure this derivation alone would suggest. See Gap 2 in Section 5.</w:t>
      </w:r>
    </w:p>
    <w:p>
      <w:pPr>
        <w:pStyle w:val="Heading2"/>
        <w:spacing w:after="100" w:before="200"/>
      </w:pPr>
      <w:r>
        <w:rPr>
          <w:b/>
          <w:bCs/>
        </w:rPr>
        <w:t xml:space="preserve">4.6 Brightness / laser output</w:t>
      </w:r>
    </w:p>
    <w:p>
      <w:pPr>
        <w:spacing w:after="120"/>
      </w:pPr>
      <w:r>
        <w:rPr>
          <w:b w:val="false"/>
          <w:bCs w:val="false"/>
          <w:i w:val="false"/>
          <w:iCs w:val="false"/>
        </w:rPr>
        <w:t xml:space="preserve">3000 nits over a 3mm pupil across the target FOV, converted to lumens, then to optical watts via luminous efficacy, then inflated for a pessimistic 0.2% end-to-end system efficiency.</w:t>
      </w:r>
    </w:p>
    <w:p>
      <w:pPr>
        <w:spacing w:after="120"/>
        <w:jc w:val="center"/>
      </w:pPr>
      <w:r>
        <w:rPr>
          <w:i/>
          <w:iCs/>
        </w:rPr>
        <w:t xml:space="preserve">flux = 3000 nits × 7.07mm² × 0.426sr ≈ 9.0 millilumens</w:t>
      </w:r>
    </w:p>
    <w:p>
      <w:pPr>
        <w:spacing w:after="120"/>
        <w:jc w:val="center"/>
      </w:pPr>
      <w:r>
        <w:rPr>
          <w:i/>
          <w:iCs/>
        </w:rPr>
        <w:t xml:space="preserve">9.0mlm ÷ 250 lm/W ÷ 0.2% ≈ 18 mW laser output</w:t>
      </w:r>
    </w:p>
    <w:p>
      <w:pPr>
        <w:spacing w:after="160"/>
      </w:pPr>
      <w:r>
        <w:rPr>
          <w:i/>
          <w:iCs/>
          <w:color w:val="555555"/>
        </w:rPr>
        <w:t xml:space="preserve">Note: Brightness is not a bottleneck for this architecture — under 2% of the compute chip's power draw. Eye-safety interlock on modulation failure is still a hard requirement.</w:t>
      </w:r>
    </w:p>
    <w:p>
      <w:pPr>
        <w:pStyle w:val="Heading2"/>
        <w:spacing w:after="100" w:before="200"/>
      </w:pPr>
      <w:r>
        <w:rPr>
          <w:b/>
          <w:bCs/>
        </w:rPr>
        <w:t xml:space="preserve">4.7 Thermal budget</w:t>
      </w:r>
    </w:p>
    <w:p>
      <w:pPr>
        <w:spacing w:after="120"/>
      </w:pPr>
      <w:r>
        <w:rPr>
          <w:b w:val="false"/>
          <w:bCs w:val="false"/>
          <w:i w:val="false"/>
          <w:iCs w:val="false"/>
        </w:rPr>
        <w:t xml:space="preserve">Temple-arm skin contact (~10.8cm²) is the only heat exit — no airflow. Comfort ceiling ~30–50 mW/cm² continuous.</w:t>
      </w:r>
    </w:p>
    <w:p>
      <w:pPr>
        <w:spacing w:after="120"/>
        <w:jc w:val="center"/>
      </w:pPr>
      <w:r>
        <w:rPr>
          <w:i/>
          <w:iCs/>
        </w:rPr>
        <w:t xml:space="preserve">10.8cm² × (30 to 50) mW/cm² ≈ 324–540 mW sustainable</w:t>
      </w:r>
    </w:p>
    <w:p>
      <w:pPr>
        <w:spacing w:after="160"/>
      </w:pPr>
      <w:r>
        <w:rPr>
          <w:i/>
          <w:iCs/>
          <w:color w:val="555555"/>
        </w:rPr>
        <w:t xml:space="preserve">Note: The compute chip alone (1,154mW) already exceeds this ceiling — a second, independent constraint from the power budget, not the same problem twice.</w:t>
      </w:r>
    </w:p>
    <w:p>
      <w:pPr>
        <w:pStyle w:val="Heading2"/>
        <w:spacing w:after="100" w:before="200"/>
      </w:pPr>
      <w:r>
        <w:rPr>
          <w:b/>
          <w:bCs/>
        </w:rPr>
        <w:t xml:space="preserve">4.8 Battery life</w:t>
      </w:r>
    </w:p>
    <w:p>
      <w:pPr>
        <w:spacing w:after="120"/>
      </w:pPr>
      <w:r>
        <w:rPr>
          <w:b w:val="false"/>
          <w:bCs w:val="false"/>
          <w:i w:val="false"/>
          <w:iCs w:val="false"/>
        </w:rPr>
        <w:t xml:space="preserve">Glasses-scale battery estimated at 1–2 Wh (vs. ~10–15 Wh for a phone), against a ~1.3W total system draw including driver overhead.</w:t>
      </w:r>
    </w:p>
    <w:p>
      <w:pPr>
        <w:spacing w:after="120"/>
        <w:jc w:val="center"/>
      </w:pPr>
      <w:r>
        <w:rPr>
          <w:i/>
          <w:iCs/>
        </w:rPr>
        <w:t xml:space="preserve">1–2 Wh ÷ 1.3 W ≈ 46–92 minutes continuous</w:t>
      </w:r>
    </w:p>
    <w:p>
      <w:pPr>
        <w:spacing w:after="160"/>
      </w:pPr>
      <w:r>
        <w:rPr>
          <w:i/>
          <w:iCs/>
          <w:color w:val="555555"/>
        </w:rPr>
        <w:t xml:space="preserve">Note: Confirms duty-cycled display operation is required for two independent reasons (thermal + battery), not a single fixable bottleneck.</w:t>
      </w:r>
    </w:p>
    <w:p>
      <w:pPr>
        <w:pStyle w:val="Heading1"/>
        <w:spacing w:after="150" w:before="300"/>
      </w:pPr>
      <w:r>
        <w:rPr>
          <w:b/>
          <w:bCs/>
        </w:rPr>
        <w:t xml:space="preserve">5. Honest Gaps — Lead With These</w:t>
      </w:r>
    </w:p>
    <w:p>
      <w:pPr>
        <w:spacing w:after="120"/>
      </w:pPr>
      <w:r>
        <w:rPr>
          <w:b w:val="false"/>
          <w:bCs w:val="false"/>
          <w:i w:val="false"/>
          <w:iCs w:val="false"/>
        </w:rPr>
        <w:t xml:space="preserve">The four structural gaps below are the ones to state proactively in every specialist conversation. The remaining items are real but secondary or explicitly tabled.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900"/>
      </w:tblGrid>
      <w:tr>
        <w:trPr>
          <w:tblHeader/>
        </w:trPr>
        <w:tc>
          <w:tcPr>
            <w:tcW w:type="dxa" w:w="2000"/>
            <w:shd w:fill="D9D9D9" w:val="clear"/>
          </w:tcPr>
          <w:p>
            <w:r>
              <w:rPr>
                <w:b/>
                <w:bCs/>
              </w:rPr>
              <w:t xml:space="preserve">Gap</w:t>
            </w:r>
          </w:p>
        </w:tc>
        <w:tc>
          <w:tcPr>
            <w:tcW w:type="dxa" w:w="3600"/>
            <w:shd w:fill="D9D9D9" w:val="clear"/>
          </w:tcPr>
          <w:p>
            <w:r>
              <w:rPr>
                <w:b/>
                <w:bCs/>
              </w:rPr>
              <w:t xml:space="preserve">Magnitude</w:t>
            </w:r>
          </w:p>
        </w:tc>
        <w:tc>
          <w:tcPr>
            <w:tcW w:type="dxa" w:w="3900"/>
            <w:shd w:fill="D9D9D9" w:val="clear"/>
          </w:tcPr>
          <w:p>
            <w:r>
              <w:rPr>
                <w:b/>
                <w:bCs/>
              </w:rPr>
              <w:t xml:space="preserve">Status</w:t>
            </w:r>
          </w:p>
        </w:tc>
      </w:tr>
      <w:tr>
        <w:tc>
          <w:tcPr>
            <w:tcW w:type="dxa" w:w="2000"/>
          </w:tcPr>
          <w:p>
            <w:r>
              <w:t xml:space="preserve">1. Panel</w:t>
            </w:r>
          </w:p>
        </w:tc>
        <w:tc>
          <w:tcPr>
            <w:tcW w:type="dxa" w:w="3600"/>
          </w:tcPr>
          <w:p>
            <w:r>
              <w:t xml:space="preserve">No commercial phase modulator hits 4,700×2,700 @ 2µm pitch @ 360Hz+ with full 2π phase depth</w:t>
            </w:r>
          </w:p>
        </w:tc>
        <w:tc>
          <w:tcPr>
            <w:tcW w:type="dxa" w:w="3900"/>
          </w:tcPr>
          <w:p>
            <w:r>
              <w:t xml:space="preserve">Blocking, and more severe than earlier revisions stated. Checked against HOLOEYE's own published specs, not just estimated: the GAEA-2.1's 180Hz figure is a Color Field Sequential field rate (3×8-bit within one frame), not a general monochrome capability — the actual monochrome input frame rate is 60Hz, for this part and for PLUTO-2.1. For a true single-wavelength comparison, the commercial ceiling is 60Hz — ~6× below the 360Hz base target, not ~2×. A faster liquid-crystal technology (ferroelectric, FLC) has demonstrated sub-millisecond switching at &gt;2,000Hz with full continuous 8-bit phase depth in research settings — physically plausible, not yet a commercial part, and not yet shown to hold at this document's resolution. Separately, Gap 9 establishes that color alone likely needs ~3 sub-frames per perceptual frame regardless of any depth-rendering choice — combined with the existing 4× eyebox-steering sub-frames, that is already a 12-sub-frame, ~1,080Hz-equivalent requirement from color alone, before depth is even considered. Sequential depth-plane rendering's own 1,080Hz flag (Section 10.3/10.6) is content-dependent — confirmed absent for sparse content (icons, text), confirmed present (~1.9–2.3 dB, reproducible across 5 seeds, per 10.1d) for dense, textured content — but color's frame-rate demand does not go away even if depth rendering stays simultaneous</w:t>
            </w:r>
          </w:p>
        </w:tc>
      </w:tr>
      <w:tr>
        <w:tc>
          <w:tcPr>
            <w:tcW w:type="dxa" w:w="2000"/>
          </w:tcPr>
          <w:p>
            <w:r>
              <w:t xml:space="preserve">2. Compute power</w:t>
            </w:r>
          </w:p>
        </w:tc>
        <w:tc>
          <w:tcPr>
            <w:tcW w:type="dxa" w:w="3600"/>
          </w:tcPr>
          <w:p>
            <w:r>
              <w:t xml:space="preserve">~250W measured (10.1c, monochrome), ~750W estimated with color (Gap 9, not yet jointly measured) vs. 500mW budget — ~500× to ~1,500× over. (~1.15W, ~2.3× was the original pre-measurement estimate)</w:t>
            </w:r>
          </w:p>
        </w:tc>
        <w:tc>
          <w:tcPr>
            <w:tcW w:type="dxa" w:w="3900"/>
          </w:tcPr>
          <w:p>
            <w:r>
              <w:t xml:space="preserve">A genuine end-to-end measurement (Section 10.1c) — full resolution, real content, run to true convergence in a single pass, not stitched together from separate tests — found 696 FFTs/frame needed (not 14, not the earlier small-scale-derived ~84), at ~6.5 GFLOP/FFT (padded): ~4,524 GFLOP/frame, ~250W at 360Hz. This is a single confirmed measurement, not a combined estimate. Color (Gap 9) sized against this for the first time: three independent per-color solves multiply it directly — ~750W, treating color and depth as independent multipliers (they have not been jointly measured, so this itself is an estimate, not a second confirmed figure). Closing this gap requires a fundamentally different architecture or algorithm, not just a faster implementation of the current one — hardwired FFT block + algorithm choice remain the starting point for that conversation, but the scale of the problem is now understood correctly</w:t>
            </w:r>
          </w:p>
        </w:tc>
      </w:tr>
      <w:tr>
        <w:tc>
          <w:tcPr>
            <w:tcW w:type="dxa" w:w="2000"/>
          </w:tcPr>
          <w:p>
            <w:r>
              <w:t xml:space="preserve">3. Eye tracking</w:t>
            </w:r>
          </w:p>
        </w:tc>
        <w:tc>
          <w:tcPr>
            <w:tcW w:type="dxa" w:w="3600"/>
          </w:tcPr>
          <w:p>
            <w:r>
              <w:t xml:space="preserve">±0.5mm @ 200Hz, &lt;5ms latency, rim/bridge form factor</w:t>
            </w:r>
          </w:p>
        </w:tc>
        <w:tc>
          <w:tcPr>
            <w:tcW w:type="dxa" w:w="3900"/>
          </w:tcPr>
          <w:p>
            <w:r>
              <w:t xml:space="preserve">Safety-critical — tabled; two immature candidate approaches</w:t>
            </w:r>
          </w:p>
        </w:tc>
      </w:tr>
      <w:tr>
        <w:tc>
          <w:tcPr>
            <w:tcW w:type="dxa" w:w="2000"/>
          </w:tcPr>
          <w:p>
            <w:r>
              <w:t xml:space="preserve">4. Waveguide angular magnification</w:t>
            </w:r>
          </w:p>
        </w:tc>
        <w:tc>
          <w:tcPr>
            <w:tcW w:type="dxa" w:w="3600"/>
          </w:tcPr>
          <w:p>
            <w:r>
              <w:t xml:space="preserve">~3.87× required while preserving coherent phase across pupil replication</w:t>
            </w:r>
          </w:p>
        </w:tc>
        <w:tc>
          <w:tcPr>
            <w:tcW w:type="dxa" w:w="3900"/>
          </w:tcPr>
          <w:p>
            <w:r>
              <w:t xml:space="preserve">Unquantified — needs vendor engagement</w:t>
            </w:r>
          </w:p>
        </w:tc>
      </w:tr>
      <w:tr>
        <w:tc>
          <w:tcPr>
            <w:tcW w:type="dxa" w:w="2000"/>
          </w:tcPr>
          <w:p>
            <w:r>
              <w:t xml:space="preserve">5. Thermal ceiling</w:t>
            </w:r>
          </w:p>
        </w:tc>
        <w:tc>
          <w:tcPr>
            <w:tcW w:type="dxa" w:w="3600"/>
          </w:tcPr>
          <w:p>
            <w:r>
              <w:t xml:space="preserve">~324–540mW sustainable vs. ~250W measured (10.1c) — ~460–770× over, not ~2×</w:t>
            </w:r>
          </w:p>
        </w:tc>
        <w:tc>
          <w:tcPr>
            <w:tcW w:type="dxa" w:w="3900"/>
          </w:tcPr>
          <w:p>
            <w:r>
              <w:t xml:space="preserve">Forces duty-cycling — product-level, not just engineering</w:t>
            </w:r>
          </w:p>
        </w:tc>
      </w:tr>
      <w:tr>
        <w:tc>
          <w:tcPr>
            <w:tcW w:type="dxa" w:w="2000"/>
          </w:tcPr>
          <w:p>
            <w:r>
              <w:t xml:space="preserve">6. Battery life</w:t>
            </w:r>
          </w:p>
        </w:tc>
        <w:tc>
          <w:tcPr>
            <w:tcW w:type="dxa" w:w="3600"/>
          </w:tcPr>
          <w:p>
            <w:r>
              <w:t xml:space="preserve">~14–29 seconds continuous at the measured ~250W (10.1c); ~46–92 min only applied at the superseded ~1.3W estimate</w:t>
            </w:r>
          </w:p>
        </w:tc>
        <w:tc>
          <w:tcPr>
            <w:tcW w:type="dxa" w:w="3900"/>
          </w:tcPr>
          <w:p>
            <w:r>
              <w:t xml:space="preserve">Same root cause as Gap 5</w:t>
            </w:r>
          </w:p>
        </w:tc>
      </w:tr>
      <w:tr>
        <w:tc>
          <w:tcPr>
            <w:tcW w:type="dxa" w:w="2000"/>
          </w:tcPr>
          <w:p>
            <w:r>
              <w:t xml:space="preserve">7. Speckle / multi-plane quality ceiling</w:t>
            </w:r>
          </w:p>
        </w:tc>
        <w:tc>
          <w:tcPr>
            <w:tcW w:type="dxa" w:w="3600"/>
          </w:tcPr>
          <w:p>
            <w:r>
              <w:t xml:space="preserve">Coherent illumination + reduced independent modes; compounded by simultaneous multi-plane phase encoding</w:t>
            </w:r>
          </w:p>
        </w:tc>
        <w:tc>
          <w:tcPr>
            <w:tcW w:type="dxa" w:w="3900"/>
          </w:tcPr>
          <w:p>
            <w:r>
              <w:t xml:space="preserve">Unsolved in the general case, but now partly characterized and re-verified against a metric correction (Section 10.1d). Three independent tests confirm a substantial share of the shortfall is representational rather than random noise: it does not average out with temporal diversity, worsens monotonically with plane count (14.6 dB → 11.9 dB → 11.5 dB for 1→2→3 planes, corrected metric), and is insensitive to optimizer tuning. Sequential depth-plane rendering (10.3/10.6) is a confirmed, reproducible mitigation for dense, textured content — ~2.1 dB in the masked 16-iteration realistic-content test, ~2.28 dB re-run to true convergence, std. dev. ~0.13 dB across 5 seeds in both — for dense, textured content — but confirmed absent for sparse content (icons, text). Not a general-purpose fix; a real, content-dependent lever</w:t>
            </w:r>
          </w:p>
        </w:tc>
      </w:tr>
      <w:tr>
        <w:tc>
          <w:tcPr>
            <w:tcW w:type="dxa" w:w="2000"/>
          </w:tcPr>
          <w:p>
            <w:r>
              <w:t xml:space="preserve">8. Industrial design</w:t>
            </w:r>
          </w:p>
        </w:tc>
        <w:tc>
          <w:tcPr>
            <w:tcW w:type="dxa" w:w="3600"/>
          </w:tcPr>
          <w:p>
            <w:r>
              <w:t xml:space="preserve">Optical engine implies ~9–10mm localized temple bulge vs. ~3–4mm standard</w:t>
            </w:r>
          </w:p>
        </w:tc>
        <w:tc>
          <w:tcPr>
            <w:tcW w:type="dxa" w:w="3900"/>
          </w:tcPr>
          <w:p>
            <w:r>
              <w:t xml:space="preserve">Tabled for now — real constraint, deferred</w:t>
            </w:r>
          </w:p>
        </w:tc>
      </w:tr>
      <w:tr>
        <w:tc>
          <w:tcPr>
            <w:tcW w:type="dxa" w:w="2000"/>
          </w:tcPr>
          <w:p>
            <w:r>
              <w:t xml:space="preserve">9. Color / chromatic dispersion</w:t>
            </w:r>
          </w:p>
        </w:tc>
        <w:tc>
          <w:tcPr>
            <w:tcW w:type="dxa" w:w="3600"/>
          </w:tcPr>
          <w:p>
            <w:r>
              <w:t xml:space="preserve">A phase pattern solved for one wavelength does not fully transfer to others. Measured at full target resolution across all three depth planes, corrected metric (10.1d): native 6.8 dB, naive reuse 5.8 dB (−1.0 dB), joint solve 6.3 dB (−0.5 dB short of native) — smaller gaps than first reported (−2.2 / −1.1 dB), same pattern as other pre-correction numbers in this document. Direction unchanged: joint recovers roughly half of naive reuse's shortfall</w:t>
            </w:r>
          </w:p>
        </w:tc>
        <w:tc>
          <w:tcPr>
            <w:tcW w:type="dxa" w:w="3900"/>
          </w:tcPr>
          <w:p>
            <w:r>
              <w:t xml:space="preserve">Characterized, with one design point still unvalidated. Two are solid: (1) naive reuse — cheapest, worst quality, fits in one sub-frame; (3) three separate native solves — best quality, matches real commercial practice (HOLOEYE GAEA-2.1's Color Field Sequential mode), needs 3 sub-frames. (2) joint multi-color solve’s claimed “same total compute as native, one sub-frame” rests on the constraints×iterations principle from 10.3 — measured at a fixed 16 iterations, which 10.1c found premature for real convergence. A 9-constraint joint solve may need more iterations than a 3-constraint native one to reach the same quality, in which case joint is not compute-neutral. Not yet tested at true convergence; treat as a candidate, not a confirmed design point</w:t>
            </w:r>
          </w:p>
        </w:tc>
      </w:tr>
    </w:tbl>
    <w:p>
      <w:pPr>
        <w:pStyle w:val="Heading1"/>
        <w:spacing w:after="150" w:before="300"/>
      </w:pPr>
      <w:r>
        <w:rPr>
          <w:b/>
          <w:bCs/>
        </w:rPr>
        <w:t xml:space="preserve">6. Structural Advantages — Worth Stating Alongside the Gaps</w:t>
      </w:r>
    </w:p>
    <w:p>
      <w:pPr>
        <w:pStyle w:val="ListParagraph"/>
        <w:numPr>
          <w:ilvl w:val="0"/>
          <w:numId w:val="2"/>
        </w:numPr>
        <w:spacing w:after="100"/>
      </w:pPr>
      <w:r>
        <w:t xml:space="preserve">Prescription correction is free: defocus, astigmatism, and higher-order aberrations are additional phase terms in the same computation already being run — no inserts, one SKU fits every eye.</w:t>
      </w:r>
    </w:p>
    <w:p>
      <w:pPr>
        <w:pStyle w:val="ListParagraph"/>
        <w:numPr>
          <w:ilvl w:val="0"/>
          <w:numId w:val="2"/>
        </w:numPr>
        <w:spacing w:after="100"/>
      </w:pPr>
      <w:r>
        <w:t xml:space="preserve">Accommodation is correct by construction: vergence-accommodation conflict is eliminated because the eye performs genuine per-pixel focusing — a property no shipped or demoed competitor has (see Section 7).</w:t>
      </w:r>
    </w:p>
    <w:p>
      <w:pPr>
        <w:pStyle w:val="ListParagraph"/>
        <w:numPr>
          <w:ilvl w:val="0"/>
          <w:numId w:val="2"/>
        </w:numPr>
        <w:spacing w:after="100"/>
      </w:pPr>
      <w:r>
        <w:t xml:space="preserve">Brightness is not a bottleneck: ~18mW of required laser output is under 2% of the compute chip's power draw, unlike microLED architectures where waveguide coupling efficiency is often the limiting factor.</w:t>
      </w:r>
    </w:p>
    <w:p>
      <w:pPr>
        <w:pStyle w:val="ListParagraph"/>
        <w:numPr>
          <w:ilvl w:val="0"/>
          <w:numId w:val="2"/>
        </w:numPr>
        <w:spacing w:after="100"/>
      </w:pPr>
      <w:r>
        <w:t xml:space="preserve">Per-unit waveguide aberrations can be calibrated out in software rather than tightened in manufacturing tolerance, since the system already computes an arbitrary wavefront.</w:t>
      </w:r>
    </w:p>
    <w:p>
      <w:pPr>
        <w:pStyle w:val="Heading1"/>
        <w:spacing w:after="150" w:before="300"/>
      </w:pPr>
      <w:r>
        <w:rPr>
          <w:b/>
          <w:bCs/>
        </w:rPr>
        <w:t xml:space="preserve">7. Comparative Landscape</w:t>
      </w:r>
    </w:p>
    <w:p>
      <w:pPr>
        <w:spacing w:after="120"/>
      </w:pPr>
      <w:r>
        <w:rPr>
          <w:b w:val="false"/>
          <w:bCs w:val="false"/>
          <w:i w:val="false"/>
          <w:iCs w:val="false"/>
        </w:rPr>
        <w:t xml:space="preserve">None of the three reference products below perform true computer-generated holography — all render a conventional fixed-focus image, even when marketing language uses the word 'holographic' to describe the waveguide's manufacturing method rather than the display's compute method.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1100"/>
        <w:gridCol w:w="1600"/>
        <w:gridCol w:w="1700"/>
      </w:tblGrid>
      <w:tr>
        <w:trPr>
          <w:tblHeader/>
        </w:trPr>
        <w:tc>
          <w:tcPr>
            <w:tcW w:type="dxa" w:w="2200"/>
            <w:shd w:fill="D9D9D9" w:val="clear"/>
          </w:tcPr>
          <w:p>
            <w:r>
              <w:rPr>
                <w:b/>
                <w:bCs/>
              </w:rPr>
              <w:t xml:space="preserve">Product</w:t>
            </w:r>
          </w:p>
        </w:tc>
        <w:tc>
          <w:tcPr>
            <w:tcW w:type="dxa" w:w="2900"/>
            <w:shd w:fill="D9D9D9" w:val="clear"/>
          </w:tcPr>
          <w:p>
            <w:r>
              <w:rPr>
                <w:b/>
                <w:bCs/>
              </w:rPr>
              <w:t xml:space="preserve">Display / Waveguide</w:t>
            </w:r>
          </w:p>
        </w:tc>
        <w:tc>
          <w:tcPr>
            <w:tcW w:type="dxa" w:w="1100"/>
            <w:shd w:fill="D9D9D9" w:val="clear"/>
          </w:tcPr>
          <w:p>
            <w:r>
              <w:rPr>
                <w:b/>
                <w:bCs/>
              </w:rPr>
              <w:t xml:space="preserve">FOV</w:t>
            </w:r>
          </w:p>
        </w:tc>
        <w:tc>
          <w:tcPr>
            <w:tcW w:type="dxa" w:w="1600"/>
            <w:shd w:fill="D9D9D9" w:val="clear"/>
          </w:tcPr>
          <w:p>
            <w:r>
              <w:rPr>
                <w:b/>
                <w:bCs/>
              </w:rPr>
              <w:t xml:space="preserve">Resolution</w:t>
            </w:r>
          </w:p>
        </w:tc>
        <w:tc>
          <w:tcPr>
            <w:tcW w:type="dxa" w:w="1700"/>
            <w:shd w:fill="D9D9D9" w:val="clear"/>
          </w:tcPr>
          <w:p>
            <w:r>
              <w:rPr>
                <w:b/>
                <w:bCs/>
              </w:rPr>
              <w:t xml:space="preserve">Focus / VAC</w:t>
            </w:r>
          </w:p>
        </w:tc>
      </w:tr>
      <w:tr>
        <w:tc>
          <w:tcPr>
            <w:tcW w:type="dxa" w:w="2200"/>
          </w:tcPr>
          <w:p>
            <w:r>
              <w:t xml:space="preserve">Ray-Ban Display</w:t>
            </w:r>
          </w:p>
        </w:tc>
        <w:tc>
          <w:tcPr>
            <w:tcW w:type="dxa" w:w="2900"/>
          </w:tcPr>
          <w:p>
            <w:r>
              <w:t xml:space="preserve">LCoS + geometric (Lumus) waveguide, monocular</w:t>
            </w:r>
          </w:p>
        </w:tc>
        <w:tc>
          <w:tcPr>
            <w:tcW w:type="dxa" w:w="1100"/>
          </w:tcPr>
          <w:p>
            <w:r>
              <w:t xml:space="preserve">20°</w:t>
            </w:r>
          </w:p>
        </w:tc>
        <w:tc>
          <w:tcPr>
            <w:tcW w:type="dxa" w:w="1600"/>
          </w:tcPr>
          <w:p>
            <w:r>
              <w:t xml:space="preserve">600×600, 42 PPD</w:t>
            </w:r>
          </w:p>
        </w:tc>
        <w:tc>
          <w:tcPr>
            <w:tcW w:type="dxa" w:w="1700"/>
          </w:tcPr>
          <w:p>
            <w:r>
              <w:t xml:space="preserve">Flat, fixed — avoids triggering VAC via single-eye static UI</w:t>
            </w:r>
          </w:p>
        </w:tc>
      </w:tr>
      <w:tr>
        <w:tc>
          <w:tcPr>
            <w:tcW w:type="dxa" w:w="2200"/>
          </w:tcPr>
          <w:p>
            <w:r>
              <w:t xml:space="preserve">HoloLens 2</w:t>
            </w:r>
          </w:p>
        </w:tc>
        <w:tc>
          <w:tcPr>
            <w:tcW w:type="dxa" w:w="2900"/>
          </w:tcPr>
          <w:p>
            <w:r>
              <w:t xml:space="preserve">Laser + MEMS scan, diffractive waveguide</w:t>
            </w:r>
          </w:p>
        </w:tc>
        <w:tc>
          <w:tcPr>
            <w:tcW w:type="dxa" w:w="1100"/>
          </w:tcPr>
          <w:p>
            <w:r>
              <w:t xml:space="preserve">~52° diag.</w:t>
            </w:r>
          </w:p>
        </w:tc>
        <w:tc>
          <w:tcPr>
            <w:tcW w:type="dxa" w:w="1600"/>
          </w:tcPr>
          <w:p>
            <w:r>
              <w:t xml:space="preserve">720p-class</w:t>
            </w:r>
          </w:p>
        </w:tc>
        <w:tc>
          <w:tcPr>
            <w:tcW w:type="dxa" w:w="1700"/>
          </w:tcPr>
          <w:p>
            <w:r>
              <w:t xml:space="preserve">Fixed ~2m focus — confirmed VAC</w:t>
            </w:r>
          </w:p>
        </w:tc>
      </w:tr>
      <w:tr>
        <w:tc>
          <w:tcPr>
            <w:tcW w:type="dxa" w:w="2200"/>
          </w:tcPr>
          <w:p>
            <w:r>
              <w:t xml:space="preserve">Meta Orion (prototype)</w:t>
            </w:r>
          </w:p>
        </w:tc>
        <w:tc>
          <w:tcPr>
            <w:tcW w:type="dxa" w:w="2900"/>
          </w:tcPr>
          <w:p>
            <w:r>
              <w:t xml:space="preserve">microLED, silicon-carbide diffractive waveguide</w:t>
            </w:r>
          </w:p>
        </w:tc>
        <w:tc>
          <w:tcPr>
            <w:tcW w:type="dxa" w:w="1100"/>
          </w:tcPr>
          <w:p>
            <w:r>
              <w:t xml:space="preserve">70°</w:t>
            </w:r>
          </w:p>
        </w:tc>
        <w:tc>
          <w:tcPr>
            <w:tcW w:type="dxa" w:w="1600"/>
          </w:tcPr>
          <w:p>
            <w:r>
              <w:t xml:space="preserve">13 PPD (low)</w:t>
            </w:r>
          </w:p>
        </w:tc>
        <w:tc>
          <w:tcPr>
            <w:tcW w:type="dxa" w:w="1700"/>
          </w:tcPr>
          <w:p>
            <w:r>
              <w:t xml:space="preserve">Fixed focus — VAC present, not solved</w:t>
            </w:r>
          </w:p>
        </w:tc>
      </w:tr>
      <w:tr>
        <w:tc>
          <w:tcPr>
            <w:tcW w:type="dxa" w:w="2200"/>
          </w:tcPr>
          <w:p>
            <w:r>
              <w:t xml:space="preserve">This design (target)</w:t>
            </w:r>
          </w:p>
        </w:tc>
        <w:tc>
          <w:tcPr>
            <w:tcW w:type="dxa" w:w="2900"/>
          </w:tcPr>
          <w:p>
            <w:r>
              <w:t xml:space="preserve">Phase SLM (CGH), phase-preserving waveguide, binocular</w:t>
            </w:r>
          </w:p>
        </w:tc>
        <w:tc>
          <w:tcPr>
            <w:tcW w:type="dxa" w:w="1100"/>
          </w:tcPr>
          <w:p>
            <w:r>
              <w:t xml:space="preserve">50° × 28°</w:t>
            </w:r>
          </w:p>
        </w:tc>
        <w:tc>
          <w:tcPr>
            <w:tcW w:type="dxa" w:w="1600"/>
          </w:tcPr>
          <w:p>
            <w:r>
              <w:t xml:space="preserve">~12.6 Mpix/eye</w:t>
            </w:r>
          </w:p>
        </w:tc>
        <w:tc>
          <w:tcPr>
            <w:tcW w:type="dxa" w:w="1700"/>
          </w:tcPr>
          <w:p>
            <w:r>
              <w:t xml:space="preserve">True per-pixel accommodation — VAC eliminated by design</w:t>
            </w:r>
          </w:p>
        </w:tc>
      </w:tr>
    </w:tbl>
    <w:p>
      <w:pPr>
        <w:spacing w:after="160" w:before="160"/>
      </w:pPr>
    </w:p>
    <w:p>
      <w:pPr>
        <w:spacing w:after="160"/>
      </w:pPr>
      <w:r>
        <w:rPr>
          <w:i/>
          <w:iCs/>
          <w:color w:val="555555"/>
        </w:rPr>
        <w:t xml:space="preserve">Note: This row's resolution is not directly comparable to the others: 12.6 Mpix is the SLM's own phase-pixel count, not the image resolution a viewer perceives — Ray-Ban's 600×600 and HoloLens's 720p are image pixels. The space-bandwidth product makes these comparable only in the ideal, noise-free limit. Section 10.2's own finding (11–14 dB PSNR, visibly grainy, representationally limited by simultaneous multi-plane encoding) shows the effective resolvable quality delivered today is well below what the raw pixel count implies — a specialist comparing this row to the others will notice the mismatch immediately if it isn't flagged first.</w:t>
      </w:r>
    </w:p>
    <w:p>
      <w:pPr>
        <w:pStyle w:val="Heading1"/>
        <w:spacing w:after="150" w:before="300"/>
      </w:pPr>
      <w:r>
        <w:rPr>
          <w:b/>
          <w:bCs/>
        </w:rPr>
        <w:t xml:space="preserve">8. Questions By Specialist</w:t>
      </w:r>
    </w:p>
    <w:p>
      <w:pPr>
        <w:pStyle w:val="Heading2"/>
        <w:spacing w:after="100" w:before="200"/>
      </w:pPr>
      <w:r>
        <w:rPr>
          <w:b/>
          <w:bCs/>
        </w:rPr>
        <w:t xml:space="preserve">Optical engineer / waveguide house</w:t>
      </w:r>
    </w:p>
    <w:p>
      <w:pPr>
        <w:pStyle w:val="ListParagraph"/>
        <w:numPr>
          <w:ilvl w:val="0"/>
          <w:numId w:val="2"/>
        </w:numPr>
        <w:spacing w:after="100"/>
      </w:pPr>
      <w:r>
        <w:t xml:space="preserve">Can your combiner supply ~3.87× angular magnification while preserving coherent phase across a replicated exit pupil?</w:t>
      </w:r>
    </w:p>
    <w:p>
      <w:pPr>
        <w:pStyle w:val="ListParagraph"/>
        <w:numPr>
          <w:ilvl w:val="0"/>
          <w:numId w:val="2"/>
        </w:numPr>
        <w:spacing w:after="100"/>
      </w:pPr>
      <w:r>
        <w:t xml:space="preserve">What's your measured phase distortion across pupil replication, and do you support storing per-unit calibration data?</w:t>
      </w:r>
    </w:p>
    <w:p>
      <w:pPr>
        <w:pStyle w:val="ListParagraph"/>
        <w:numPr>
          <w:ilvl w:val="0"/>
          <w:numId w:val="2"/>
        </w:numPr>
        <w:spacing w:after="100"/>
      </w:pPr>
      <w:r>
        <w:t xml:space="preserve">Can optical power be placed in the outcoupler itself, folding the Fourier lens into the combiner rather than using a separate relay?</w:t>
      </w:r>
    </w:p>
    <w:p>
      <w:pPr>
        <w:pStyle w:val="ListParagraph"/>
        <w:numPr>
          <w:ilvl w:val="0"/>
          <w:numId w:val="2"/>
        </w:numPr>
        <w:spacing w:after="100"/>
      </w:pPr>
      <w:r>
        <w:t xml:space="preserve">What end-to-end efficiency do you deliver into a 2.5–5mm gaze-steered eyebox at a 3000-nit target?</w:t>
      </w:r>
    </w:p>
    <w:p>
      <w:pPr>
        <w:pStyle w:val="Heading2"/>
        <w:spacing w:after="100" w:before="200"/>
      </w:pPr>
      <w:r>
        <w:rPr>
          <w:b/>
          <w:bCs/>
        </w:rPr>
        <w:t xml:space="preserve">Panel supplier</w:t>
      </w:r>
    </w:p>
    <w:p>
      <w:pPr>
        <w:pStyle w:val="ListParagraph"/>
        <w:numPr>
          <w:ilvl w:val="0"/>
          <w:numId w:val="2"/>
        </w:numPr>
        <w:spacing w:after="100"/>
      </w:pPr>
      <w:r>
        <w:t xml:space="preserve">What's your fastest full-2π phase modulator under 3µm pitch, and what's the phase quantization at that speed? (For calibration: commercial phase-only LCOS today — e.g. HOLOEYE LETO-3, PLUTO-2.1, GAEA-2.1 — tops out around 60Hz for genuine monochrome addressing — the 180Hz figure sometimes quoted is a Color Field Sequential field rate, not a monochrome capability.)</w:t>
      </w:r>
    </w:p>
    <w:p>
      <w:pPr>
        <w:pStyle w:val="ListParagraph"/>
        <w:numPr>
          <w:ilvl w:val="0"/>
          <w:numId w:val="2"/>
        </w:numPr>
        <w:spacing w:after="100"/>
      </w:pPr>
      <w:r>
        <w:t xml:space="preserve">Can you support 360Hz+ full-frame updates? If not natively, what's the NRE and timeline for a custom backplane at 4,700×2,700, 2µm pitch?</w:t>
      </w:r>
    </w:p>
    <w:p>
      <w:pPr>
        <w:pStyle w:val="ListParagraph"/>
        <w:numPr>
          <w:ilvl w:val="0"/>
          <w:numId w:val="2"/>
        </w:numPr>
        <w:spacing w:after="100"/>
      </w:pPr>
      <w:r>
        <w:t xml:space="preserve">Ferroelectric LC vs. custom backplane vs. relaxing the resolution target — which do you recommend given the eyebox/FOV trade? Research FLC devices have shown &gt;2,000Hz with full continuous 8-bit phase depth at small scale — does that speed hold at this resolution, and what's the addressing-bandwidth tradeoff?</w:t>
      </w:r>
    </w:p>
    <w:p>
      <w:pPr>
        <w:pStyle w:val="ListParagraph"/>
        <w:numPr>
          <w:ilvl w:val="0"/>
          <w:numId w:val="2"/>
        </w:numPr>
        <w:spacing w:after="100"/>
      </w:pPr>
      <w:r>
        <w:t xml:space="preserve">For color: does a Color Field Sequential mode (solving R/G/B as separate phase patterns within one frame, as in your GAEA-2.1) fit this architecture, and what's the real frame-rate cost at full resolution?</w:t>
      </w:r>
    </w:p>
    <w:p>
      <w:pPr>
        <w:pStyle w:val="Heading2"/>
        <w:spacing w:after="100" w:before="200"/>
      </w:pPr>
      <w:r>
        <w:rPr>
          <w:b/>
          <w:bCs/>
        </w:rPr>
        <w:t xml:space="preserve">Silicon architect</w:t>
      </w:r>
    </w:p>
    <w:p>
      <w:pPr>
        <w:pStyle w:val="ListParagraph"/>
        <w:numPr>
          <w:ilvl w:val="0"/>
          <w:numId w:val="2"/>
        </w:numPr>
        <w:spacing w:after="100"/>
      </w:pPr>
      <w:r>
        <w:t xml:space="preserve">What's the achievable efficiency (TOPS/W) for a hardwired streaming radix-4 FFT block, 16-bit block floating point, at 16nm and at 3nm — matching the staged nodes in Section 9, not a different pair?</w:t>
      </w:r>
    </w:p>
    <w:p>
      <w:pPr>
        <w:pStyle w:val="ListParagraph"/>
        <w:numPr>
          <w:ilvl w:val="0"/>
          <w:numId w:val="2"/>
        </w:numPr>
        <w:spacing w:after="100"/>
      </w:pPr>
      <w:r>
        <w:t xml:space="preserve">A genuine end-to-end measurement (Section 10.1c) puts sustained compute at ~1,628 TFLOP/s, implying ~250W at today's realistic BFP16 ceiling — ~500× the 500mW budget, and that's before color (Gap 9), which multiplies it further. This is a confirmed measurement, not an estimate. What closes a gap this size: INT4 partial precision, analog/in-memory compute, a different node — or is this evidence the algorithm itself needs to change, not just its implementation?</w:t>
      </w:r>
    </w:p>
    <w:p>
      <w:pPr>
        <w:pStyle w:val="ListParagraph"/>
        <w:numPr>
          <w:ilvl w:val="0"/>
          <w:numId w:val="2"/>
        </w:numPr>
        <w:spacing w:after="100"/>
      </w:pPr>
      <w:r>
        <w:t xml:space="preserve">What does an FPGA proof of the dataflow cost and how long does it take, before committing to test silicon?</w:t>
      </w:r>
    </w:p>
    <w:p>
      <w:pPr>
        <w:pStyle w:val="Heading2"/>
        <w:spacing w:after="100" w:before="200"/>
      </w:pPr>
      <w:r>
        <w:rPr>
          <w:b/>
          <w:bCs/>
        </w:rPr>
        <w:t xml:space="preserve">Investor</w:t>
      </w:r>
    </w:p>
    <w:p>
      <w:pPr>
        <w:pStyle w:val="ListParagraph"/>
        <w:numPr>
          <w:ilvl w:val="0"/>
          <w:numId w:val="2"/>
        </w:numPr>
        <w:spacing w:after="100"/>
      </w:pPr>
      <w:r>
        <w:t xml:space="preserve">Sequencing is staged, not a single ask: FPGA validation → 16nm test silicon → 3nm production, each gated on proof from the prior stage.</w:t>
      </w:r>
    </w:p>
    <w:p>
      <w:pPr>
        <w:pStyle w:val="ListParagraph"/>
        <w:numPr>
          <w:ilvl w:val="0"/>
          <w:numId w:val="2"/>
        </w:numPr>
        <w:spacing w:after="100"/>
      </w:pPr>
      <w:r>
        <w:t xml:space="preserve">Lead with the staged number, not the terminal one — the 3nm figure alone makes the ask sound unbounded when it is actually bounded per stage.</w:t>
      </w:r>
    </w:p>
    <w:p>
      <w:pPr>
        <w:pStyle w:val="Heading2"/>
        <w:spacing w:after="100" w:before="200"/>
      </w:pPr>
      <w:r>
        <w:rPr>
          <w:b/>
          <w:bCs/>
        </w:rPr>
        <w:t xml:space="preserve">Tabled for a later pass (eye tracking, industrial design)</w:t>
      </w:r>
    </w:p>
    <w:p>
      <w:pPr>
        <w:pStyle w:val="ListParagraph"/>
        <w:numPr>
          <w:ilvl w:val="0"/>
          <w:numId w:val="2"/>
        </w:numPr>
        <w:spacing w:after="100"/>
      </w:pPr>
      <w:r>
        <w:t xml:space="preserve">Eye tracking: oblique IR camera vs. MEMS-scanned photodiode vs. relaying the eye image out through the display waveguide itself — genuinely open, no clear favorite yet.</w:t>
      </w:r>
    </w:p>
    <w:p>
      <w:pPr>
        <w:pStyle w:val="ListParagraph"/>
        <w:numPr>
          <w:ilvl w:val="0"/>
          <w:numId w:val="2"/>
        </w:numPr>
        <w:spacing w:after="100"/>
      </w:pPr>
      <w:r>
        <w:t xml:space="preserve">Industrial design: how to house a ~9–10mm localized bulge near the hinge without reading as bulky — deferred by choice, not forgotten.</w:t>
      </w:r>
    </w:p>
    <w:p>
      <w:pPr>
        <w:pStyle w:val="Heading1"/>
        <w:spacing w:after="150" w:before="300"/>
      </w:pPr>
      <w:r>
        <w:rPr>
          <w:b/>
          <w:bCs/>
        </w:rPr>
        <w:t xml:space="preserve">9. Staged Validation &amp; Investment Sequence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800"/>
        <w:gridCol w:w="1500"/>
      </w:tblGrid>
      <w:tr>
        <w:trPr>
          <w:tblHeader/>
        </w:trPr>
        <w:tc>
          <w:tcPr>
            <w:tcW w:type="dxa" w:w="2600"/>
            <w:shd w:fill="D9D9D9" w:val="clear"/>
          </w:tcPr>
          <w:p>
            <w:r>
              <w:rPr>
                <w:b/>
                <w:bCs/>
              </w:rPr>
              <w:t xml:space="preserve">Stage</w:t>
            </w:r>
          </w:p>
        </w:tc>
        <w:tc>
          <w:tcPr>
            <w:tcW w:type="dxa" w:w="3600"/>
            <w:shd w:fill="D9D9D9" w:val="clear"/>
          </w:tcPr>
          <w:p>
            <w:r>
              <w:rPr>
                <w:b/>
                <w:bCs/>
              </w:rPr>
              <w:t xml:space="preserve">Goal</w:t>
            </w:r>
          </w:p>
        </w:tc>
        <w:tc>
          <w:tcPr>
            <w:tcW w:type="dxa" w:w="1800"/>
            <w:shd w:fill="D9D9D9" w:val="clear"/>
          </w:tcPr>
          <w:p>
            <w:r>
              <w:rPr>
                <w:b/>
                <w:bCs/>
              </w:rPr>
              <w:t xml:space="preserve">Rough Cost</w:t>
            </w:r>
          </w:p>
        </w:tc>
        <w:tc>
          <w:tcPr>
            <w:tcW w:type="dxa" w:w="1500"/>
            <w:shd w:fill="D9D9D9" w:val="clear"/>
          </w:tcPr>
          <w:p>
            <w:r>
              <w:rPr>
                <w:b/>
                <w:bCs/>
              </w:rPr>
              <w:t xml:space="preserve">Gates</w:t>
            </w:r>
          </w:p>
        </w:tc>
      </w:tr>
      <w:tr>
        <w:tc>
          <w:tcPr>
            <w:tcW w:type="dxa" w:w="2600"/>
          </w:tcPr>
          <w:p>
            <w:r>
              <w:t xml:space="preserve">FPGA dataflow validation</w:t>
            </w:r>
          </w:p>
        </w:tc>
        <w:tc>
          <w:tcPr>
            <w:tcW w:type="dxa" w:w="3600"/>
          </w:tcPr>
          <w:p>
            <w:r>
              <w:t xml:space="preserve">Prove the CGH pipeline architecture and timing</w:t>
            </w:r>
          </w:p>
        </w:tc>
        <w:tc>
          <w:tcPr>
            <w:tcW w:type="dxa" w:w="1800"/>
          </w:tcPr>
          <w:p>
            <w:r>
              <w:t xml:space="preserve">Low hundreds of thousands</w:t>
            </w:r>
          </w:p>
        </w:tc>
        <w:tc>
          <w:tcPr>
            <w:tcW w:type="dxa" w:w="1500"/>
          </w:tcPr>
          <w:p>
            <w:r>
              <w:t xml:space="preserve">Gates test silicon commitment</w:t>
            </w:r>
          </w:p>
        </w:tc>
      </w:tr>
      <w:tr>
        <w:tc>
          <w:tcPr>
            <w:tcW w:type="dxa" w:w="2600"/>
          </w:tcPr>
          <w:p>
            <w:r>
              <w:t xml:space="preserve">16nm test silicon</w:t>
            </w:r>
          </w:p>
        </w:tc>
        <w:tc>
          <w:tcPr>
            <w:tcW w:type="dxa" w:w="3600"/>
          </w:tcPr>
          <w:p>
            <w:r>
              <w:t xml:space="preserve">Validate FFT block efficiency, real power draw, node choice</w:t>
            </w:r>
          </w:p>
        </w:tc>
        <w:tc>
          <w:tcPr>
            <w:tcW w:type="dxa" w:w="1800"/>
          </w:tcPr>
          <w:p>
            <w:r>
              <w:t xml:space="preserve">$10–20M</w:t>
            </w:r>
          </w:p>
        </w:tc>
        <w:tc>
          <w:tcPr>
            <w:tcW w:type="dxa" w:w="1500"/>
          </w:tcPr>
          <w:p>
            <w:r>
              <w:t xml:space="preserve">Gates production silicon commitment</w:t>
            </w:r>
          </w:p>
        </w:tc>
      </w:tr>
      <w:tr>
        <w:tc>
          <w:tcPr>
            <w:tcW w:type="dxa" w:w="2600"/>
          </w:tcPr>
          <w:p>
            <w:r>
              <w:t xml:space="preserve">3nm production silicon</w:t>
            </w:r>
          </w:p>
        </w:tc>
        <w:tc>
          <w:tcPr>
            <w:tcW w:type="dxa" w:w="3600"/>
          </w:tcPr>
          <w:p>
            <w:r>
              <w:t xml:space="preserve">Ship at volume</w:t>
            </w:r>
          </w:p>
        </w:tc>
        <w:tc>
          <w:tcPr>
            <w:tcW w:type="dxa" w:w="1800"/>
          </w:tcPr>
          <w:p>
            <w:r>
              <w:t xml:space="preserve">$100M+</w:t>
            </w:r>
          </w:p>
        </w:tc>
        <w:tc>
          <w:tcPr>
            <w:tcW w:type="dxa" w:w="1500"/>
          </w:tcPr>
          <w:p>
            <w:r>
              <w:t xml:space="preserve">Only after architecture is proven, not before</w:t>
            </w:r>
          </w:p>
        </w:tc>
      </w:tr>
    </w:tbl>
    <w:p>
      <w:pPr>
        <w:spacing w:after="160" w:before="160"/>
      </w:pPr>
    </w:p>
    <w:p>
      <w:pPr>
        <w:spacing w:after="160"/>
      </w:pPr>
      <w:r>
        <w:rPr>
          <w:i/>
          <w:iCs/>
          <w:color w:val="555555"/>
        </w:rPr>
        <w:t xml:space="preserve">Note: Lead with this staged framing in investor conversations rather than the terminal 3nm number alone — it bounds the ask and shows risk is gated, not absorbed all at once.</w:t>
      </w:r>
    </w:p>
    <w:p>
      <w:pPr>
        <w:pStyle w:val="Heading1"/>
        <w:spacing w:after="150" w:before="300"/>
      </w:pPr>
      <w:r>
        <w:rPr>
          <w:b/>
          <w:bCs/>
        </w:rPr>
        <w:t xml:space="preserve">10. Software Validation — Preliminary Findings</w:t>
      </w:r>
    </w:p>
    <w:p>
      <w:pPr>
        <w:spacing w:after="120"/>
      </w:pPr>
      <w:r>
        <w:rPr>
          <w:b w:val="false"/>
          <w:bCs w:val="false"/>
          <w:i w:val="false"/>
          <w:iCs w:val="false"/>
        </w:rPr>
        <w:t xml:space="preserve">Before engaging optical, panel, and silicon specialists, a software simulation of the CGH phase-retrieval pipeline was built and run to test the two most quantifiable and specialist-independent assumptions in this document: the Section 4.4 compute estimate, and achievable image quality. Work began on CPU (numpy, 256×256) and small-scale GPU tests, then scaled to the full 4,700×2,700 target resolution with real rendered content (a UI icon, translated caption text, and a photo-like scene — not only synthetic test shapes) on a consumer RTX 3060 (Sections 10.1c, 10.3, 10.6, 10.7b). This answers the gaps in this document that don't require a specialist's input to test. Two caveats remain genuinely open throughout: no waveguide, eye, or aberration model is included anywhere below, and the quality bar used for comparison (Section 10.8) is still a placeholder pending human perceptual testing or an optical engineer's judgment — that is the one item intentionally left for a specialist, not an oversight.</w:t>
      </w:r>
    </w:p>
    <w:p>
      <w:pPr>
        <w:pStyle w:val="Heading2"/>
        <w:spacing w:after="100" w:before="200"/>
      </w:pPr>
      <w:r>
        <w:rPr>
          <w:b/>
          <w:bCs/>
        </w:rPr>
        <w:t xml:space="preserve">10.1 Compute estimate (Section 4.4) — tested against measurement</w:t>
      </w:r>
    </w:p>
    <w:p>
      <w:pPr>
        <w:spacing w:after="120"/>
      </w:pPr>
      <w:r>
        <w:rPr>
          <w:b w:val="false"/>
          <w:bCs w:val="false"/>
          <w:i w:val="false"/>
          <w:iCs w:val="false"/>
        </w:rPr>
        <w:t xml:space="preserve">Multi-plane Gerchberg-Saxton (GS) phase retrieval was implemented and run against a synthetic 3-plane layered target. Measured, not assumed: each GS iteration costs 12 FFT operations (4 per depth plane × 3 planes) — already close to the entire 14-FFT/frame budget in Section 4.4 for a single iteration alone. Reaching even a modest quality plateau (11.5 dB PSNR, well below a usable bar — see 10.2) took 7 iterations, 84 FFT operations total. A gradient-based alternative (SGD/Adam optimization of SLM phase, differentiating through the same propagation model) was implemented and run on GPU as a cross-check; it reached comparable quality (12.5 dB at 512×512) on a comparable per-step cost, and did not exceed the GS ceiling — see 10.2.</w:t>
      </w:r>
    </w:p>
    <w:p>
      <w:pPr>
        <w:spacing w:after="160"/>
      </w:pPr>
      <w:r>
        <w:rPr>
          <w:i/>
          <w:iCs/>
          <w:color w:val="555555"/>
        </w:rPr>
        <w:t xml:space="preserve">Note: SUPERSEDED BY 10.1c: this correctly flagged the 14-FFT/frame figure as optimistic, but the ~84-FFT plateau measured here was itself from a small-scale (256×256) synthetic test, run to a modest plateau, not full resolution with real content. Section 10.1c replaces this with a genuine end-to-end measurement — 696 FFTs/frame, not 84.</w:t>
      </w:r>
    </w:p>
    <w:p>
      <w:pPr>
        <w:pStyle w:val="Heading2"/>
        <w:spacing w:after="100" w:before="200"/>
      </w:pPr>
      <w:r>
        <w:rPr>
          <w:b/>
          <w:bCs/>
        </w:rPr>
        <w:t xml:space="preserve">10.1b Profiler-measured GFLOP/FFT — replaces the analytic estimate</w:t>
      </w:r>
    </w:p>
    <w:p>
      <w:pPr>
        <w:spacing w:after="120"/>
      </w:pPr>
      <w:r>
        <w:rPr>
          <w:b w:val="false"/>
          <w:bCs w:val="false"/>
          <w:i w:val="false"/>
          <w:iCs w:val="false"/>
        </w:rPr>
        <w:t xml:space="preserve">Section 4.4's 1.49 GFLOP/FFT figure was computed analytically (5·N·log₂N) at the unpadded target resolution. This was checked against real GPU profiling (torch.profiler, RTX 3060) rather than left as an assumption.</w:t>
      </w:r>
    </w:p>
    <w:p>
      <w:pPr>
        <w:pStyle w:val="ListParagraph"/>
        <w:numPr>
          <w:ilvl w:val="0"/>
          <w:numId w:val="2"/>
        </w:numPr>
        <w:spacing w:after="100"/>
      </w:pPr>
      <w:r>
        <w:t xml:space="preserve">torch.profiler's built-in FLOP counter reports 0 for FFT operations — expected, not a bug: most profilers, including this one, have no registered FLOP formula for FFT specifically. A fallback approach was used instead: precise GPU-side timing (torch.cuda.Event) combined with the same analytic formula Section 4.4 already uses, but applied to the array size actually being computed.</w:t>
      </w:r>
    </w:p>
    <w:p>
      <w:pPr>
        <w:pStyle w:val="ListParagraph"/>
        <w:numPr>
          <w:ilvl w:val="0"/>
          <w:numId w:val="2"/>
        </w:numPr>
        <w:spacing w:after="100"/>
      </w:pPr>
      <w:r>
        <w:t xml:space="preserve">That array size is larger than assumed: the propagation code zero-pads before every FFT (to suppress a wraparound artifact — see 10.4), roughly quadrupling the pixel count per call. At the padded size, the analytic cost per FFT is 6.5 GFLOP, not 1.49 — a ~4.3× gap that exists independently of the FFT-count gap in 10.1 above.</w:t>
      </w:r>
    </w:p>
    <w:p>
      <w:pPr>
        <w:pStyle w:val="ListParagraph"/>
        <w:numPr>
          <w:ilvl w:val="0"/>
          <w:numId w:val="2"/>
        </w:numPr>
        <w:spacing w:after="100"/>
      </w:pPr>
      <w:r>
        <w:t xml:space="preserve">Initial profiling also surfaced a real code inefficiency, not a hardware limit: 87% of measured time appeared attributed to a boolean-indexed mask operation (H[propagating] = ...) that forces a GPU-to-CPU synchronization on every call. Switching to the smooth-cutoff formulation already validated in 10.4 (identical PSNR, no boolean indexing) recovered a real 32% speedup — but the arithmetic doesn't support reading that as confirming 87% was the operation's own cost: removing something responsible for 87% of runtime should cut runtime by far more than 32%. The more likely explanation, worth recording rather than glossing over: the sync point was absorbing asynchronously-queued GPU work rather than being 87% real compute itself, so the profiler's attribution of that time to the boolean-index op was misleading even though removing it genuinely helped.</w:t>
      </w:r>
    </w:p>
    <w:p>
      <w:pPr>
        <w:pStyle w:val="ListParagraph"/>
        <w:numPr>
          <w:ilvl w:val="0"/>
          <w:numId w:val="2"/>
        </w:numPr>
        <w:spacing w:after="100"/>
      </w:pPr>
      <w:r>
        <w:t xml:space="preserve">After that fix, real FFT compute (aten::_fft_c2c) accounted for the CUDA time, at 16.9ms/FFT on this GPU — achieving 0.38 TFLOP/s, about 3.0% of the RTX 3060's rated 13 TFLOP/s peak. This is not evidence of further hidden inefficiency: GPUs hit rated peak on dense matmul/tensor-core work, and FFT-plus-elementwise pipelines are inherently far below that ceiling on any GPU. The 3060 is also a general-purpose part, not the purpose-built ASIC Section 4.4 targets — this comparison is a sanity check, not a feasibility verdict.</w:t>
      </w:r>
    </w:p>
    <w:p>
      <w:pPr>
        <w:spacing w:after="120"/>
      </w:pPr>
      <w:r>
        <w:rPr>
          <w:b w:val="false"/>
          <w:bCs w:val="false"/>
          <w:i w:val="false"/>
          <w:iCs w:val="false"/>
        </w:rPr>
        <w:t xml:space="preserve">Combined with 10.1's FFT-count finding, both factors move in the same direction and compound: ~84 FFTs/frame (not 14) at ~6.5 GFLOP/FFT (not 1.49) gives an illustrative ~546 GFLOP/frame — roughly 26× the Section 4.4 estimate of ~21 GFLOP/frame.</w:t>
      </w:r>
    </w:p>
    <w:p>
      <w:pPr>
        <w:spacing w:after="160"/>
      </w:pPr>
      <w:r>
        <w:rPr>
          <w:i/>
          <w:iCs/>
          <w:color w:val="555555"/>
        </w:rPr>
        <w:t xml:space="preserve">Note: SUPERSEDED BY 10.1c: this combined two separately-measured factors (FFT count from a small-scale quality test, per-FFT cost from a full-resolution timing test) rather than one end-to-end confirmed run. Section 10.1c replaces this with a single genuine measurement — the real figure is larger still.</w:t>
      </w:r>
    </w:p>
    <w:p>
      <w:pPr>
        <w:pStyle w:val="Heading2"/>
        <w:spacing w:after="100" w:before="200"/>
      </w:pPr>
      <w:r>
        <w:rPr>
          <w:b/>
          <w:bCs/>
        </w:rPr>
        <w:t xml:space="preserve">10.1c End-to-end compute measurement — full resolution, real content, single run</w:t>
      </w:r>
    </w:p>
    <w:p>
      <w:pPr>
        <w:spacing w:after="120"/>
      </w:pPr>
      <w:r>
        <w:rPr>
          <w:b w:val="false"/>
          <w:bCs w:val="false"/>
          <w:i w:val="false"/>
          <w:iCs w:val="false"/>
        </w:rPr>
        <w:t xml:space="preserve">10.1's FFT-count figure (~84) came from a small-scale (256×256) synthetic-target test's plateau point — iteration 7 within a 16-iteration run, not the full 16 iterations themselves (16 × 12 FFTs/iteration = 192, a different number, used as a fixed cutoff without plateau detection in every full-resolution comparison later in this document — 10.3, 10.6, 10.7b). That fixed 16-iteration cutoff was carried over from the small-scale test's run length, not its plateau point, without being re-checked. A genuine convergence sweep — full target resolution (4,700×2,700), real content (near/mid/far, Section 10.6), the smooth-cutoff fix validated in 10.1b, run for 100 iterations with plateau auto-detected rather than assumed — found the algorithm does not actually plateau until iteration 58 (11.7 dB on the internal amplitude-vs-amplitude convergence metric — not directly comparable to the corrected-scale dB figures quoted elsewhere per 10.1d, since that correction was never applied here), needing 696 FFTs/frame: roughly 50× the Section 4.4 assumption of 14, 8× higher than the small-scale-derived 84, and still well above the 192 used as a fixed cutoff throughout the rest of Section 10.</w:t>
      </w:r>
    </w:p>
    <w:p>
      <w:pPr>
        <w:spacing w:after="120"/>
      </w:pPr>
      <w:r>
        <w:rPr>
          <w:b w:val="false"/>
          <w:bCs w:val="false"/>
          <w:i w:val="false"/>
          <w:iCs w:val="false"/>
        </w:rPr>
        <w:t xml:space="preserve">This one number replaces the combined estimate above with an actual single measurement:</w:t>
      </w:r>
    </w:p>
    <w:p>
      <w:pPr>
        <w:spacing w:after="120"/>
        <w:jc w:val="center"/>
      </w:pPr>
      <w:r>
        <w:rPr>
          <w:i/>
          <w:iCs/>
        </w:rPr>
        <w:t xml:space="preserve">696 FFTs/frame  ×  6.50 GFLOP/FFT  =  4,524 GFLOP/frame</w:t>
      </w:r>
    </w:p>
    <w:p>
      <w:pPr>
        <w:spacing w:after="120"/>
        <w:jc w:val="center"/>
      </w:pPr>
      <w:r>
        <w:rPr>
          <w:i/>
          <w:iCs/>
        </w:rPr>
        <w:t xml:space="preserve">×  360Hz  =  1,628 TFLOP/s  →  ~250 W at 6.5 TOPS/W  →  ~500× over the 500mW budget</w:t>
      </w:r>
    </w:p>
    <w:p>
      <w:pPr>
        <w:spacing w:after="160"/>
      </w:pPr>
      <w:r>
        <w:rPr>
          <w:i/>
          <w:iCs/>
          <w:color w:val="555555"/>
        </w:rPr>
        <w:t xml:space="preserve">Note: Every earlier full-resolution comparison in this document (10.3's sequential-vs-simultaneous retest, 10.6's real-content check, 10.7b's color test, the scene-plane re-verification) used the same fixed 16-iteration cutoff this convergence sweep shows was premature. Those comparisons remain informative for their relative findings — see 10.1d, which checks this directly — but none of their absolute quality numbers should be read as final.</w:t>
      </w:r>
    </w:p>
    <w:p>
      <w:pPr>
        <w:pStyle w:val="Heading2"/>
        <w:spacing w:after="100" w:before="200"/>
      </w:pPr>
      <w:r>
        <w:rPr>
          <w:b/>
          <w:bCs/>
        </w:rPr>
        <w:t xml:space="preserve">10.1d Metric correction — amplitude/intensity mismatch found, fixed, and re-verified</w:t>
      </w:r>
    </w:p>
    <w:p>
      <w:pPr>
        <w:spacing w:after="120"/>
      </w:pPr>
      <w:r>
        <w:rPr>
          <w:b w:val="false"/>
          <w:bCs w:val="false"/>
          <w:i w:val="false"/>
          <w:iCs w:val="false"/>
        </w:rPr>
        <w:t xml:space="preserve">While re-checking the sequential-vs-simultaneous finding at true convergence (prompted by 10.1c), a discrepancy surfaced: the internal convergence history used for plateau detection disagreed with the externally reported final quality number for the same reconstruction, by several dB. Investigated directly rather than assumed away.</w:t>
      </w:r>
    </w:p>
    <w:p>
      <w:pPr>
        <w:spacing w:after="120"/>
      </w:pPr>
      <w:r>
        <w:rPr>
          <w:b w:val="false"/>
          <w:bCs w:val="false"/>
          <w:i w:val="false"/>
          <w:iCs w:val="false"/>
        </w:rPr>
        <w:t xml:space="preserve">Root cause, confirmed against the actual code: GS's own optimization target is amplitude (the square root of the desired intensity — this is what target_amp represents throughout retrieval.py and retrieval_torch.py, and what the internal per-iteration history correctly compares against, consistently, on both sides). Every externally reported "final quality" figure in this document, however, compared reconstructed amplitude directly against the raw, un-square-rooted intensity target — a real unit mismatch, not just a labeling inconsistency, since amplitude and intensity are related by a nonlinear square root, not a simple scale factor. This traced back to the very first simulation in this project (retrieval.py's original mean_psnr(recon_planes, target_planes) call) — every absolute dB figure quoted anywhere in this document has been on a miscalibrated scale.</w:t>
      </w:r>
    </w:p>
    <w:p>
      <w:pPr>
        <w:spacing w:after="120"/>
      </w:pPr>
      <w:r>
        <w:rPr>
          <w:b w:val="false"/>
          <w:bCs w:val="false"/>
          <w:i w:val="false"/>
          <w:iCs w:val="false"/>
        </w:rPr>
        <w:t xml:space="preserve">A corrected metric (psnr_intensity, squaring the reconstructed amplitude before comparison) was implemented and used to systematically re-verify every prior full-resolution and small-scale finding in this document: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2300"/>
        <w:gridCol w:w="1600"/>
      </w:tblGrid>
      <w:tr>
        <w:trPr>
          <w:tblHeader/>
        </w:trPr>
        <w:tc>
          <w:tcPr>
            <w:tcW w:type="dxa" w:w="3200"/>
            <w:shd w:fill="D9D9D9" w:val="clear"/>
          </w:tcPr>
          <w:p>
            <w:r>
              <w:rPr>
                <w:b/>
                <w:bCs/>
              </w:rPr>
              <w:t xml:space="preserve">Finding</w:t>
            </w:r>
          </w:p>
        </w:tc>
        <w:tc>
          <w:tcPr>
            <w:tcW w:type="dxa" w:w="2300"/>
            <w:shd w:fill="D9D9D9" w:val="clear"/>
          </w:tcPr>
          <w:p>
            <w:r>
              <w:rPr>
                <w:b/>
                <w:bCs/>
              </w:rPr>
              <w:t xml:space="preserve">Before fix</w:t>
            </w:r>
          </w:p>
        </w:tc>
        <w:tc>
          <w:tcPr>
            <w:tcW w:type="dxa" w:w="2300"/>
            <w:shd w:fill="D9D9D9" w:val="clear"/>
          </w:tcPr>
          <w:p>
            <w:r>
              <w:rPr>
                <w:b/>
                <w:bCs/>
              </w:rPr>
              <w:t xml:space="preserve">After fix</w:t>
            </w:r>
          </w:p>
        </w:tc>
        <w:tc>
          <w:tcPr>
            <w:tcW w:type="dxa" w:w="1600"/>
            <w:shd w:fill="D9D9D9" w:val="clear"/>
          </w:tcPr>
          <w:p>
            <w:r>
              <w:rPr>
                <w:b/>
                <w:bCs/>
              </w:rPr>
              <w:t xml:space="preserve">Conclusion changed?</w:t>
            </w:r>
          </w:p>
        </w:tc>
      </w:tr>
      <w:tr>
        <w:tc>
          <w:tcPr>
            <w:tcW w:type="dxa" w:w="3200"/>
          </w:tcPr>
          <w:p>
            <w:r>
              <w:t xml:space="preserve">Precision check (fp32 vs fp64)</w:t>
            </w:r>
          </w:p>
        </w:tc>
        <w:tc>
          <w:tcPr>
            <w:tcW w:type="dxa" w:w="2300"/>
          </w:tcPr>
          <w:p>
            <w:r>
              <w:t xml:space="preserve">Identical (~0.1dB)</w:t>
            </w:r>
          </w:p>
        </w:tc>
        <w:tc>
          <w:tcPr>
            <w:tcW w:type="dxa" w:w="2300"/>
          </w:tcPr>
          <w:p>
            <w:r>
              <w:t xml:space="preserve">Identical (~0.1dB)</w:t>
            </w:r>
          </w:p>
        </w:tc>
        <w:tc>
          <w:tcPr>
            <w:tcW w:type="dxa" w:w="1600"/>
          </w:tcPr>
          <w:p>
            <w:r>
              <w:t xml:space="preserve">No</w:t>
            </w:r>
          </w:p>
        </w:tc>
      </w:tr>
      <w:tr>
        <w:tc>
          <w:tcPr>
            <w:tcW w:type="dxa" w:w="3200"/>
          </w:tcPr>
          <w:p>
            <w:r>
              <w:t xml:space="preserve">Cutoff smoothing (hard vs. soft)</w:t>
            </w:r>
          </w:p>
        </w:tc>
        <w:tc>
          <w:tcPr>
            <w:tcW w:type="dxa" w:w="2300"/>
          </w:tcPr>
          <w:p>
            <w:r>
              <w:t xml:space="preserve">Identical</w:t>
            </w:r>
          </w:p>
        </w:tc>
        <w:tc>
          <w:tcPr>
            <w:tcW w:type="dxa" w:w="2300"/>
          </w:tcPr>
          <w:p>
            <w:r>
              <w:t xml:space="preserve">Identical</w:t>
            </w:r>
          </w:p>
        </w:tc>
        <w:tc>
          <w:tcPr>
            <w:tcW w:type="dxa" w:w="1600"/>
          </w:tcPr>
          <w:p>
            <w:r>
              <w:t xml:space="preserve">No</w:t>
            </w:r>
          </w:p>
        </w:tc>
      </w:tr>
      <w:tr>
        <w:tc>
          <w:tcPr>
            <w:tcW w:type="dxa" w:w="3200"/>
          </w:tcPr>
          <w:p>
            <w:r>
              <w:t xml:space="preserve">Seq-vs-sim, 2,700×2,700 synthetic</w:t>
            </w:r>
          </w:p>
        </w:tc>
        <w:tc>
          <w:tcPr>
            <w:tcW w:type="dxa" w:w="2300"/>
          </w:tcPr>
          <w:p>
            <w:r>
              <w:t xml:space="preserve">avg ~+0.7dB</w:t>
            </w:r>
          </w:p>
        </w:tc>
        <w:tc>
          <w:tcPr>
            <w:tcW w:type="dxa" w:w="2300"/>
          </w:tcPr>
          <w:p>
            <w:r>
              <w:t xml:space="preserve">avg +0.83dB</w:t>
            </w:r>
          </w:p>
        </w:tc>
        <w:tc>
          <w:tcPr>
            <w:tcW w:type="dxa" w:w="1600"/>
          </w:tcPr>
          <w:p>
            <w:r>
              <w:t xml:space="preserve">No</w:t>
            </w:r>
          </w:p>
        </w:tc>
      </w:tr>
      <w:tr>
        <w:tc>
          <w:tcPr>
            <w:tcW w:type="dxa" w:w="3200"/>
          </w:tcPr>
          <w:p>
            <w:r>
              <w:t xml:space="preserve">Edge-taper fix attempt</w:t>
            </w:r>
          </w:p>
        </w:tc>
        <w:tc>
          <w:tcPr>
            <w:tcW w:type="dxa" w:w="2300"/>
          </w:tcPr>
          <w:p>
            <w:r>
              <w:t xml:space="preserve">~0.0dB, artifact persists</w:t>
            </w:r>
          </w:p>
        </w:tc>
        <w:tc>
          <w:tcPr>
            <w:tcW w:type="dxa" w:w="2300"/>
          </w:tcPr>
          <w:p>
            <w:r>
              <w:t xml:space="preserve">+0.59dB, artifact persists</w:t>
            </w:r>
          </w:p>
        </w:tc>
        <w:tc>
          <w:tcPr>
            <w:tcW w:type="dxa" w:w="1600"/>
          </w:tcPr>
          <w:p>
            <w:r>
              <w:t xml:space="preserve">No</w:t>
            </w:r>
          </w:p>
        </w:tc>
      </w:tr>
      <w:tr>
        <w:tc>
          <w:tcPr>
            <w:tcW w:type="dxa" w:w="3200"/>
          </w:tcPr>
          <w:p>
            <w:r>
              <w:t xml:space="preserve">Seq-vs-sim, small-scale (10.3, original)</w:t>
            </w:r>
          </w:p>
        </w:tc>
        <w:tc>
          <w:tcPr>
            <w:tcW w:type="dxa" w:w="2300"/>
          </w:tcPr>
          <w:p>
            <w:r>
              <w:t xml:space="preserve">avg +3.1dB</w:t>
            </w:r>
          </w:p>
        </w:tc>
        <w:tc>
          <w:tcPr>
            <w:tcW w:type="dxa" w:w="2300"/>
          </w:tcPr>
          <w:p>
            <w:r>
              <w:t xml:space="preserve">avg +2.3dB</w:t>
            </w:r>
          </w:p>
        </w:tc>
        <w:tc>
          <w:tcPr>
            <w:tcW w:type="dxa" w:w="1600"/>
          </w:tcPr>
          <w:p>
            <w:r>
              <w:t xml:space="preserve">No</w:t>
            </w:r>
          </w:p>
        </w:tc>
      </w:tr>
      <w:tr>
        <w:tc>
          <w:tcPr>
            <w:tcW w:type="dxa" w:w="3200"/>
          </w:tcPr>
          <w:p>
            <w:r>
              <w:t xml:space="preserve">Realistic content (10.6, 16-iter, masked)</w:t>
            </w:r>
          </w:p>
        </w:tc>
        <w:tc>
          <w:tcPr>
            <w:tcW w:type="dxa" w:w="2300"/>
          </w:tcPr>
          <w:p>
            <w:r>
              <w:t xml:space="preserve">near/mid ~0dB, far +3.0dB</w:t>
            </w:r>
          </w:p>
        </w:tc>
        <w:tc>
          <w:tcPr>
            <w:tcW w:type="dxa" w:w="2300"/>
          </w:tcPr>
          <w:p>
            <w:r>
              <w:t xml:space="preserve">near −0.2dB, mid −0.1dB, far +2.1dB</w:t>
            </w:r>
          </w:p>
        </w:tc>
        <w:tc>
          <w:tcPr>
            <w:tcW w:type="dxa" w:w="1600"/>
          </w:tcPr>
          <w:p>
            <w:r>
              <w:t xml:space="preserve">No</w:t>
            </w:r>
          </w:p>
        </w:tc>
      </w:tr>
      <w:tr>
        <w:tc>
          <w:tcPr>
            <w:tcW w:type="dxa" w:w="3200"/>
          </w:tcPr>
          <w:p>
            <w:r>
              <w:t xml:space="preserve">Color: native/reuse/joint (10.7b)</w:t>
            </w:r>
          </w:p>
        </w:tc>
        <w:tc>
          <w:tcPr>
            <w:tcW w:type="dxa" w:w="2300"/>
          </w:tcPr>
          <w:p>
            <w:r>
              <w:t xml:space="preserve">9.3 / 7.1 / 8.2 dB</w:t>
            </w:r>
          </w:p>
        </w:tc>
        <w:tc>
          <w:tcPr>
            <w:tcW w:type="dxa" w:w="2300"/>
          </w:tcPr>
          <w:p>
            <w:r>
              <w:t xml:space="preserve">6.8 / 5.8 / 6.3 dB</w:t>
            </w:r>
          </w:p>
        </w:tc>
        <w:tc>
          <w:tcPr>
            <w:tcW w:type="dxa" w:w="1600"/>
          </w:tcPr>
          <w:p>
            <w:r>
              <w:t xml:space="preserve">No</w:t>
            </w:r>
          </w:p>
        </w:tc>
      </w:tr>
      <w:tr>
        <w:tc>
          <w:tcPr>
            <w:tcW w:type="dxa" w:w="3200"/>
          </w:tcPr>
          <w:p>
            <w:r>
              <w:t xml:space="preserve">Gap 7 plane-count (10.2, original)</w:t>
            </w:r>
          </w:p>
        </w:tc>
        <w:tc>
          <w:tcPr>
            <w:tcW w:type="dxa" w:w="2300"/>
          </w:tcPr>
          <w:p>
            <w:r>
              <w:t xml:space="preserve">16.7 / 14.0 / 13.2 dB</w:t>
            </w:r>
          </w:p>
        </w:tc>
        <w:tc>
          <w:tcPr>
            <w:tcW w:type="dxa" w:w="2300"/>
          </w:tcPr>
          <w:p>
            <w:r>
              <w:t xml:space="preserve">14.6 / 11.9 / 11.5 dB</w:t>
            </w:r>
          </w:p>
        </w:tc>
        <w:tc>
          <w:tcPr>
            <w:tcW w:type="dxa" w:w="1600"/>
          </w:tcPr>
          <w:p>
            <w:r>
              <w:t xml:space="preserve">No</w:t>
            </w:r>
          </w:p>
        </w:tc>
      </w:tr>
      <w:tr>
        <w:tc>
          <w:tcPr>
            <w:tcW w:type="dxa" w:w="3200"/>
          </w:tcPr>
          <w:p>
            <w:r>
              <w:t xml:space="preserve">End-to-end compute (10.1c)</w:t>
            </w:r>
          </w:p>
        </w:tc>
        <w:tc>
          <w:tcPr>
            <w:tcW w:type="dxa" w:w="2300"/>
          </w:tcPr>
          <w:p>
            <w:r>
              <w:t xml:space="preserve">696 FFTs, 500× over</w:t>
            </w:r>
          </w:p>
        </w:tc>
        <w:tc>
          <w:tcPr>
            <w:tcW w:type="dxa" w:w="2300"/>
          </w:tcPr>
          <w:p>
            <w:r>
              <w:t xml:space="preserve">696 FFTs, 500× over</w:t>
            </w:r>
          </w:p>
        </w:tc>
        <w:tc>
          <w:tcPr>
            <w:tcW w:type="dxa" w:w="1600"/>
          </w:tcPr>
          <w:p>
            <w:r>
              <w:t xml:space="preserve">No — never used this metric</w:t>
            </w:r>
          </w:p>
        </w:tc>
      </w:tr>
      <w:tr>
        <w:tc>
          <w:tcPr>
            <w:tcW w:type="dxa" w:w="3200"/>
          </w:tcPr>
          <w:p>
            <w:r>
              <w:t xml:space="preserve">Seq-vs-sim, true convergence</w:t>
            </w:r>
          </w:p>
        </w:tc>
        <w:tc>
          <w:tcPr>
            <w:tcW w:type="dxa" w:w="2300"/>
          </w:tcPr>
          <w:p>
            <w:r>
              <w:t xml:space="preserve">+1.10 / +0.49 / +3.13 dB</w:t>
            </w:r>
          </w:p>
        </w:tc>
        <w:tc>
          <w:tcPr>
            <w:tcW w:type="dxa" w:w="2300"/>
          </w:tcPr>
          <w:p>
            <w:r>
              <w:t xml:space="preserve">+0.57 / +0.44 / +2.28 dB</w:t>
            </w:r>
          </w:p>
        </w:tc>
        <w:tc>
          <w:tcPr>
            <w:tcW w:type="dxa" w:w="1600"/>
          </w:tcPr>
          <w:p>
            <w:r>
              <w:t xml:space="preserve">No</w:t>
            </w:r>
          </w:p>
        </w:tc>
      </w:tr>
    </w:tbl>
    <w:p>
      <w:pPr>
        <w:spacing w:after="160" w:before="160"/>
      </w:pPr>
    </w:p>
    <w:p>
      <w:pPr>
        <w:spacing w:after="120"/>
      </w:pPr>
      <w:r>
        <w:rPr>
          <w:b w:val="false"/>
          <w:bCs w:val="false"/>
          <w:i w:val="false"/>
          <w:iCs w:val="false"/>
        </w:rPr>
        <w:t xml:space="preserve">Every qualitative conclusion in this document survives the fix — no row in the table above changed sign or reordered a ranking. The quantitative pattern is real but not uniform: absolute dB values drop across the board (intensity = amplitude², so a fixed amplitude error looks larger once squared), and most deltas between conditions shrink — the color gaps by roughly half (2.2→1.0 dB, 1.1→0.5 dB) — but two rows in the table above increase instead (seq-vs-sim 2,700×2,700 and the edge-taper delta). The scene/photo-like-content plane's sequential advantage remains the one genuine, reproducible exception to "no sequential advantage" — smaller than first reported (~2.3 dB, not ~3.0 dB), but real.</w:t>
      </w:r>
    </w:p>
    <w:p>
      <w:pPr>
        <w:spacing w:after="160"/>
      </w:pPr>
      <w:r>
        <w:rPr>
          <w:i/>
          <w:iCs/>
          <w:color w:val="555555"/>
        </w:rPr>
        <w:t xml:space="preserve">Note: The end-to-end compute measurement in 10.1c — the single most consequential number in this document — was never affected by this bug. Its convergence detection and final quality figure come from the internal, self-consistent amplitude-vs-amplitude history, not the external metric that was wrong. This was confirmed, not assumed.</w:t>
      </w:r>
    </w:p>
    <w:p>
      <w:pPr>
        <w:pStyle w:val="Heading2"/>
        <w:spacing w:after="100" w:before="200"/>
      </w:pPr>
      <w:r>
        <w:rPr>
          <w:b/>
          <w:bCs/>
        </w:rPr>
        <w:t xml:space="preserve">10.2 Image quality and speckle (Gap 7) — a structural finding, not just a known unknown</w:t>
      </w:r>
    </w:p>
    <w:p>
      <w:pPr>
        <w:spacing w:after="120"/>
      </w:pPr>
      <w:r>
        <w:rPr>
          <w:b w:val="false"/>
          <w:bCs w:val="false"/>
          <w:i w:val="false"/>
          <w:iCs w:val="false"/>
        </w:rPr>
        <w:t xml:space="preserve">Reconstructed images plateaued around 11–14 dB PSNR against synthetic targets — visibly grainy, consistent with coherent speckle. Two follow-up tests clarified why:</w:t>
      </w:r>
    </w:p>
    <w:p>
      <w:pPr>
        <w:pStyle w:val="ListParagraph"/>
        <w:numPr>
          <w:ilvl w:val="0"/>
          <w:numId w:val="2"/>
        </w:numPr>
        <w:spacing w:after="100"/>
      </w:pPr>
      <w:r>
        <w:t xml:space="preserve">Averaging multiple independent phase-retrieval solutions (simulating temporal multiplexing) produced only a small quality gain (13.2 → 14.1 dB over 8 realizations) rather than the much larger gain expected from averaging random independent speckle noise. This indicates a meaningful share of the error is systematic — the same shortfall recurring across independent runs — rather than random noise that would average out.</w:t>
      </w:r>
    </w:p>
    <w:p>
      <w:pPr>
        <w:pStyle w:val="ListParagraph"/>
        <w:numPr>
          <w:ilvl w:val="0"/>
          <w:numId w:val="2"/>
        </w:numPr>
        <w:spacing w:after="100"/>
      </w:pPr>
      <w:r>
        <w:t xml:space="preserve">Quality degraded monotonically with the number of simultaneous depth planes solved for in a single phase pattern: 16.7 dB (1 plane) → 14.0 dB (2 planes) → 13.2 dB (3 planes). Two independent algorithms (GS and gradient-based) converged to visually near-identical grain patterns at 3 planes despite very different search strategies.</w:t>
      </w:r>
    </w:p>
    <w:p>
      <w:pPr>
        <w:pStyle w:val="ListParagraph"/>
        <w:numPr>
          <w:ilvl w:val="0"/>
          <w:numId w:val="2"/>
        </w:numPr>
        <w:spacing w:after="100"/>
      </w:pPr>
      <w:r>
        <w:t xml:space="preserve">A learning-rate sweep on the gradient-based method (fixed lr=0.02, fixed lr=0.05, cosine decay, and one-cycle warmup-then-decay, all at 512×512 over 500 steps) produced final results spanning only 12.20–12.77 dB — under 0.6 dB of spread across four materially different optimization strategies, with three of the four showing effectively zero gain over their final 50 steps. This rules out optimizer tuning as the limiting factor.</w:t>
      </w:r>
    </w:p>
    <w:p>
      <w:pPr>
        <w:spacing w:after="160"/>
      </w:pPr>
      <w:r>
        <w:rPr>
          <w:i/>
          <w:iCs/>
          <w:color w:val="555555"/>
        </w:rPr>
        <w:t xml:space="preserve">Note: All figures in this section (11–14 dB range, 13.2→14.1 dB averaging result, 16.7/14.0/13.2 dB plane-count, 12.20–12.77 dB lr sweep) predate the metric correction in 10.1d. On the corrected metric, the plane-count figures become 14.6/11.9/11.5 dB (see Gap 7) — the shape of every finding here is unchanged, but treat the absolute numbers as superseded pending a full corrected re-run of this section.</w:t>
      </w:r>
    </w:p>
    <w:p>
      <w:pPr>
        <w:spacing w:after="160"/>
      </w:pPr>
      <w:r>
        <w:rPr>
          <w:i/>
          <w:iCs/>
          <w:color w:val="555555"/>
        </w:rPr>
        <w:t xml:space="preserve">Note: Three independent lines of evidence — poor returns from averaging independent realizations, monotonic degradation with plane count, and insensitivity to optimizer tuning — converge on the same conclusion: the limitation is representational (one phase-only pattern cannot fully satisfy multiple simultaneous depth-plane constraints), not a search-algorithm or tuning shortfall. This doesn't change Gap 7's status, but it does mean part of the problem is addressable by architecture rather than only by optics: see 10.3.</w:t>
      </w:r>
    </w:p>
    <w:p>
      <w:pPr>
        <w:pStyle w:val="Heading2"/>
        <w:spacing w:after="100" w:before="200"/>
      </w:pPr>
      <w:r>
        <w:rPr>
          <w:b/>
          <w:bCs/>
        </w:rPr>
        <w:t xml:space="preserve">10.3 Architectural lever: sequential vs. simultaneous depth-plane rendering — retested across scale</w:t>
      </w:r>
    </w:p>
    <w:p>
      <w:pPr>
        <w:spacing w:after="120"/>
      </w:pPr>
      <w:r>
        <w:rPr>
          <w:b w:val="false"/>
          <w:bCs w:val="false"/>
          <w:i w:val="false"/>
          <w:iCs w:val="false"/>
        </w:rPr>
        <w:t xml:space="preserve">An initial test at 512×512 (GS, 16 iterations, identical synthetic 3-plane target for both configurations) showed a real quality advantage for sequential rendering, at identical FFT cost: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700"/>
      </w:tblGrid>
      <w:tr>
        <w:trPr>
          <w:tblHeader/>
        </w:trPr>
        <w:tc>
          <w:tcPr>
            <w:tcW w:type="dxa" w:w="3000"/>
            <w:shd w:fill="D9D9D9" w:val="clear"/>
          </w:tcPr>
          <w:p>
            <w:r>
              <w:rPr>
                <w:b/>
                <w:bCs/>
              </w:rPr>
              <w:t xml:space="preserve"/>
            </w:r>
          </w:p>
        </w:tc>
        <w:tc>
          <w:tcPr>
            <w:tcW w:type="dxa" w:w="2400"/>
            <w:shd w:fill="D9D9D9" w:val="clear"/>
          </w:tcPr>
          <w:p>
            <w:r>
              <w:rPr>
                <w:b/>
                <w:bCs/>
              </w:rPr>
              <w:t xml:space="preserve">Simultaneous</w:t>
            </w:r>
          </w:p>
        </w:tc>
        <w:tc>
          <w:tcPr>
            <w:tcW w:type="dxa" w:w="2400"/>
            <w:shd w:fill="D9D9D9" w:val="clear"/>
          </w:tcPr>
          <w:p>
            <w:r>
              <w:rPr>
                <w:b/>
                <w:bCs/>
              </w:rPr>
              <w:t xml:space="preserve">Sequential</w:t>
            </w:r>
          </w:p>
        </w:tc>
        <w:tc>
          <w:tcPr>
            <w:tcW w:type="dxa" w:w="1700"/>
            <w:shd w:fill="D9D9D9" w:val="clear"/>
          </w:tcPr>
          <w:p>
            <w:r>
              <w:rPr>
                <w:b/>
                <w:bCs/>
              </w:rPr>
              <w:t xml:space="preserve">Delta</w:t>
            </w:r>
          </w:p>
        </w:tc>
      </w:tr>
      <w:tr>
        <w:tc>
          <w:tcPr>
            <w:tcW w:type="dxa" w:w="3000"/>
          </w:tcPr>
          <w:p>
            <w:r>
              <w:t xml:space="preserve">Plane 1</w:t>
            </w:r>
          </w:p>
        </w:tc>
        <w:tc>
          <w:tcPr>
            <w:tcW w:type="dxa" w:w="2400"/>
          </w:tcPr>
          <w:p>
            <w:r>
              <w:t xml:space="preserve">10.6 dB</w:t>
            </w:r>
          </w:p>
        </w:tc>
        <w:tc>
          <w:tcPr>
            <w:tcW w:type="dxa" w:w="2400"/>
          </w:tcPr>
          <w:p>
            <w:r>
              <w:t xml:space="preserve">13.4 dB</w:t>
            </w:r>
          </w:p>
        </w:tc>
        <w:tc>
          <w:tcPr>
            <w:tcW w:type="dxa" w:w="1700"/>
          </w:tcPr>
          <w:p>
            <w:r>
              <w:t xml:space="preserve">+2.8 dB</w:t>
            </w:r>
          </w:p>
        </w:tc>
      </w:tr>
      <w:tr>
        <w:tc>
          <w:tcPr>
            <w:tcW w:type="dxa" w:w="3000"/>
          </w:tcPr>
          <w:p>
            <w:r>
              <w:t xml:space="preserve">Plane 2</w:t>
            </w:r>
          </w:p>
        </w:tc>
        <w:tc>
          <w:tcPr>
            <w:tcW w:type="dxa" w:w="2400"/>
          </w:tcPr>
          <w:p>
            <w:r>
              <w:t xml:space="preserve">11.7 dB</w:t>
            </w:r>
          </w:p>
        </w:tc>
        <w:tc>
          <w:tcPr>
            <w:tcW w:type="dxa" w:w="2400"/>
          </w:tcPr>
          <w:p>
            <w:r>
              <w:t xml:space="preserve">15.7 dB</w:t>
            </w:r>
          </w:p>
        </w:tc>
        <w:tc>
          <w:tcPr>
            <w:tcW w:type="dxa" w:w="1700"/>
          </w:tcPr>
          <w:p>
            <w:r>
              <w:t xml:space="preserve">+4.0 dB</w:t>
            </w:r>
          </w:p>
        </w:tc>
      </w:tr>
      <w:tr>
        <w:tc>
          <w:tcPr>
            <w:tcW w:type="dxa" w:w="3000"/>
          </w:tcPr>
          <w:p>
            <w:r>
              <w:t xml:space="preserve">Plane 3</w:t>
            </w:r>
          </w:p>
        </w:tc>
        <w:tc>
          <w:tcPr>
            <w:tcW w:type="dxa" w:w="2400"/>
          </w:tcPr>
          <w:p>
            <w:r>
              <w:t xml:space="preserve">12.9 dB</w:t>
            </w:r>
          </w:p>
        </w:tc>
        <w:tc>
          <w:tcPr>
            <w:tcW w:type="dxa" w:w="2400"/>
          </w:tcPr>
          <w:p>
            <w:r>
              <w:t xml:space="preserve">15.3 dB</w:t>
            </w:r>
          </w:p>
        </w:tc>
        <w:tc>
          <w:tcPr>
            <w:tcW w:type="dxa" w:w="1700"/>
          </w:tcPr>
          <w:p>
            <w:r>
              <w:t xml:space="preserve">+2.4 dB</w:t>
            </w:r>
          </w:p>
        </w:tc>
      </w:tr>
      <w:tr>
        <w:tc>
          <w:tcPr>
            <w:tcW w:type="dxa" w:w="3000"/>
          </w:tcPr>
          <w:p>
            <w:r>
              <w:t xml:space="preserve">Total FFT operations</w:t>
            </w:r>
          </w:p>
        </w:tc>
        <w:tc>
          <w:tcPr>
            <w:tcW w:type="dxa" w:w="2400"/>
          </w:tcPr>
          <w:p>
            <w:r>
              <w:t xml:space="preserve">192</w:t>
            </w:r>
          </w:p>
        </w:tc>
        <w:tc>
          <w:tcPr>
            <w:tcW w:type="dxa" w:w="2400"/>
          </w:tcPr>
          <w:p>
            <w:r>
              <w:t xml:space="preserve">192</w:t>
            </w:r>
          </w:p>
        </w:tc>
        <w:tc>
          <w:tcPr>
            <w:tcW w:type="dxa" w:w="1700"/>
          </w:tcPr>
          <w:p>
            <w:r>
              <w:t xml:space="preserve">identical</w:t>
            </w:r>
          </w:p>
        </w:tc>
      </w:tr>
      <w:tr>
        <w:tc>
          <w:tcPr>
            <w:tcW w:type="dxa" w:w="3000"/>
          </w:tcPr>
          <w:p>
            <w:r>
              <w:t xml:space="preserve">Sub-frames per perceptual frame</w:t>
            </w:r>
          </w:p>
        </w:tc>
        <w:tc>
          <w:tcPr>
            <w:tcW w:type="dxa" w:w="2400"/>
          </w:tcPr>
          <w:p>
            <w:r>
              <w:t xml:space="preserve">1</w:t>
            </w:r>
          </w:p>
        </w:tc>
        <w:tc>
          <w:tcPr>
            <w:tcW w:type="dxa" w:w="2400"/>
          </w:tcPr>
          <w:p>
            <w:r>
              <w:t xml:space="preserve">3</w:t>
            </w:r>
          </w:p>
        </w:tc>
        <w:tc>
          <w:tcPr>
            <w:tcW w:type="dxa" w:w="1700"/>
          </w:tcPr>
          <w:p>
            <w:r>
              <w:t xml:space="preserve">3×</w:t>
            </w:r>
          </w:p>
        </w:tc>
      </w:tr>
    </w:tbl>
    <w:p>
      <w:pPr>
        <w:spacing w:after="160" w:before="160"/>
      </w:pPr>
    </w:p>
    <w:p>
      <w:pPr>
        <w:spacing w:after="120"/>
      </w:pPr>
      <w:r>
        <w:rPr>
          <w:b w:val="false"/>
          <w:bCs w:val="false"/>
          <w:i w:val="false"/>
          <w:iCs w:val="false"/>
        </w:rPr>
        <w:t xml:space="preserve">This result does not hold at higher resolution. The same comparison was rerun at 2,700×2,700 and at the document's actual 4,700×2,700 target, both on GS at 16 iterations, identical methodology: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D9D9D9" w:val="clear"/>
          </w:tcPr>
          <w:p>
            <w:r>
              <w:rPr>
                <w:b/>
                <w:bCs/>
              </w:rPr>
              <w:t xml:space="preserve">Resolution</w:t>
            </w:r>
          </w:p>
        </w:tc>
        <w:tc>
          <w:tcPr>
            <w:tcW w:type="dxa" w:w="4700"/>
            <w:shd w:fill="D9D9D9" w:val="clear"/>
          </w:tcPr>
          <w:p>
            <w:r>
              <w:rPr>
                <w:b/>
                <w:bCs/>
              </w:rPr>
              <w:t xml:space="preserve">Avg. sequential advantage per plane</w:t>
            </w:r>
          </w:p>
        </w:tc>
      </w:tr>
      <w:tr>
        <w:tc>
          <w:tcPr>
            <w:tcW w:type="dxa" w:w="4700"/>
          </w:tcPr>
          <w:p>
            <w:r>
              <w:t xml:space="preserve">512 × 512</w:t>
            </w:r>
          </w:p>
        </w:tc>
        <w:tc>
          <w:tcPr>
            <w:tcW w:type="dxa" w:w="4700"/>
          </w:tcPr>
          <w:p>
            <w:r>
              <w:t xml:space="preserve">+3.1 dB</w:t>
            </w:r>
          </w:p>
        </w:tc>
      </w:tr>
      <w:tr>
        <w:tc>
          <w:tcPr>
            <w:tcW w:type="dxa" w:w="4700"/>
          </w:tcPr>
          <w:p>
            <w:r>
              <w:t xml:space="preserve">2,700 × 2,700</w:t>
            </w:r>
          </w:p>
        </w:tc>
        <w:tc>
          <w:tcPr>
            <w:tcW w:type="dxa" w:w="4700"/>
          </w:tcPr>
          <w:p>
            <w:r>
              <w:t xml:space="preserve">+0.7 dB</w:t>
            </w:r>
          </w:p>
        </w:tc>
      </w:tr>
      <w:tr>
        <w:tc>
          <w:tcPr>
            <w:tcW w:type="dxa" w:w="4700"/>
          </w:tcPr>
          <w:p>
            <w:r>
              <w:t xml:space="preserve">4,700 × 2,700 (target resolution)</w:t>
            </w:r>
          </w:p>
        </w:tc>
        <w:tc>
          <w:tcPr>
            <w:tcW w:type="dxa" w:w="4700"/>
          </w:tcPr>
          <w:p>
            <w:r>
              <w:t xml:space="preserve">~0.0 dB (deltas of −0.4 to +0.5 dB, within noise)</w:t>
            </w:r>
          </w:p>
        </w:tc>
      </w:tr>
    </w:tbl>
    <w:p>
      <w:pPr>
        <w:spacing w:after="160" w:before="160"/>
      </w:pPr>
    </w:p>
    <w:p>
      <w:pPr>
        <w:spacing w:after="120"/>
      </w:pPr>
      <w:r>
        <w:rPr>
          <w:b w:val="false"/>
          <w:bCs w:val="false"/>
          <w:i w:val="false"/>
          <w:iCs w:val="false"/>
        </w:rPr>
        <w:t xml:space="preserve">The advantage shrinks monotonically with resolution and is gone at the actual target size. This was checked against two alternative explanations before being accepted: rerunning at 4,700×2,700 with a lighter padding factor (1.3 instead of 2.0) produced the same ~0 dB result, and rerunning as a square 2,700×2,700 canvas (ruling out the non-square aspect ratio) also produced the same near-zero result. Both are consistent with the shrinking-advantage trend, not an artifact of either change.</w:t>
      </w:r>
    </w:p>
    <w:p>
      <w:pPr>
        <w:spacing w:after="160"/>
      </w:pPr>
      <w:r>
        <w:rPr>
          <w:i/>
          <w:iCs/>
          <w:color w:val="555555"/>
        </w:rPr>
        <w:t xml:space="preserve">Note: CONCLUSION, SUPERSEDES PREVIOUS REVISION: sequential depth-plane rendering shows no measured quality benefit for these synthetic test shapes at the document's target resolution. Current evidence argues against paying its 3× frame-rate cost (1,080 Hz vs. 360 Hz composite) for content resembling these shapes — there is no quality gain at scale to justify it. This reverses the 10.3 conclusion in the prior revision, which was based on a 512×512 result only. See 10.4 for one open item (a border artifact, common-mode across both conditions) that does not affect this conclusion; see 10.6 for an important content-dependent exception found with real (non-synthetic) content — this finding does not generalize to dense, texture-heavy imagery.</w:t>
      </w:r>
    </w:p>
    <w:p>
      <w:pPr>
        <w:pStyle w:val="Heading2"/>
        <w:spacing w:after="100" w:before="200"/>
      </w:pPr>
      <w:r>
        <w:rPr>
          <w:b/>
          <w:bCs/>
        </w:rPr>
        <w:t xml:space="preserve">10.4 Full-resolution artifact investigation — process record (closed, non-blocking)</w:t>
      </w:r>
    </w:p>
    <w:p>
      <w:pPr>
        <w:spacing w:after="120"/>
      </w:pPr>
      <w:r>
        <w:rPr>
          <w:b w:val="false"/>
          <w:bCs w:val="false"/>
          <w:i w:val="false"/>
          <w:iCs w:val="false"/>
        </w:rPr>
        <w:t xml:space="preserve">While retesting at full resolution, a faint axis-aligned grid/crosshair pattern appeared across all reconstructed images — absent at 256×256 and 512×512, present and consistent from 2,700px upward, in every configuration tested. Recorded here in full, with method and result for each hypothesis tested, so this investigation is not repeated by whoever picks this up next.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000"/>
      </w:tblGrid>
      <w:tr>
        <w:trPr>
          <w:tblHeader/>
        </w:trPr>
        <w:tc>
          <w:tcPr>
            <w:tcW w:type="dxa" w:w="3000"/>
            <w:shd w:fill="D9D9D9" w:val="clear"/>
          </w:tcPr>
          <w:p>
            <w:r>
              <w:rPr>
                <w:b/>
                <w:bCs/>
              </w:rPr>
              <w:t xml:space="preserve">Hypothesis tested</w:t>
            </w:r>
          </w:p>
        </w:tc>
        <w:tc>
          <w:tcPr>
            <w:tcW w:type="dxa" w:w="3400"/>
            <w:shd w:fill="D9D9D9" w:val="clear"/>
          </w:tcPr>
          <w:p>
            <w:r>
              <w:rPr>
                <w:b/>
                <w:bCs/>
              </w:rPr>
              <w:t xml:space="preserve">Method</w:t>
            </w:r>
          </w:p>
        </w:tc>
        <w:tc>
          <w:tcPr>
            <w:tcW w:type="dxa" w:w="3000"/>
            <w:shd w:fill="D9D9D9" w:val="clear"/>
          </w:tcPr>
          <w:p>
            <w:r>
              <w:rPr>
                <w:b/>
                <w:bCs/>
              </w:rPr>
              <w:t xml:space="preserve">Result</w:t>
            </w:r>
          </w:p>
        </w:tc>
      </w:tr>
      <w:tr>
        <w:tc>
          <w:tcPr>
            <w:tcW w:type="dxa" w:w="3000"/>
          </w:tcPr>
          <w:p>
            <w:r>
              <w:t xml:space="preserve">Padding factor</w:t>
            </w:r>
          </w:p>
        </w:tc>
        <w:tc>
          <w:tcPr>
            <w:tcW w:type="dxa" w:w="3400"/>
          </w:tcPr>
          <w:p>
            <w:r>
              <w:t xml:space="preserve">pad_factor 2.0 vs. 1.3 at 4,700×2,700</w:t>
            </w:r>
          </w:p>
        </w:tc>
        <w:tc>
          <w:tcPr>
            <w:tcW w:type="dxa" w:w="3000"/>
          </w:tcPr>
          <w:p>
            <w:r>
              <w:t xml:space="preserve">Ruled out — artifact identical both ways</w:t>
            </w:r>
          </w:p>
        </w:tc>
      </w:tr>
      <w:tr>
        <w:tc>
          <w:tcPr>
            <w:tcW w:type="dxa" w:w="3000"/>
          </w:tcPr>
          <w:p>
            <w:r>
              <w:t xml:space="preserve">Aspect ratio</w:t>
            </w:r>
          </w:p>
        </w:tc>
        <w:tc>
          <w:tcPr>
            <w:tcW w:type="dxa" w:w="3400"/>
          </w:tcPr>
          <w:p>
            <w:r>
              <w:t xml:space="preserve">2,700×4,700 rectangular vs. 2,700×2,700 square</w:t>
            </w:r>
          </w:p>
        </w:tc>
        <w:tc>
          <w:tcPr>
            <w:tcW w:type="dxa" w:w="3000"/>
          </w:tcPr>
          <w:p>
            <w:r>
              <w:t xml:space="preserve">Ruled out — artifact persists in the square case</w:t>
            </w:r>
          </w:p>
        </w:tc>
      </w:tr>
      <w:tr>
        <w:tc>
          <w:tcPr>
            <w:tcW w:type="dxa" w:w="3000"/>
          </w:tcPr>
          <w:p>
            <w:r>
              <w:t xml:space="preserve">Floating-point precision</w:t>
            </w:r>
          </w:p>
        </w:tc>
        <w:tc>
          <w:tcPr>
            <w:tcW w:type="dxa" w:w="3400"/>
          </w:tcPr>
          <w:p>
            <w:r>
              <w:t xml:space="preserve">complex64 vs. complex128 at 2,700×2,700</w:t>
            </w:r>
          </w:p>
        </w:tc>
        <w:tc>
          <w:tcPr>
            <w:tcW w:type="dxa" w:w="3000"/>
          </w:tcPr>
          <w:p>
            <w:r>
              <w:t xml:space="preserve">Ruled out — PSNR differs by ≤0.1 dB; no visible difference</w:t>
            </w:r>
          </w:p>
        </w:tc>
      </w:tr>
      <w:tr>
        <w:tc>
          <w:tcPr>
            <w:tcW w:type="dxa" w:w="3000"/>
          </w:tcPr>
          <w:p>
            <w:r>
              <w:t xml:space="preserve">Frequency-domain evanescent cutoff</w:t>
            </w:r>
          </w:p>
        </w:tc>
        <w:tc>
          <w:tcPr>
            <w:tcW w:type="dxa" w:w="3400"/>
          </w:tcPr>
          <w:p>
            <w:r>
              <w:t xml:space="preserve">hard boolean mask vs. smoothed ramp in the transfer function</w:t>
            </w:r>
          </w:p>
        </w:tc>
        <w:tc>
          <w:tcPr>
            <w:tcW w:type="dxa" w:w="3000"/>
          </w:tcPr>
          <w:p>
            <w:r>
              <w:t xml:space="preserve">Ruled out — identical PSNR, no visible difference</w:t>
            </w:r>
          </w:p>
        </w:tc>
      </w:tr>
      <w:tr>
        <w:tc>
          <w:tcPr>
            <w:tcW w:type="dxa" w:w="3000"/>
          </w:tcPr>
          <w:p>
            <w:r>
              <w:t xml:space="preserve">Propagation math in isolation</w:t>
            </w:r>
          </w:p>
        </w:tc>
        <w:tc>
          <w:tcPr>
            <w:tcW w:type="dxa" w:w="3400"/>
          </w:tcPr>
          <w:p>
            <w:r>
              <w:t xml:space="preserve">pure random phase, single propagation, no GS, no target</w:t>
            </w:r>
          </w:p>
        </w:tc>
        <w:tc>
          <w:tcPr>
            <w:tcW w:type="dxa" w:w="3000"/>
          </w:tcPr>
          <w:p>
            <w:r>
              <w:t xml:space="preserve">Clean — no grid artifact. Rules out propagation.py's math as the source</w:t>
            </w:r>
          </w:p>
        </w:tc>
      </w:tr>
      <w:tr>
        <w:tc>
          <w:tcPr>
            <w:tcW w:type="dxa" w:w="3000"/>
          </w:tcPr>
          <w:p>
            <w:r>
              <w:t xml:space="preserve">GS algorithm, near-featureless target</w:t>
            </w:r>
          </w:p>
        </w:tc>
        <w:tc>
          <w:tcPr>
            <w:tcW w:type="dxa" w:w="3400"/>
          </w:tcPr>
          <w:p>
            <w:r>
              <w:t xml:space="preserve">full GS run, target blurred to a near-edgeless blob (σ=40)</w:t>
            </w:r>
          </w:p>
        </w:tc>
        <w:tc>
          <w:tcPr>
            <w:tcW w:type="dxa" w:w="3000"/>
          </w:tcPr>
          <w:p>
            <w:r>
              <w:t xml:space="preserve">Artifact still present, concentrated at frame borders</w:t>
            </w:r>
          </w:p>
        </w:tc>
      </w:tr>
      <w:tr>
        <w:tc>
          <w:tcPr>
            <w:tcW w:type="dxa" w:w="3000"/>
          </w:tcPr>
          <w:p>
            <w:r>
              <w:t xml:space="preserve">Edge-taper fix attempt</w:t>
            </w:r>
          </w:p>
        </w:tc>
        <w:tc>
          <w:tcPr>
            <w:tcW w:type="dxa" w:w="3400"/>
          </w:tcPr>
          <w:p>
            <w:r>
              <w:t xml:space="preserve">smooth SLM-amplitude taper at frame edges, taper_width=0.08, at 2,700×2,700</w:t>
            </w:r>
          </w:p>
        </w:tc>
        <w:tc>
          <w:tcPr>
            <w:tcW w:type="dxa" w:w="3000"/>
          </w:tcPr>
          <w:p>
            <w:r>
              <w:t xml:space="preserve">Small PSNR gain (+0.2–0.3 dB) but artifact visually persists — not a clean fix; likely acts at the wrong point in the pipeline</w:t>
            </w:r>
          </w:p>
        </w:tc>
      </w:tr>
    </w:tbl>
    <w:p>
      <w:pPr>
        <w:spacing w:after="160" w:before="160"/>
      </w:pPr>
    </w:p>
    <w:p>
      <w:pPr>
        <w:spacing w:after="120"/>
      </w:pPr>
      <w:r>
        <w:rPr>
          <w:b w:val="false"/>
          <w:bCs w:val="false"/>
          <w:i w:val="false"/>
          <w:iCs w:val="false"/>
        </w:rPr>
        <w:t xml:space="preserve">Isolation result: the artifact originates somewhere in the GS iterative algorithm's behavior, not in the propagation physics, target content, padding, precision, or the frequency cutoff — those five were tested directly and ruled out. The working theory (uncontested energy accumulating at frame borders, since GS's amplitude constraint is weakest where target content is near-zero) motivated a proposed fix, tested below. The fix did not fully resolve the artifact, so the exact mechanism remains open — but the finding it was meant to protect has now been confirmed robust regardless.</w:t>
      </w:r>
    </w:p>
    <w:p>
      <w:pPr>
        <w:spacing w:after="120"/>
      </w:pPr>
      <w:r>
        <w:rPr>
          <w:b w:val="false"/>
          <w:bCs w:val="false"/>
          <w:i w:val="false"/>
          <w:iCs w:val="false"/>
        </w:rPr>
        <w:t xml:space="preserve">Fix attempted: an edge-taper constraint (a smooth raised-cosine window forcing SLM amplitude down near the frame edges each iteration, instead of leaving them fully unconstrained) was implemented and tested at 2,700×2,700. Result: a small PSNR gain (+0.2 to +0.3 dB across the three planes) but the border striping remained visually present in the reconstructed images — not a clean fix. The taper likely acts at the wrong point in the pipeline: it constrains the SLM plane, while the artifact manifests in the reconstructed image after propagation, which may be a different mechanism than originally theorized.</w:t>
      </w:r>
    </w:p>
    <w:p>
      <w:pPr>
        <w:spacing w:after="120"/>
      </w:pPr>
      <w:r>
        <w:rPr>
          <w:b w:val="false"/>
          <w:bCs w:val="false"/>
          <w:i w:val="false"/>
          <w:iCs w:val="false"/>
        </w:rPr>
        <w:t xml:space="preserve">The failed fix turned out to be useful anyway: it constitutes a second, independent perturbation of whatever is causing the artifact, on top of the five ruled-out hypotheses and one localizing test already run. The full-resolution sequential-vs-simultaneous comparison was re-run with the taper applied and produced deltas of −0.3, +0.7, −0.0 dB (avg +0.11 dB) — closely matching the untapered result (−0.4, +0.5, +0.1 dB, avg ~0.0 dB) from Section 10.3. Two materially different conditions around the same unexplained artifact now agree on the central finding.</w:t>
      </w:r>
    </w:p>
    <w:p>
      <w:pPr>
        <w:spacing w:after="160"/>
      </w:pPr>
      <w:r>
        <w:rPr>
          <w:i/>
          <w:iCs/>
          <w:color w:val="555555"/>
        </w:rPr>
        <w:t xml:space="preserve">Note: STATUS: closed as non-blocking, not closed as explained. The border artifact's root cause is not fully diagnosed and is deprioritized relative to the remaining items in 10.6 — further isolation was judged lower-value than the software-testable work still open. The 10.3 conclusion (no measured sequential-rendering advantage at target resolution) is treated as confirmed on the strength of two independent robustness checks (common-mode presence across five ruled-out hypotheses and one localizing test, plus an unchanged result under direct perturbation via the edge taper), not as fully explained from first principles.</w:t>
      </w:r>
    </w:p>
    <w:p>
      <w:pPr>
        <w:pStyle w:val="Heading2"/>
        <w:spacing w:after="100" w:before="200"/>
      </w:pPr>
      <w:r>
        <w:rPr>
          <w:b/>
          <w:bCs/>
        </w:rPr>
        <w:t xml:space="preserve">10.5 Caveats</w:t>
      </w:r>
    </w:p>
    <w:p>
      <w:pPr>
        <w:pStyle w:val="ListParagraph"/>
        <w:numPr>
          <w:ilvl w:val="0"/>
          <w:numId w:val="2"/>
        </w:numPr>
        <w:spacing w:after="100"/>
      </w:pPr>
      <w:r>
        <w:t xml:space="preserve">No waveguide, eye-lens aberration, or pupil model — this validates the phase-retrieval algorithm and compute estimate only, not the full optical chain.</w:t>
      </w:r>
    </w:p>
    <w:p>
      <w:pPr>
        <w:pStyle w:val="ListParagraph"/>
        <w:numPr>
          <w:ilvl w:val="0"/>
          <w:numId w:val="2"/>
        </w:numPr>
        <w:spacing w:after="100"/>
      </w:pPr>
      <w:r>
        <w:t xml:space="preserve">GPU (RTX 3060) testing validates algorithm behavior and gives a rough wall-clock sanity check; it does not validate ASIC feasibility within the 500mW power budget — Gap 2 remains open and is a silicon-architect question, not a software one.</w:t>
      </w:r>
    </w:p>
    <w:p>
      <w:pPr>
        <w:pStyle w:val="ListParagraph"/>
        <w:numPr>
          <w:ilvl w:val="0"/>
          <w:numId w:val="2"/>
        </w:numPr>
        <w:spacing w:after="100"/>
      </w:pPr>
      <w:r>
        <w:t xml:space="preserve">The border artifact documented in 10.4 remains mechanistically unexplained. It is deprioritized, not resolved — treated as non-blocking based on two robustness checks, not a diagnosed and fixed root cause.</w:t>
      </w:r>
    </w:p>
    <w:p>
      <w:pPr>
        <w:pStyle w:val="Heading2"/>
        <w:spacing w:after="100" w:before="200"/>
      </w:pPr>
      <w:r>
        <w:rPr>
          <w:b/>
          <w:bCs/>
        </w:rPr>
        <w:t xml:space="preserve">10.6 Real rendered content — quality ceiling and architecture finding both hold</w:t>
      </w:r>
    </w:p>
    <w:p>
      <w:pPr>
        <w:spacing w:after="120"/>
      </w:pPr>
      <w:r>
        <w:rPr>
          <w:b w:val="false"/>
          <w:bCs w:val="false"/>
          <w:i w:val="false"/>
          <w:iCs w:val="false"/>
        </w:rPr>
        <w:t xml:space="preserve">Sections 10.1–10.4 used synthetic geometric shapes (discs, rings, checkerboards) throughout. This was retested against content resembling actual product use — a UI navigation icon, translated caption text, and a procedurally generated photo-like scene — at full resolution, to check whether the findings generalize beyond test shapes.</w:t>
      </w:r>
    </w:p>
    <w:p>
      <w:pPr>
        <w:spacing w:after="120"/>
      </w:pPr>
      <w:r>
        <w:rPr>
          <w:b w:val="false"/>
          <w:bCs w:val="false"/>
          <w:i w:val="false"/>
          <w:iCs w:val="false"/>
        </w:rPr>
        <w:t xml:space="preserve">Two methodological issues surfaced during this test and are logged here so they are not rediscovered:</w:t>
      </w:r>
    </w:p>
    <w:p>
      <w:pPr>
        <w:pStyle w:val="ListParagraph"/>
        <w:numPr>
          <w:ilvl w:val="0"/>
          <w:numId w:val="2"/>
        </w:numPr>
        <w:spacing w:after="100"/>
      </w:pPr>
      <w:r>
        <w:t xml:space="preserve">Font portability: the text target was first rendered via a Python imaging library call to a hardcoded OS font path. That path does not exist on most machines, and the silent fallback was a tiny, non-scaling default font — producing near-invisible text and a misleadingly high PSNR (~30dB+) against what was effectively a blank target. Fixed by rendering text through the plotting library already used throughout this project, which bundles its own font and has no OS dependency.</w:t>
      </w:r>
    </w:p>
    <w:p>
      <w:pPr>
        <w:pStyle w:val="ListParagraph"/>
        <w:numPr>
          <w:ilvl w:val="0"/>
          <w:numId w:val="2"/>
        </w:numPr>
        <w:spacing w:after="100"/>
      </w:pPr>
      <w:r>
        <w:t xml:space="preserve">Sparse-content PSNR: whole-frame PSNR on a mostly-empty target (an icon or caption on a large black background) is dominated by trivially correct background pixels, and can hide or distort the real quality difference between two conditions. A masked PSNR — computed only within the content's own bounding box — is needed for any sparse target. Dense content (the photo-like scene, which fills the frame) does not need this correction.</w:t>
      </w:r>
    </w:p>
    <w:p>
      <w:pPr>
        <w:spacing w:after="120"/>
      </w:pPr>
      <w:r>
        <w:rPr>
          <w:b w:val="false"/>
          <w:bCs w:val="false"/>
          <w:i w:val="false"/>
          <w:iCs w:val="false"/>
        </w:rPr>
        <w:t xml:space="preserve">Once both issues were corrected: the ~10–14 dB quality ceiling holds across all three content types, including translated text — a harder case than any synthetic shape tested, given its fine strokes and small features. The sequential-vs-simultaneous "no advantage" finding (10.3) also holds for two of the three content types once correctly measured: apparent advantages of +1.4 dB (icon) and +4.0 dB (text) collapsed to +0.0 dB and +0.1 dB respectively once PSNR was masked to the content region rather than the whole frame.</w:t>
      </w:r>
    </w:p>
    <w:p>
      <w:pPr>
        <w:spacing w:after="120"/>
      </w:pPr>
      <w:r>
        <w:rPr>
          <w:b w:val="false"/>
          <w:bCs w:val="false"/>
          <w:i w:val="false"/>
          <w:iCs w:val="false"/>
        </w:rPr>
        <w:t xml:space="preserve">The photo-like scene plane (dense content, not masked) is the exception, and it is a confirmed one. Its +3.0 dB sequential advantage was re-run across 5 independent random seeds: mean +2.83 dB, standard deviation 0.12 dB, range +2.71 to +3.01 dB — extremely tight clustering, not a lucky seed. Combined with the masking work above (which already ruled out background-inflation as an explanation, since this plane is dense with no dominant empty background), this is a well-supported, reproducible result.</w:t>
      </w:r>
    </w:p>
    <w:p>
      <w:pPr>
        <w:spacing w:after="160"/>
      </w:pPr>
      <w:r>
        <w:rPr>
          <w:i/>
          <w:iCs/>
          <w:color w:val="555555"/>
        </w:rPr>
        <w:t xml:space="preserve">Note: Figures above predate the metric correction in 10.1d — under the corrected metric this becomes ~1.9–2.1 dB, not ~2.8–3.0 dB. The finding itself (real, reproducible, content-dependent) is unchanged; only the magnitude moved. See 10.1d's re-verification table.</w:t>
      </w:r>
    </w:p>
    <w:p>
      <w:pPr>
        <w:spacing w:after="160"/>
      </w:pPr>
      <w:r>
        <w:rPr>
          <w:i/>
          <w:iCs/>
          <w:color w:val="555555"/>
        </w:rPr>
        <w:t xml:space="preserve">Note: Content-dependent conclusion, not a contradiction of 10.3: sparse content (icons, text) shows no real sequential advantage; dense, texture-heavy content shows a genuine, reproducible ~2.8 dB benefit. A plausible mechanism, not yet directly tested: a simultaneous multi-plane phase pattern must divide its limited representational capacity across all three planes' content; sparse planes need little of that capacity regardless, while dense planes are actually capacity-constrained and benefit from getting a phase pattern's full capacity to themselves via sequential rendering.</w:t>
      </w:r>
    </w:p>
    <w:p>
      <w:pPr>
        <w:pStyle w:val="Heading2"/>
        <w:spacing w:after="100" w:before="200"/>
      </w:pPr>
      <w:r>
        <w:rPr>
          <w:b/>
          <w:bCs/>
        </w:rPr>
        <w:t xml:space="preserve">10.7 Color / chromatic dispersion — first test, then confirmed at full resolution</w:t>
      </w:r>
    </w:p>
    <w:p>
      <w:pPr>
        <w:spacing w:after="120"/>
      </w:pPr>
      <w:r>
        <w:rPr>
          <w:b w:val="false"/>
          <w:bCs w:val="false"/>
          <w:i w:val="false"/>
          <w:iCs w:val="false"/>
        </w:rPr>
        <w:t xml:space="preserve">Every simulation through 10.6 used a single wavelength (520nm, green) throughout. Sections 3–4's targets and derivations are, as written, effectively single-color. This is a real, previously uncosted gap, not a simplification that was flagged and accepted — it was not flagged at all until tested here.</w:t>
      </w:r>
    </w:p>
    <w:p>
      <w:pPr>
        <w:spacing w:after="120"/>
      </w:pPr>
      <w:r>
        <w:rPr>
          <w:b w:val="false"/>
          <w:bCs w:val="false"/>
          <w:i w:val="false"/>
          <w:iCs w:val="false"/>
        </w:rPr>
        <w:t xml:space="preserve">First test: a phase pattern solved via GS at 520nm (green) was reused unmodified — same phase, no re-solving — to reconstruct the same target at 638nm (red) and 450nm (blue), and compared against solving natively at each wavelength. Single depth plane, 512×512, CPU.</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gridCol w:w="1500"/>
      </w:tblGrid>
      <w:tr>
        <w:trPr>
          <w:tblHeader/>
        </w:trPr>
        <w:tc>
          <w:tcPr>
            <w:tcW w:type="dxa" w:w="2500"/>
            <w:shd w:fill="D9D9D9" w:val="clear"/>
          </w:tcPr>
          <w:p>
            <w:r>
              <w:rPr>
                <w:b/>
                <w:bCs/>
              </w:rPr>
              <w:t xml:space="preserve"/>
            </w:r>
          </w:p>
        </w:tc>
        <w:tc>
          <w:tcPr>
            <w:tcW w:type="dxa" w:w="3000"/>
            <w:shd w:fill="D9D9D9" w:val="clear"/>
          </w:tcPr>
          <w:p>
            <w:r>
              <w:rPr>
                <w:b/>
                <w:bCs/>
              </w:rPr>
              <w:t xml:space="preserve">Native solve (per wavelength)</w:t>
            </w:r>
          </w:p>
        </w:tc>
        <w:tc>
          <w:tcPr>
            <w:tcW w:type="dxa" w:w="3000"/>
            <w:shd w:fill="D9D9D9" w:val="clear"/>
          </w:tcPr>
          <w:p>
            <w:r>
              <w:rPr>
                <w:b/>
                <w:bCs/>
              </w:rPr>
              <w:t xml:space="preserve">Cross-wavelength (green phase reused)</w:t>
            </w:r>
          </w:p>
        </w:tc>
        <w:tc>
          <w:tcPr>
            <w:tcW w:type="dxa" w:w="1500"/>
            <w:shd w:fill="D9D9D9" w:val="clear"/>
          </w:tcPr>
          <w:p>
            <w:r>
              <w:rPr>
                <w:b/>
                <w:bCs/>
              </w:rPr>
              <w:t xml:space="preserve">Gap</w:t>
            </w:r>
          </w:p>
        </w:tc>
      </w:tr>
      <w:tr>
        <w:tc>
          <w:tcPr>
            <w:tcW w:type="dxa" w:w="2500"/>
          </w:tcPr>
          <w:p>
            <w:r>
              <w:t xml:space="preserve">Red (638nm)</w:t>
            </w:r>
          </w:p>
        </w:tc>
        <w:tc>
          <w:tcPr>
            <w:tcW w:type="dxa" w:w="3000"/>
          </w:tcPr>
          <w:p>
            <w:r>
              <w:t xml:space="preserve">15.4 dB</w:t>
            </w:r>
          </w:p>
        </w:tc>
        <w:tc>
          <w:tcPr>
            <w:tcW w:type="dxa" w:w="3000"/>
          </w:tcPr>
          <w:p>
            <w:r>
              <w:t xml:space="preserve">10.4 dB</w:t>
            </w:r>
          </w:p>
        </w:tc>
        <w:tc>
          <w:tcPr>
            <w:tcW w:type="dxa" w:w="1500"/>
          </w:tcPr>
          <w:p>
            <w:r>
              <w:t xml:space="preserve">−5.0 dB</w:t>
            </w:r>
          </w:p>
        </w:tc>
      </w:tr>
      <w:tr>
        <w:tc>
          <w:tcPr>
            <w:tcW w:type="dxa" w:w="2500"/>
          </w:tcPr>
          <w:p>
            <w:r>
              <w:t xml:space="preserve">Blue (450nm)</w:t>
            </w:r>
          </w:p>
        </w:tc>
        <w:tc>
          <w:tcPr>
            <w:tcW w:type="dxa" w:w="3000"/>
          </w:tcPr>
          <w:p>
            <w:r>
              <w:t xml:space="preserve">16.6 dB</w:t>
            </w:r>
          </w:p>
        </w:tc>
        <w:tc>
          <w:tcPr>
            <w:tcW w:type="dxa" w:w="3000"/>
          </w:tcPr>
          <w:p>
            <w:r>
              <w:t xml:space="preserve">10.6 dB</w:t>
            </w:r>
          </w:p>
        </w:tc>
        <w:tc>
          <w:tcPr>
            <w:tcW w:type="dxa" w:w="1500"/>
          </w:tcPr>
          <w:p>
            <w:r>
              <w:t xml:space="preserve">−6.0 dB</w:t>
            </w:r>
          </w:p>
        </w:tc>
      </w:tr>
    </w:tbl>
    <w:p>
      <w:pPr>
        <w:spacing w:after="160" w:before="160"/>
      </w:pPr>
    </w:p>
    <w:p>
      <w:pPr>
        <w:spacing w:after="120"/>
      </w:pPr>
      <w:r>
        <w:rPr>
          <w:b w:val="false"/>
          <w:bCs w:val="false"/>
          <w:i w:val="false"/>
          <w:iCs w:val="false"/>
        </w:rPr>
        <w:t xml:space="preserve">Native quality is comparable across all three wavelengths (green 16.5 dB, red 15.4 dB, blue 16.6 dB) — no color is inherently harder to reconstruct alone. But a shared phase pattern does not transfer across wavelengths at small scale: the 5–6 dB loss from reuse is comparable in size to most other effects characterized in this document.</w:t>
      </w:r>
    </w:p>
    <w:p>
      <w:pPr>
        <w:spacing w:after="120"/>
      </w:pPr>
      <w:r>
        <w:rPr>
          <w:b w:val="false"/>
          <w:bCs w:val="false"/>
          <w:i w:val="false"/>
          <w:iCs w:val="false"/>
        </w:rPr>
        <w:t xml:space="preserve">This is not a novel problem — chromatic dispersion in diffractive/holographic optics is well documented in the literature — and real commercial hardware already assumes separate per-color solves: HOLOEYE's GAEA-2.1 phase-only LCOS SLM ships a "Color Field Sequential" mode that addresses R/G/B as three separate phase patterns within one frame, at 180Hz. This is independent, external confirmation of the finding above, not only a simulation result.</w:t>
      </w:r>
    </w:p>
    <w:p>
      <w:pPr>
        <w:pStyle w:val="Heading2"/>
        <w:spacing w:after="100" w:before="200"/>
      </w:pPr>
      <w:r>
        <w:rPr>
          <w:b/>
          <w:bCs/>
        </w:rPr>
        <w:t xml:space="preserve">10.7b Full-resolution confirmation, and a joint multi-color optimization test</w:t>
      </w:r>
    </w:p>
    <w:p>
      <w:pPr>
        <w:spacing w:after="120"/>
      </w:pPr>
      <w:r>
        <w:rPr>
          <w:b w:val="false"/>
          <w:bCs w:val="false"/>
          <w:i w:val="false"/>
          <w:iCs w:val="false"/>
        </w:rPr>
        <w:t xml:space="preserve">Retested at the document's actual target resolution (4,700×2,700), across all three depth planes, using the realistic content from 10.6 (near/mid/far). Two additional conditions beyond simple native-vs-reuse:</w:t>
      </w:r>
    </w:p>
    <w:p>
      <w:pPr>
        <w:pStyle w:val="ListParagraph"/>
        <w:numPr>
          <w:ilvl w:val="0"/>
          <w:numId w:val="2"/>
        </w:numPr>
        <w:spacing w:after="100"/>
      </w:pPr>
      <w:r>
        <w:t xml:space="preserve">Native: each color solved independently, full 3-plane simultaneous GS solve per color.</w:t>
      </w:r>
    </w:p>
    <w:p>
      <w:pPr>
        <w:pStyle w:val="ListParagraph"/>
        <w:numPr>
          <w:ilvl w:val="0"/>
          <w:numId w:val="2"/>
        </w:numPr>
        <w:spacing w:after="100"/>
      </w:pPr>
      <w:r>
        <w:t xml:space="preserve">Naive reuse: the green-native phase, propagated unmodified at red/blue (no re-solving) — same test as the small-scale version above, now at full resolution.</w:t>
      </w:r>
    </w:p>
    <w:p>
      <w:pPr>
        <w:pStyle w:val="ListParagraph"/>
        <w:numPr>
          <w:ilvl w:val="0"/>
          <w:numId w:val="2"/>
        </w:numPr>
        <w:spacing w:after="100"/>
      </w:pPr>
      <w:r>
        <w:t xml:space="preserve">Joint: a single phase pattern optimized against all 9 (depth, color) constraints at once, using a generalized version of the multi-plane GS algorithm that treats "different wavelength" the same way it already treats "different depth."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2000"/>
      </w:tblGrid>
      <w:tr>
        <w:trPr>
          <w:tblHeader/>
        </w:trPr>
        <w:tc>
          <w:tcPr>
            <w:tcW w:type="dxa" w:w="3500"/>
            <w:shd w:fill="D9D9D9" w:val="clear"/>
          </w:tcPr>
          <w:p>
            <w:r>
              <w:rPr>
                <w:b/>
                <w:bCs/>
              </w:rPr>
              <w:t xml:space="preserve"/>
            </w:r>
          </w:p>
        </w:tc>
        <w:tc>
          <w:tcPr>
            <w:tcW w:type="dxa" w:w="2000"/>
            <w:shd w:fill="D9D9D9" w:val="clear"/>
          </w:tcPr>
          <w:p>
            <w:r>
              <w:rPr>
                <w:b/>
                <w:bCs/>
              </w:rPr>
              <w:t xml:space="preserve">A: Native</w:t>
            </w:r>
          </w:p>
        </w:tc>
        <w:tc>
          <w:tcPr>
            <w:tcW w:type="dxa" w:w="2000"/>
            <w:shd w:fill="D9D9D9" w:val="clear"/>
          </w:tcPr>
          <w:p>
            <w:r>
              <w:rPr>
                <w:b/>
                <w:bCs/>
              </w:rPr>
              <w:t xml:space="preserve">B: Naive reuse</w:t>
            </w:r>
          </w:p>
        </w:tc>
        <w:tc>
          <w:tcPr>
            <w:tcW w:type="dxa" w:w="2000"/>
            <w:shd w:fill="D9D9D9" w:val="clear"/>
          </w:tcPr>
          <w:p>
            <w:r>
              <w:rPr>
                <w:b/>
                <w:bCs/>
              </w:rPr>
              <w:t xml:space="preserve">C: Joint</w:t>
            </w:r>
          </w:p>
        </w:tc>
      </w:tr>
      <w:tr>
        <w:tc>
          <w:tcPr>
            <w:tcW w:type="dxa" w:w="3500"/>
          </w:tcPr>
          <w:p>
            <w:r>
              <w:t xml:space="preserve">Average quality (red + blue)</w:t>
            </w:r>
          </w:p>
        </w:tc>
        <w:tc>
          <w:tcPr>
            <w:tcW w:type="dxa" w:w="2000"/>
          </w:tcPr>
          <w:p>
            <w:r>
              <w:t xml:space="preserve">9.3 dB</w:t>
            </w:r>
          </w:p>
        </w:tc>
        <w:tc>
          <w:tcPr>
            <w:tcW w:type="dxa" w:w="2000"/>
          </w:tcPr>
          <w:p>
            <w:r>
              <w:t xml:space="preserve">7.1 dB</w:t>
            </w:r>
          </w:p>
        </w:tc>
        <w:tc>
          <w:tcPr>
            <w:tcW w:type="dxa" w:w="2000"/>
          </w:tcPr>
          <w:p>
            <w:r>
              <w:t xml:space="preserve">8.2 dB</w:t>
            </w:r>
          </w:p>
        </w:tc>
      </w:tr>
      <w:tr>
        <w:tc>
          <w:tcPr>
            <w:tcW w:type="dxa" w:w="3500"/>
          </w:tcPr>
          <w:p>
            <w:r>
              <w:t xml:space="preserve">Gap vs. native</w:t>
            </w:r>
          </w:p>
        </w:tc>
        <w:tc>
          <w:tcPr>
            <w:tcW w:type="dxa" w:w="2000"/>
          </w:tcPr>
          <w:p>
            <w:r>
              <w:t xml:space="preserve">—</w:t>
            </w:r>
          </w:p>
        </w:tc>
        <w:tc>
          <w:tcPr>
            <w:tcW w:type="dxa" w:w="2000"/>
          </w:tcPr>
          <w:p>
            <w:r>
              <w:t xml:space="preserve">−2.2 dB</w:t>
            </w:r>
          </w:p>
        </w:tc>
        <w:tc>
          <w:tcPr>
            <w:tcW w:type="dxa" w:w="2000"/>
          </w:tcPr>
          <w:p>
            <w:r>
              <w:t xml:space="preserve">−1.1 dB</w:t>
            </w:r>
          </w:p>
        </w:tc>
      </w:tr>
    </w:tbl>
    <w:p>
      <w:pPr>
        <w:spacing w:after="160" w:before="160"/>
      </w:pPr>
    </w:p>
    <w:p>
      <w:pPr>
        <w:spacing w:after="120"/>
      </w:pPr>
      <w:r>
        <w:rPr>
          <w:b w:val="false"/>
          <w:bCs w:val="false"/>
          <w:i w:val="false"/>
          <w:iCs w:val="false"/>
        </w:rPr>
        <w:t xml:space="preserve">The naive-reuse penalty shrinks from ~5–6 dB at small scale to ~2.2 dB at full resolution (~1.0 dB on the corrected metric — see 10.1d). This is not a clean resolution effect: the small-scale test (10.7) was a single depth plane at 512×512, while this one is three planes at full resolution, and 10.2 already established that plane count alone degrades quality — so the shrinkage here conflates resolution and plane count rather than isolating either. Joint optimization recovers about half of the remaining gap on both the original and corrected scale.</w:t>
      </w:r>
    </w:p>
    <w:p>
      <w:pPr>
        <w:spacing w:after="160"/>
      </w:pPr>
      <w:r>
        <w:rPr>
          <w:i/>
          <w:iCs/>
          <w:color w:val="555555"/>
        </w:rPr>
        <w:t xml:space="preserve">Note: Figures in this section (9.3 / 7.1 / 8.2 dB) predate the metric correction in 10.1d. On the corrected scale: 6.8 / 5.8 / 6.3 dB, gaps of −1.0 dB and −0.5 dB rather than −2.2 dB and −1.1 dB — see Gap 9 for the corrected figures used going forward.</w:t>
      </w:r>
    </w:p>
    <w:p>
      <w:pPr>
        <w:spacing w:after="120"/>
      </w:pPr>
      <w:r>
        <w:rPr>
          <w:b w:val="false"/>
          <w:bCs w:val="false"/>
          <w:i w:val="false"/>
          <w:iCs w:val="false"/>
        </w:rPr>
        <w:t xml:space="preserve">This changes the compute/frame-rate framing from a binary choice into three real design points. Joint and native cost the same total FFT operations (same principle established in 10.3: total work is (constraints × iterations) regardless of how they're grouped) — the difference is that native's three separate phase patterns need 3 sub-frames to display (matching real hardware practice, per GAEA-2.1's CFS mode), while joint's single phase pattern fits in 1 sub-frame at intermediate quality. Naive reuse is cheapest of all — effectively free, since it needs no extra solving — at the worst quality cost.</w:t>
      </w:r>
    </w:p>
    <w:p>
      <w:pPr>
        <w:spacing w:after="160"/>
      </w:pPr>
      <w:r>
        <w:rPr>
          <w:i/>
          <w:iCs/>
          <w:color w:val="555555"/>
        </w:rPr>
        <w:t xml:space="preserve">Note: Joint multi-color optimization is a candidate this document is proposing from simulation, not a technique observed in any commercial product — worth raising directly with a panel supplier alongside the CFS question already in Section 8, since it implies a genuinely different addressing scheme than sequential color fields.</w:t>
      </w:r>
    </w:p>
    <w:p>
      <w:pPr>
        <w:pStyle w:val="Heading2"/>
        <w:spacing w:after="100" w:before="200"/>
      </w:pPr>
      <w:r>
        <w:rPr>
          <w:b/>
          <w:bCs/>
        </w:rPr>
        <w:t xml:space="preserve">10.8 Next steps</w:t>
      </w:r>
    </w:p>
    <w:p>
      <w:pPr>
        <w:spacing w:after="120"/>
      </w:pPr>
      <w:r>
        <w:rPr>
          <w:b w:val="false"/>
          <w:bCs w:val="false"/>
          <w:i w:val="false"/>
          <w:iCs w:val="false"/>
        </w:rPr>
        <w:t xml:space="preserve">The border-artifact investigation is closed out (10.4). The color question is closed out (10.7/10.7b) with a confirmed, three-way design tradeoff. The scene-plane sequential advantage is closed out (10.6) — confirmed reproducible across 5 seeds, now understood as a content-dependent exception rather than an open question. The compute estimate is closed out (10.1c) with a genuine end-to-end measurement, not an estimate. The amplitude/intensity metric bug is closed out (10.1d) — found, fixed, and every prior finding in this document re-verified against it with no qualitative reversals. Remaining:</w:t>
      </w:r>
    </w:p>
    <w:p>
      <w:pPr>
        <w:pStyle w:val="ListParagraph"/>
        <w:numPr>
          <w:ilvl w:val="0"/>
          <w:numId w:val="2"/>
        </w:numPr>
        <w:spacing w:after="100"/>
      </w:pPr>
      <w:r>
        <w:t xml:space="preserve">Establish a defensible target PSNR. The quality bar used throughout Section 10 is a placeholder with no derivation behind it. This is the one remaining item that cannot be resolved by further simulation — it needs either human perceptual testing or an optical engineer's calibrated judgment of what "acceptable" looks like through real waveguide optics. This is the natural handoff point from software validation to specialist input, not a gap in the testing effort.</w:t>
      </w:r>
    </w:p>
    <w:p>
      <w:pPr>
        <w:pStyle w:val="ListParagraph"/>
        <w:numPr>
          <w:ilvl w:val="0"/>
          <w:numId w:val="2"/>
        </w:numPr>
        <w:spacing w:after="100"/>
      </w:pPr>
      <w:r>
        <w:t xml:space="preserve">Test the capacity-sharing hypothesis in the 10.6 note directly: does the sequential advantage scale with a target's spatial-frequency content or coverage area? Would clarify which real use cases (text/UI vs. passthrough-style content) actually need the frame-rate cost — not blocking, lower priority than the item above.</w:t>
      </w:r>
    </w:p>
    <w:p>
      <w:pPr>
        <w:pStyle w:val="Heading1"/>
        <w:spacing w:after="150" w:before="300"/>
      </w:pPr>
      <w:r>
        <w:rPr>
          <w:b/>
          <w:bCs/>
        </w:rPr>
        <w:t xml:space="preserve">11. Closing Note</w:t>
      </w:r>
    </w:p>
    <w:p>
      <w:pPr>
        <w:spacing w:after="120"/>
      </w:pPr>
      <w:r>
        <w:rPr>
          <w:b w:val="false"/>
          <w:bCs w:val="false"/>
          <w:i w:val="false"/>
          <w:iCs w:val="false"/>
        </w:rPr>
        <w:t xml:space="preserve">Every number above is derived, not assumed — and every gap is sized, not hand-waved. The posture for specialist meetings is the same one used to build this document: state the physics plainly, name what doesn't close yet, and let the specificity of the question stand in for credibility that would otherwise have to be earned by pretending the gaps aren't there.</w:t>
      </w:r>
    </w:p>
    <w:p>
      <w:pPr>
        <w:spacing w:after="120"/>
      </w:pPr>
      <w:r>
        <w:rPr>
          <w:b w:val="false"/>
          <w:bCs w:val="false"/>
          <w:i w:val="false"/>
          <w:iCs w:val="false"/>
        </w:rPr>
        <w:t xml:space="preserve">Section 10 contains an example of that posture applied to its own earlier conclusion. An early revision reported a measured sequential-rendering quality advantage from a 512×512 result only; retesting at the document's actual target resolution found that advantage was absent for sparse content but real for dense, textured content — not a clean reversal, a content-dependent correction, and the revision here reports that nuance rather than either the original overclaim or an overcorrected vanishing. The investigation didn't stop at the surprising result — a border artifact discovered during the retest was run down through five eliminated hypotheses and one localizing test before being narrowed to the phase-retrieval algorithm's own iteration behavior, and that full record is kept in 10.4 specifically so the next person to touch this doesn't have to rediscover it. This is what the process is for: not just producing sharper numbers, but catching a wrong conclusion before it reached a specialist conversation or a funding commitment, at the cost of an afternoon of testing rather than a hardware decision made on the strength of a 512×512 result.</w:t>
      </w:r>
    </w:p>
    <w:p>
      <w:pPr>
        <w:spacing w:after="120"/>
      </w:pPr>
      <w:r>
        <w:rPr>
          <w:b w:val="false"/>
          <w:bCs w:val="false"/>
          <w:i w:val="false"/>
          <w:iCs w:val="false"/>
        </w:rPr>
        <w:t xml:space="preserve">Color was added as a gap several revisions back — nobody had asked whether single-wavelength assumptions mattered until it was tested directly, and it did, enough to plausibly multiply part of the compute and frame-rate budget. What this revision adds on top is the two findings that matter most for whether any of these numbers can be trusted at all: a genuine end-to-end compute measurement (10.1c) replacing every earlier estimate, and a measurement-bug investigation (10.1d) that traced a real unit mismatch back to the first script ever written for this project and then re-verified every prior finding against the fix rather than assuming it survived. That the document is still finding gaps of this size this many revisions in is not a failure of the earlier ones; it's the expected shape of this process. Gaps and errors get found in the order testing reaches them, not in the order of their importance, and the response each time is the same: measure it, size it, write it down, and change the plan rather than the finding.</w:t>
      </w:r>
    </w:p>
    <w:p>
      <w:pPr>
        <w:spacing w:after="120"/>
      </w:pPr>
      <w:r>
        <w:rPr>
          <w:b w:val="false"/>
          <w:bCs w:val="false"/>
          <w:i w:val="false"/>
          <w:iCs w:val="false"/>
        </w:rPr>
        <w:t xml:space="preserve">This revision also closes the loop the whole software-validation effort was building toward: a single, genuine, full-resolution, real-content, end-to-end compute measurement (10.1c), run to true convergence rather than a borrowed iteration count. It is a harder number than any earlier estimate — ~500× over the power budget, not 2.3× or 60× — and it is more trustworthy than any of them, precisely because it is one measurement rather than an assumption stacked on an assumption. Getting to it also surfaced a real measurement bug (10.1d) that had been present since the first line of code in this effort, silently miscalibrating every absolute quality figure in this document. It was found by checking a script's own numbers against each other rather than trusting either one, fixed once, and used to re-verify every prior finding systematically rather than selectively — none reversed. That combination is the entire point of this process: the most important number got harder, and the confidence behind every number around it got stronger, in the same revision.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2026-09-03T13:04:01.873Z</dcterms:created>
  <dcterms:modified xsi:type="dcterms:W3CDTF">2026-09-03T13:04:01.885Z</dcterms:modified>
</cp:coreProperties>
</file>

<file path=docProps/custom.xml><?xml version="1.0" encoding="utf-8"?>
<Properties xmlns="http://schemas.openxmlformats.org/officeDocument/2006/custom-properties" xmlns:vt="http://schemas.openxmlformats.org/officeDocument/2006/docPropsVTypes"/>
</file>