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2.1.15 | Lazarus 4.8 | Generated from repository documentation</w:t>
            </w:r>
          </w:p>
        </w:tc>
      </w:tr>
    </w:tbl>
    <w:p/>
    <w:p>
      <w:pPr>
        <w:pStyle w:val="Heading1"/>
      </w:pPr>
      <w:r>
        <w:t>LazRibbon Manual</w:t>
      </w:r>
    </w:p>
    <w:p>
      <w:r>
        <w:t>Target: LazRibbon 2.1.15,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xml:space="preserve">; this manual turns that surface into a usage guide. The component-level governance view is generated in </w:t>
      </w:r>
      <w:r>
        <w:rPr>
          <w:rFonts w:ascii="Consolas" w:hAnsi="Consolas"/>
          <w:sz w:val="19"/>
        </w:rPr>
        <w:t>docs/quality/COMPONENT_API_GOVERNANCE_2_1.md</w:t>
      </w:r>
      <w:r>
        <w:t>.</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2.1.15 -ReleaseVersion 2.1.15 -OutputDirectory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 Form</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r>
        <w:t xml:space="preserve">With the design-time package installed, a quicker first pass is available from the </w:t>
      </w:r>
      <w:r>
        <w:rPr>
          <w:rFonts w:ascii="Consolas" w:hAnsi="Consolas"/>
          <w:sz w:val="19"/>
        </w:rPr>
        <w:t>TLazRibbon</w:t>
      </w:r>
      <w:r>
        <w:t xml:space="preserve"> component editor. Right-click the Ribbon and choose </w:t>
      </w:r>
      <w:r>
        <w:rPr>
          <w:rFonts w:ascii="Consolas" w:hAnsi="Consolas"/>
          <w:sz w:val="19"/>
        </w:rPr>
        <w:t>Add starter Ribbon layout</w:t>
      </w:r>
      <w:r>
        <w:t xml:space="preserve"> to generate an Office-like starter composition with normal tabs, a contextual tab, starter commands, title-bar Quick Access Toolbar, a linked </w:t>
      </w:r>
      <w:r>
        <w:rPr>
          <w:rFonts w:ascii="Consolas" w:hAnsi="Consolas"/>
          <w:sz w:val="19"/>
        </w:rPr>
        <w:t>TLazRibbonSkinManager</w:t>
      </w:r>
      <w:r>
        <w:t>, and a linked BackStage with starter pages and navigation buttons. This is only a scaffold: rename captions, assign images, actions and event handlers before using it in a real application.</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pPr>
        <w:pStyle w:val="CodeBlock"/>
      </w:pPr>
      <w:r>
        <w:t>powershell -ExecutionPolicy Bypass -File tools\export_component_api_governance_2_1.ps1 -OutputPath docs\quality\COMPONENT_API_GOVERNANCE_2_1.md</w:t>
      </w:r>
    </w:p>
    <w:p>
      <w:pPr>
        <w:pStyle w:val="CodeBlock"/>
      </w:pPr>
      <w:r>
        <w:t>powershell -ExecutionPolicy Bypass -File tools\export_professional_readiness_2_1.ps1 -OutputPath docs\quality\PROFESSIONAL_READINESS_2_1.md</w:t>
      </w:r>
    </w:p>
    <w:p>
      <w:r>
        <w:t>Then run:</w:t>
      </w:r>
    </w:p>
    <w:p>
      <w:pPr>
        <w:pStyle w:val="CodeBlock"/>
      </w:pPr>
      <w:r>
        <w:rPr>
          <w:b/>
        </w:rPr>
        <w:t>[powershell]</w:t>
      </w:r>
    </w:p>
    <w:p>
      <w:pPr>
        <w:pStyle w:val="CodeBlock"/>
      </w:pPr>
      <w:r>
        <w:t>powershell -ExecutionPolicy Bypass -File tools\check_project_consistency.ps1 -ExpectedVersion 2.1.15</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