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2.1.14 | Lazarus 4.8 | Generated from repository documentation</w:t>
            </w:r>
          </w:p>
        </w:tc>
      </w:tr>
    </w:tbl>
    <w:p/>
    <w:p>
      <w:pPr>
        <w:pStyle w:val="Heading1"/>
      </w:pPr>
      <w:r>
        <w:t>LazRibbon Manual</w:t>
      </w:r>
    </w:p>
    <w:p>
      <w:r>
        <w:t>Target: LazRibbon 2.1.14,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xml:space="preserve">; this manual turns that surface into a usage guide. The component-level governance view is generated in </w:t>
      </w:r>
      <w:r>
        <w:rPr>
          <w:rFonts w:ascii="Consolas" w:hAnsi="Consolas"/>
          <w:sz w:val="19"/>
        </w:rPr>
        <w:t>docs/quality/COMPONENT_API_GOVERNANCE_2_1.md</w:t>
      </w:r>
      <w:r>
        <w:t>.</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2.1.14 -ReleaseVersion 2.1.14 -OutputDirectory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 Form</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tools\export_component_api_governance_2_1.ps1 -OutputPath docs\quality\COMPONENT_API_GOVERNANCE_2_1.md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2.1.14</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