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2.1.19 | Lazarus 4.8 | Generated from repository documentation</w:t>
            </w:r>
          </w:p>
        </w:tc>
      </w:tr>
    </w:tbl>
    <w:p/>
    <w:p>
      <w:pPr>
        <w:pStyle w:val="Heading1"/>
      </w:pPr>
      <w:r>
        <w:t>LazRibbon Manual</w:t>
      </w:r>
    </w:p>
    <w:p>
      <w:r>
        <w:t>Target: LazRibbon 2.1.19,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xml:space="preserve">; this manual turns that surface into a usage guide. The component-level governance view is generated in </w:t>
      </w:r>
      <w:r>
        <w:rPr>
          <w:rFonts w:ascii="Consolas" w:hAnsi="Consolas"/>
          <w:sz w:val="19"/>
        </w:rPr>
        <w:t>docs/quality/COMPONENT_API_GOVERNANCE_2_1.md</w:t>
      </w:r>
      <w:r>
        <w:t>.</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2.1.19 -ReleaseVersion 2.1.19 -OutputDirectory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 Form</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r>
        <w:t xml:space="preserve">With the design-time package installed, a quicker first pass is available from the </w:t>
      </w:r>
      <w:r>
        <w:rPr>
          <w:rFonts w:ascii="Consolas" w:hAnsi="Consolas"/>
          <w:sz w:val="19"/>
        </w:rPr>
        <w:t>TLazRibbon</w:t>
      </w:r>
      <w:r>
        <w:t xml:space="preserve"> component editor. Right-click the Ribbon and choose </w:t>
      </w:r>
      <w:r>
        <w:rPr>
          <w:rFonts w:ascii="Consolas" w:hAnsi="Consolas"/>
          <w:sz w:val="19"/>
        </w:rPr>
        <w:t>Add starter Ribbon layout</w:t>
      </w:r>
      <w:r>
        <w:t xml:space="preserve"> to generate an Office-like starter composition with normal tabs, a contextual tab, starter commands, title-bar Quick Access Toolbar, a linked </w:t>
      </w:r>
      <w:r>
        <w:rPr>
          <w:rFonts w:ascii="Consolas" w:hAnsi="Consolas"/>
          <w:sz w:val="19"/>
        </w:rPr>
        <w:t>TLazRibbonSkinManager</w:t>
      </w:r>
      <w:r>
        <w:t>, and a linked BackStage with starter pages and navigation buttons. This is only a scaffold: rename captions, assign images, actions and event handlers before using it in a real application.</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r>
        <w:rPr>
          <w:rFonts w:ascii="Consolas" w:hAnsi="Consolas"/>
          <w:sz w:val="19"/>
        </w:rPr>
        <w:t>Position=qapBeforeTabs</w:t>
      </w:r>
      <w:r>
        <w:t xml:space="preserve"> draws the QAT first, followed by the Application/Arquivo button and the normal tabs. </w:t>
      </w:r>
      <w:r>
        <w:rPr>
          <w:rFonts w:ascii="Consolas" w:hAnsi="Consolas"/>
          <w:sz w:val="19"/>
        </w:rPr>
        <w:t>Position=qapTitleBar</w:t>
      </w:r>
      <w:r>
        <w:t xml:space="preserve"> draws it in the visible custom title bar supplied by </w:t>
      </w:r>
      <w:r>
        <w:rPr>
          <w:rFonts w:ascii="Consolas" w:hAnsi="Consolas"/>
          <w:sz w:val="19"/>
        </w:rPr>
        <w:t>TLazRibbonForm</w:t>
      </w:r>
      <w:r>
        <w:t xml:space="preserve">. If that host is not available, LazRibbon keeps the configured value but renders the QAT in the before-tabs position so commands do not disappear. </w:t>
      </w:r>
      <w:r>
        <w:rPr>
          <w:rFonts w:ascii="Consolas" w:hAnsi="Consolas"/>
          <w:sz w:val="19"/>
        </w:rPr>
        <w:t>qapBelowRibbon</w:t>
      </w:r>
      <w:r>
        <w:t xml:space="preserve"> uses its own narrow row below the Ribbon contents.</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rPr>
          <w:rFonts w:ascii="Consolas" w:hAnsi="Consolas"/>
          <w:sz w:val="19"/>
        </w:rPr>
        <w:t>Kind</w:t>
      </w:r>
      <w:r>
        <w:t xml:space="preserve"> does not choose icon size. Page and command items use </w:t>
      </w:r>
      <w:r>
        <w:rPr>
          <w:rFonts w:ascii="Consolas" w:hAnsi="Consolas"/>
          <w:sz w:val="19"/>
        </w:rPr>
        <w:t>Images</w:t>
      </w:r>
      <w:r>
        <w:t xml:space="preserve"> and </w:t>
      </w:r>
      <w:r>
        <w:rPr>
          <w:rFonts w:ascii="Consolas" w:hAnsi="Consolas"/>
          <w:sz w:val="19"/>
        </w:rPr>
        <w:t>ImageIndex</w:t>
      </w:r>
      <w:r>
        <w:t xml:space="preserve"> by default. Assign </w:t>
      </w:r>
      <w:r>
        <w:rPr>
          <w:rFonts w:ascii="Consolas" w:hAnsi="Consolas"/>
          <w:sz w:val="19"/>
        </w:rPr>
        <w:t>LargeImageIndex</w:t>
      </w:r>
      <w:r>
        <w:t xml:space="preserve"> only when that specific item must use </w:t>
      </w:r>
      <w:r>
        <w:rPr>
          <w:rFonts w:ascii="Consolas" w:hAnsi="Consolas"/>
          <w:sz w:val="19"/>
        </w:rPr>
        <w:t>LargeImages</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ImageIndex</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r>
        <w:rPr>
          <w:rFonts w:ascii="Consolas" w:hAnsi="Consolas"/>
          <w:sz w:val="19"/>
        </w:rPr>
        <w:t>ImageIndex</w:t>
      </w:r>
      <w:r>
        <w:t xml:space="preserve"> identifies the page in the parent BackStage navigation. A linked button's explicit </w:t>
      </w:r>
      <w:r>
        <w:rPr>
          <w:rFonts w:ascii="Consolas" w:hAnsi="Consolas"/>
          <w:sz w:val="19"/>
        </w:rPr>
        <w:t>ImageIndex</w:t>
      </w:r>
      <w:r>
        <w:t xml:space="preserve"> takes priority; otherwise the page value is used.</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CloseBackstageOnClick</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r>
        <w:t xml:space="preserve">The normal Office-like flow is automatic: </w:t>
      </w:r>
      <w:r>
        <w:rPr>
          <w:rFonts w:ascii="Consolas" w:hAnsi="Consolas"/>
          <w:sz w:val="19"/>
        </w:rPr>
        <w:t>OnItemClick</w:t>
      </w:r>
      <w:r>
        <w:t xml:space="preserve"> first receives the selected title and detail so the application can open the document; when the handler returns, the containing BackStage closes and the main screen becomes visible again. Set </w:t>
      </w:r>
      <w:r>
        <w:rPr>
          <w:rFonts w:ascii="Consolas" w:hAnsi="Consolas"/>
          <w:sz w:val="19"/>
        </w:rPr>
        <w:t>CloseBackstageOnClick</w:t>
      </w:r>
      <w:r>
        <w:t xml:space="preserve"> to </w:t>
      </w:r>
      <w:r>
        <w:rPr>
          <w:rFonts w:ascii="Consolas" w:hAnsi="Consolas"/>
          <w:sz w:val="19"/>
        </w:rPr>
        <w:t>False</w:t>
      </w:r>
      <w:r>
        <w:t xml:space="preserve"> only when the workflow must remain in BackStage after the selection.</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pPr>
        <w:pStyle w:val="CodeBlock"/>
      </w:pPr>
      <w:r>
        <w:t>powershell -ExecutionPolicy Bypass -File tools\export_component_api_governance_2_1.ps1 -OutputPath docs\quality\COMPONENT_API_GOVERNANCE_2_1.md</w:t>
      </w:r>
    </w:p>
    <w:p>
      <w:pPr>
        <w:pStyle w:val="CodeBlock"/>
      </w:pPr>
      <w:r>
        <w:t>powershell -ExecutionPolicy Bypass -File tools\export_professional_readiness_2_1.ps1 -OutputPath docs\quality\PROFESSIONAL_READINESS_2_1.md</w:t>
      </w:r>
    </w:p>
    <w:p>
      <w:r>
        <w:t>Then run:</w:t>
      </w:r>
    </w:p>
    <w:p>
      <w:pPr>
        <w:pStyle w:val="CodeBlock"/>
      </w:pPr>
      <w:r>
        <w:rPr>
          <w:b/>
        </w:rPr>
        <w:t>[powershell]</w:t>
      </w:r>
    </w:p>
    <w:p>
      <w:pPr>
        <w:pStyle w:val="CodeBlock"/>
      </w:pPr>
      <w:r>
        <w:t>powershell -ExecutionPolicy Bypass -File tools\check_project_consistency.ps1 -ExpectedVersion 2.1.19</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