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一个模型针对不同的用户展示不同的界面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"https://github.com/osbzr/gooderp_addons/blob/master/core/core_view.xml" \l "L192"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https://github.com/osbzr/gooderp_addons/blob/master/core/core_view.xml#L192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3305810"/>
            <wp:effectExtent l="0" t="0" r="8255" b="8890"/>
            <wp:docPr id="4" name="图片 4" descr="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347720"/>
            <wp:effectExtent l="0" t="0" r="2540" b="508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770" cy="3672205"/>
            <wp:effectExtent l="0" t="0" r="5080" b="444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3815" cy="4095115"/>
            <wp:effectExtent l="0" t="0" r="635" b="63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测试并发登陆问题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115" cy="3504565"/>
            <wp:effectExtent l="0" t="0" r="635" b="635"/>
            <wp:docPr id="6" name="图片 6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142740" cy="933450"/>
            <wp:effectExtent l="0" t="0" r="10160" b="0"/>
            <wp:docPr id="5" name="图片 5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4AE5"/>
    <w:multiLevelType w:val="singleLevel"/>
    <w:tmpl w:val="57954AE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5613B"/>
    <w:rsid w:val="638A00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caofa</dc:creator>
  <cp:lastModifiedBy>Cao Fa</cp:lastModifiedBy>
  <dcterms:modified xsi:type="dcterms:W3CDTF">2016-07-24T23:09:06Z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