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REAL-WORLD DATA / REAL-WORLD EVIDENCE</w:t>
        <w:br/>
        <w:t>Critical Appraisal Checklist</w:t>
      </w:r>
    </w:p>
    <w:p>
      <w:pPr>
        <w:jc w:val="center"/>
      </w:pPr>
      <w:r>
        <w:rPr>
          <w:b/>
          <w:sz w:val="22"/>
        </w:rPr>
        <w:t>What makes a study credible — and the 10 fatal errors that can invalidate it</w:t>
      </w:r>
    </w:p>
    <w:p>
      <w:pPr>
        <w:jc w:val="center"/>
      </w:pPr>
      <w:r>
        <w:rPr>
          <w:i/>
        </w:rPr>
        <w:t>Evidence synthesis: FDA, EMA, ICH M14, ENCePP, RECORD-PE, STaRT-RWE, target-trial and causal-inference literature. Updated September 2026.</w:t>
      </w:r>
    </w:p>
    <w:p>
      <w:r>
        <w:rPr>
          <w:b/>
          <w:color w:val="17365D"/>
        </w:rPr>
        <w:t xml:space="preserve">CORE PRINCIPLE  </w:t>
      </w:r>
      <w:r>
        <w:t>The size of a database does not compensate for a bad causal design. A strong RWD study must show that the data are fit for the question, that time zero and comparators are valid, that confounding and measurement error are addressed, and that the analysis was pre-specified and stress-tested.</w:t>
      </w:r>
    </w:p>
    <w:p>
      <w:pPr>
        <w:pStyle w:val="Heading1"/>
      </w:pPr>
      <w:r>
        <w:t>Checklist A — Positive features to look for</w:t>
      </w:r>
    </w:p>
    <w:p>
      <w:pPr>
        <w:pStyle w:val="ListBullet"/>
      </w:pPr>
      <w:r>
        <w:rPr>
          <w:b/>
        </w:rPr>
        <w:t xml:space="preserve">☐ 1. A precise causal question: </w:t>
      </w:r>
      <w:r>
        <w:t>Population, intervention/exposure, comparator, outcome, time horizon and estimand are explicitly defined. The paper distinguishes descriptive association from causal effect.</w:t>
      </w:r>
    </w:p>
    <w:p>
      <w:pPr>
        <w:pStyle w:val="ListBullet"/>
      </w:pPr>
      <w:r>
        <w:rPr>
          <w:b/>
        </w:rPr>
        <w:t xml:space="preserve">☐ 2. Target-trial logic: </w:t>
      </w:r>
      <w:r>
        <w:t>Eligibility, treatment strategies, assignment, time zero, follow-up, outcomes and analysis are aligned as if emulating a pragmatic randomized trial.</w:t>
      </w:r>
    </w:p>
    <w:p>
      <w:pPr>
        <w:pStyle w:val="ListBullet"/>
      </w:pPr>
      <w:r>
        <w:rPr>
          <w:b/>
        </w:rPr>
        <w:t xml:space="preserve">☐ 3. Data are fit-for-purpose: </w:t>
      </w:r>
      <w:r>
        <w:t>The source has the needed population, exposure, outcomes, covariates, follow-up and timing granularity. Data provenance, completeness, accuracy, traceability and timeliness are described.</w:t>
      </w:r>
    </w:p>
    <w:p>
      <w:pPr>
        <w:pStyle w:val="ListBullet"/>
      </w:pPr>
      <w:r>
        <w:rPr>
          <w:b/>
        </w:rPr>
        <w:t xml:space="preserve">☐ 4. Appropriate comparator: </w:t>
      </w:r>
      <w:r>
        <w:t>For comparative effectiveness/safety, an active comparator with a similar clinical indication is preferred when feasible, reducing confounding by indication.</w:t>
      </w:r>
    </w:p>
    <w:p>
      <w:pPr>
        <w:pStyle w:val="ListBullet"/>
      </w:pPr>
      <w:r>
        <w:rPr>
          <w:b/>
        </w:rPr>
        <w:t xml:space="preserve">☐ 5. New-user design when appropriate: </w:t>
      </w:r>
      <w:r>
        <w:t>Exposure is assessed at initiation rather than after surviving a period of prevalent use; baseline covariates are measured before exposure starts.</w:t>
      </w:r>
    </w:p>
    <w:p>
      <w:pPr>
        <w:pStyle w:val="ListBullet"/>
      </w:pPr>
      <w:r>
        <w:rPr>
          <w:b/>
        </w:rPr>
        <w:t xml:space="preserve">☐ 6. Time zero is correct: </w:t>
      </w:r>
      <w:r>
        <w:t>Eligibility, exposure assignment and start of outcome follow-up coincide. No future information is used to classify baseline exposure or eligibility.</w:t>
      </w:r>
    </w:p>
    <w:p>
      <w:pPr>
        <w:pStyle w:val="ListBullet"/>
      </w:pPr>
      <w:r>
        <w:rPr>
          <w:b/>
        </w:rPr>
        <w:t xml:space="preserve">☐ 7. Confounders are clinically and causally justified: </w:t>
      </w:r>
      <w:r>
        <w:t>Important confounding domains are defined a priori using clinical knowledge and, ideally, causal diagrams—not simply selected by p values.</w:t>
      </w:r>
    </w:p>
    <w:p>
      <w:pPr>
        <w:pStyle w:val="ListBullet"/>
      </w:pPr>
      <w:r>
        <w:rPr>
          <w:b/>
        </w:rPr>
        <w:t xml:space="preserve">☐ 8. Balance and positivity are demonstrated: </w:t>
      </w:r>
      <w:r>
        <w:t>After matching/weighting/adjustment, standardized differences and overlap are shown. There are enough comparable patients in all exposure groups.</w:t>
      </w:r>
    </w:p>
    <w:p>
      <w:pPr>
        <w:pStyle w:val="ListBullet"/>
      </w:pPr>
      <w:r>
        <w:rPr>
          <w:b/>
        </w:rPr>
        <w:t xml:space="preserve">☐ 9. Exposure is measured credibly: </w:t>
      </w:r>
      <w:r>
        <w:t>Prescription, dispensing, administration and adherence are not treated as interchangeable without justification. Grace periods, switching, discontinuation and dose changes are explicit.</w:t>
      </w:r>
    </w:p>
    <w:p>
      <w:pPr>
        <w:pStyle w:val="ListBullet"/>
      </w:pPr>
      <w:r>
        <w:rPr>
          <w:b/>
        </w:rPr>
        <w:t xml:space="preserve">☐ 10. Outcomes are valid: </w:t>
      </w:r>
      <w:r>
        <w:t>Outcome definitions/phenotypes use validated algorithms or a defensible reference standard; PPV/sensitivity/specificity or chart validation is reported when relevant.</w:t>
      </w:r>
    </w:p>
    <w:p>
      <w:pPr>
        <w:pStyle w:val="ListBullet"/>
      </w:pPr>
      <w:r>
        <w:rPr>
          <w:b/>
        </w:rPr>
        <w:t xml:space="preserve">☐ 11. Missing data are characterized: </w:t>
      </w:r>
      <w:r>
        <w:t>Extent, pattern and likely mechanism of missingness are reported. Complete-case analysis is not used reflexively; imputation or weighting assumptions are explicit.</w:t>
      </w:r>
    </w:p>
    <w:p>
      <w:pPr>
        <w:pStyle w:val="ListBullet"/>
      </w:pPr>
      <w:r>
        <w:rPr>
          <w:b/>
        </w:rPr>
        <w:t xml:space="preserve">☐ 12. Censoring and competing events are handled correctly: </w:t>
      </w:r>
      <w:r>
        <w:t>Loss to follow-up, treatment changes, death and competing risks are aligned with the estimand and handled with appropriate methods.</w:t>
      </w:r>
    </w:p>
    <w:p>
      <w:pPr>
        <w:pStyle w:val="ListBullet"/>
      </w:pPr>
      <w:r>
        <w:rPr>
          <w:b/>
        </w:rPr>
        <w:t xml:space="preserve">☐ 13. Model assumptions are checked: </w:t>
      </w:r>
      <w:r>
        <w:t>Functional form, proportional hazards (if Cox), extreme weights, model calibration/diagnostics, clustering and repeated observations are considered.</w:t>
      </w:r>
    </w:p>
    <w:p>
      <w:pPr>
        <w:pStyle w:val="ListBullet"/>
      </w:pPr>
      <w:r>
        <w:rPr>
          <w:b/>
        </w:rPr>
        <w:t xml:space="preserve">☐ 14. Absolute effects are reported: </w:t>
      </w:r>
      <w:r>
        <w:t>Event rates, risk differences and/or absolute risks accompany relative measures, with confidence intervals and clinically meaningful time horizons.</w:t>
      </w:r>
    </w:p>
    <w:p>
      <w:pPr>
        <w:pStyle w:val="ListBullet"/>
      </w:pPr>
      <w:r>
        <w:rPr>
          <w:b/>
        </w:rPr>
        <w:t xml:space="preserve">☐ 15. Robust sensitivity analyses: </w:t>
      </w:r>
      <w:r>
        <w:t>Alternative exposure/outcome definitions, lag windows, analytic approaches, truncation of weights and other reasonable design choices do not overturn the inference.</w:t>
      </w:r>
    </w:p>
    <w:p>
      <w:pPr>
        <w:pStyle w:val="ListBullet"/>
      </w:pPr>
      <w:r>
        <w:rPr>
          <w:b/>
        </w:rPr>
        <w:t xml:space="preserve">☐ 16. Residual confounding is actively probed: </w:t>
      </w:r>
      <w:r>
        <w:t>Negative-control outcomes/exposures, positive controls, quantitative bias analysis and/or E-values are used when appropriate rather than merely stating “residual confounding may remain.”</w:t>
      </w:r>
    </w:p>
    <w:p>
      <w:pPr>
        <w:pStyle w:val="ListBullet"/>
      </w:pPr>
      <w:r>
        <w:rPr>
          <w:b/>
        </w:rPr>
        <w:t xml:space="preserve">☐ 17. Prespecified protocol and SAP: </w:t>
      </w:r>
      <w:r>
        <w:t>The study protocol/statistical analysis plan is dated, registered or otherwise documented before outcome-driven analytic choices. Deviations are clearly labelled.</w:t>
      </w:r>
    </w:p>
    <w:p>
      <w:pPr>
        <w:pStyle w:val="ListBullet"/>
      </w:pPr>
      <w:r>
        <w:rPr>
          <w:b/>
        </w:rPr>
        <w:t xml:space="preserve">☐ 18. Transparent code lists and implementation: </w:t>
      </w:r>
      <w:r>
        <w:t>ICD/CPT/ATC/NDC/laboratory code lists, algorithms, washout periods, look-back windows and cohort flow are available or reproducible.</w:t>
      </w:r>
    </w:p>
    <w:p>
      <w:pPr>
        <w:pStyle w:val="ListBullet"/>
      </w:pPr>
      <w:r>
        <w:rPr>
          <w:b/>
        </w:rPr>
        <w:t xml:space="preserve">☐ 19. Results are stable across clinically relevant subgroups: </w:t>
      </w:r>
      <w:r>
        <w:t>Effect heterogeneity is tested with interaction methods, not by comparing significance across strata; subgroup analyses are limited and prespecified where possible.</w:t>
      </w:r>
    </w:p>
    <w:p>
      <w:pPr>
        <w:pStyle w:val="ListBullet"/>
      </w:pPr>
      <w:r>
        <w:rPr>
          <w:b/>
        </w:rPr>
        <w:t xml:space="preserve">☐ 20. Conclusions match the design: </w:t>
      </w:r>
      <w:r>
        <w:t>The wording respects residual uncertainty. Observational associations are not upgraded to causal claims unless identification assumptions are explicit and credible.</w:t>
      </w:r>
    </w:p>
    <w:p>
      <w:pPr>
        <w:pStyle w:val="Heading1"/>
      </w:pPr>
      <w:r>
        <w:t>Checklist B — The 10 fatal errors</w:t>
      </w:r>
    </w:p>
    <w:p>
      <w:r>
        <w:rPr>
          <w:b/>
          <w:color w:val="961E1E"/>
        </w:rPr>
        <w:t>☠ 1. Broken time zero / immortal-time bias</w:t>
      </w:r>
    </w:p>
    <w:p>
      <w:pPr>
        <w:ind w:left="259"/>
      </w:pPr>
      <w:r>
        <w:t>Exposure is defined using information that occurs after follow-up begins, or treatment initiation, eligibility and outcome counting are misaligned. This can create an artificial survival advantage.</w:t>
      </w:r>
    </w:p>
    <w:p>
      <w:r>
        <w:rPr>
          <w:b/>
          <w:color w:val="961E1E"/>
        </w:rPr>
        <w:t>☠ 2. Confounding by indication masquerading as treatment effect</w:t>
      </w:r>
    </w:p>
    <w:p>
      <w:pPr>
        <w:ind w:left="259"/>
      </w:pPr>
      <w:r>
        <w:t>Patients receive one therapy because they are sicker, healthier, frailer or have a different prognosis, and those factors are inadequately measured or adjusted.</w:t>
      </w:r>
    </w:p>
    <w:p>
      <w:r>
        <w:rPr>
          <w:b/>
          <w:color w:val="961E1E"/>
        </w:rPr>
        <w:t>☠ 3. An invalid comparator</w:t>
      </w:r>
    </w:p>
    <w:p>
      <w:pPr>
        <w:ind w:left="259"/>
      </w:pPr>
      <w:r>
        <w:t>Comparing treated patients with “non-users” when non-users differ fundamentally in healthcare-seeking behavior, disease severity or eligibility for treatment can make adjustment irreparable.</w:t>
      </w:r>
    </w:p>
    <w:p>
      <w:r>
        <w:rPr>
          <w:b/>
          <w:color w:val="961E1E"/>
        </w:rPr>
        <w:t>☠ 4. Prevalent-user / survivor bias</w:t>
      </w:r>
    </w:p>
    <w:p>
      <w:pPr>
        <w:ind w:left="259"/>
      </w:pPr>
      <w:r>
        <w:t>Including established users preferentially selects people who already tolerated and survived treatment, while early harms and discontinuers disappear from the cohort.</w:t>
      </w:r>
    </w:p>
    <w:p>
      <w:r>
        <w:rPr>
          <w:b/>
          <w:color w:val="961E1E"/>
        </w:rPr>
        <w:t>☠ 5. Positivity failure / no empirical overlap</w:t>
      </w:r>
    </w:p>
    <w:p>
      <w:pPr>
        <w:ind w:left="259"/>
      </w:pPr>
      <w:r>
        <w:t>Some patient profiles have essentially zero probability of receiving one comparator. The model extrapolates treatment effects into populations in which the data contain no credible counterfactual.</w:t>
      </w:r>
    </w:p>
    <w:p>
      <w:r>
        <w:rPr>
          <w:b/>
          <w:color w:val="961E1E"/>
        </w:rPr>
        <w:t>☠ 6. Critical exposure or outcome misclassification</w:t>
      </w:r>
    </w:p>
    <w:p>
      <w:pPr>
        <w:ind w:left="259"/>
      </w:pPr>
      <w:r>
        <w:t>A claims/EHR code is assumed to represent true treatment or disease without validation, or measurement differs between groups. Large N makes a biased estimate more precise—not more valid.</w:t>
      </w:r>
    </w:p>
    <w:p>
      <w:r>
        <w:rPr>
          <w:b/>
          <w:color w:val="961E1E"/>
        </w:rPr>
        <w:t>☠ 7. Conditioning on post-exposure variables or colliders</w:t>
      </w:r>
    </w:p>
    <w:p>
      <w:pPr>
        <w:ind w:left="259"/>
      </w:pPr>
      <w:r>
        <w:t>Adjustment includes mediators, consequences of treatment, post-baseline eligibility variables or colliders, creating or distorting associations rather than removing bias.</w:t>
      </w:r>
    </w:p>
    <w:p>
      <w:r>
        <w:rPr>
          <w:b/>
          <w:color w:val="961E1E"/>
        </w:rPr>
        <w:t>☠ 8. Informative missingness, censoring or loss to follow-up ignored</w:t>
      </w:r>
    </w:p>
    <w:p>
      <w:pPr>
        <w:ind w:left="259"/>
      </w:pPr>
      <w:r>
        <w:t>Missing covariates/outcomes or treatment discontinuation are related to prognosis or exposure, yet are treated as random or simply deleted.</w:t>
      </w:r>
    </w:p>
    <w:p>
      <w:r>
        <w:rPr>
          <w:b/>
          <w:color w:val="961E1E"/>
        </w:rPr>
        <w:t>☠ 9. Researcher degrees of freedom / outcome-driven analysis</w:t>
      </w:r>
    </w:p>
    <w:p>
      <w:pPr>
        <w:ind w:left="259"/>
      </w:pPr>
      <w:r>
        <w:t>Cohort definitions, windows, endpoints, covariates, subgroup cutoffs or models are repeatedly altered after seeing results without a prespecified protocol, enabling p-hacking and selective reporting.</w:t>
      </w:r>
    </w:p>
    <w:p>
      <w:r>
        <w:rPr>
          <w:b/>
          <w:color w:val="961E1E"/>
        </w:rPr>
        <w:t>☠ 10. Causal overclaim unsupported by sensitivity analyses</w:t>
      </w:r>
    </w:p>
    <w:p>
      <w:pPr>
        <w:ind w:left="259"/>
      </w:pPr>
      <w:r>
        <w:t>A small adjusted association is presented as causal despite plausible unmeasured confounding, measurement error, selection bias, or lack of negative controls/quantitative sensitivity analyses.</w:t>
      </w:r>
    </w:p>
    <w:p>
      <w:pPr>
        <w:pStyle w:val="Heading1"/>
      </w:pPr>
      <w:r>
        <w:t>60-second screen: can I trust this paper enough to keep reading?</w:t>
      </w:r>
    </w:p>
    <w:p>
      <w:pPr>
        <w:pStyle w:val="ListBullet"/>
      </w:pPr>
      <w:r>
        <w:t>☐ Can I state the target trial (who, what treatment, compared with what, starting when, outcome by when)?</w:t>
      </w:r>
    </w:p>
    <w:p>
      <w:pPr>
        <w:pStyle w:val="ListBullet"/>
      </w:pPr>
      <w:r>
        <w:t>☐ Do eligibility, exposure assignment and follow-up all start at the same time?</w:t>
      </w:r>
    </w:p>
    <w:p>
      <w:pPr>
        <w:pStyle w:val="ListBullet"/>
      </w:pPr>
      <w:r>
        <w:t>☐ Is the comparator clinically substitutable?</w:t>
      </w:r>
    </w:p>
    <w:p>
      <w:pPr>
        <w:pStyle w:val="ListBullet"/>
      </w:pPr>
      <w:r>
        <w:t>☐ Does the dataset actually measure the key confounders and outcomes needed for this question?</w:t>
      </w:r>
    </w:p>
    <w:p>
      <w:pPr>
        <w:pStyle w:val="ListBullet"/>
      </w:pPr>
      <w:r>
        <w:t>☐ Are balance and overlap shown, not just a propensity-score method named?</w:t>
      </w:r>
    </w:p>
    <w:p>
      <w:pPr>
        <w:pStyle w:val="ListBullet"/>
      </w:pPr>
      <w:r>
        <w:t>☐ Are outcome/exposure algorithms validated or at least justified?</w:t>
      </w:r>
    </w:p>
    <w:p>
      <w:pPr>
        <w:pStyle w:val="ListBullet"/>
      </w:pPr>
      <w:r>
        <w:t>☐ Was the protocol/SAP prespecified, and are code lists/definitions transparent?</w:t>
      </w:r>
    </w:p>
    <w:p>
      <w:pPr>
        <w:pStyle w:val="ListBullet"/>
      </w:pPr>
      <w:r>
        <w:t>☐ Would one plausible unmeasured confounder or alternative definition erase the result?</w:t>
      </w:r>
    </w:p>
    <w:p>
      <w:pPr>
        <w:pStyle w:val="ListBullet"/>
      </w:pPr>
      <w:r>
        <w:t>☐ Are absolute effects clinically meaningful?</w:t>
      </w:r>
    </w:p>
    <w:p>
      <w:pPr>
        <w:pStyle w:val="ListBullet"/>
      </w:pPr>
      <w:r>
        <w:t>☐ Does the conclusion remain within what an observational design can identify?</w:t>
      </w:r>
    </w:p>
    <w:p>
      <w:pPr>
        <w:pStyle w:val="Heading1"/>
      </w:pPr>
      <w:r>
        <w:t>Practical grading</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tcPr>
          <w:p>
            <w:r>
              <w:t>Grade</w:t>
            </w:r>
          </w:p>
        </w:tc>
        <w:tc>
          <w:tcPr>
            <w:tcW w:type="dxa" w:w="3389"/>
            <w:vAlign w:val="center"/>
          </w:tcPr>
          <w:p>
            <w:r>
              <w:t>Interpretation</w:t>
            </w:r>
          </w:p>
        </w:tc>
        <w:tc>
          <w:tcPr>
            <w:tcW w:type="dxa" w:w="3389"/>
            <w:vAlign w:val="center"/>
          </w:tcPr>
          <w:p>
            <w:r>
              <w:t>Practical meaning</w:t>
            </w:r>
          </w:p>
        </w:tc>
      </w:tr>
      <w:tr>
        <w:tc>
          <w:tcPr>
            <w:tcW w:type="dxa" w:w="3389"/>
          </w:tcPr>
          <w:p>
            <w:r>
              <w:t>A</w:t>
            </w:r>
          </w:p>
        </w:tc>
        <w:tc>
          <w:tcPr>
            <w:tcW w:type="dxa" w:w="3389"/>
          </w:tcPr>
          <w:p>
            <w:r>
              <w:t>High credibility</w:t>
            </w:r>
          </w:p>
        </w:tc>
        <w:tc>
          <w:tcPr>
            <w:tcW w:type="dxa" w:w="3389"/>
          </w:tcPr>
          <w:p>
            <w:r>
              <w:t>Target-trial aligned, fit-for-purpose data, strong confounding control, validated variables, prespecified and robust.</w:t>
            </w:r>
          </w:p>
        </w:tc>
      </w:tr>
      <w:tr>
        <w:tc>
          <w:tcPr>
            <w:tcW w:type="dxa" w:w="3389"/>
          </w:tcPr>
          <w:p>
            <w:r>
              <w:t>B</w:t>
            </w:r>
          </w:p>
        </w:tc>
        <w:tc>
          <w:tcPr>
            <w:tcW w:type="dxa" w:w="3389"/>
          </w:tcPr>
          <w:p>
            <w:r>
              <w:t>Useful but conditional</w:t>
            </w:r>
          </w:p>
        </w:tc>
        <w:tc>
          <w:tcPr>
            <w:tcW w:type="dxa" w:w="3389"/>
          </w:tcPr>
          <w:p>
            <w:r>
              <w:t>Good design with one or two meaningful limitations; inference survives sensitivity analyses.</w:t>
            </w:r>
          </w:p>
        </w:tc>
      </w:tr>
      <w:tr>
        <w:tc>
          <w:tcPr>
            <w:tcW w:type="dxa" w:w="3389"/>
          </w:tcPr>
          <w:p>
            <w:r>
              <w:t>C</w:t>
            </w:r>
          </w:p>
        </w:tc>
        <w:tc>
          <w:tcPr>
            <w:tcW w:type="dxa" w:w="3389"/>
          </w:tcPr>
          <w:p>
            <w:r>
              <w:t>Hypothesis-generating</w:t>
            </w:r>
          </w:p>
        </w:tc>
        <w:tc>
          <w:tcPr>
            <w:tcW w:type="dxa" w:w="3389"/>
          </w:tcPr>
          <w:p>
            <w:r>
              <w:t>Important residual confounding, measurement or selection concerns; useful for signals, not confident causal conclusions.</w:t>
            </w:r>
          </w:p>
        </w:tc>
      </w:tr>
      <w:tr>
        <w:tc>
          <w:tcPr>
            <w:tcW w:type="dxa" w:w="3389"/>
          </w:tcPr>
          <w:p>
            <w:r>
              <w:t>D</w:t>
            </w:r>
          </w:p>
        </w:tc>
        <w:tc>
          <w:tcPr>
            <w:tcW w:type="dxa" w:w="3389"/>
          </w:tcPr>
          <w:p>
            <w:r>
              <w:t>High risk of bias</w:t>
            </w:r>
          </w:p>
        </w:tc>
        <w:tc>
          <w:tcPr>
            <w:tcW w:type="dxa" w:w="3389"/>
          </w:tcPr>
          <w:p>
            <w:r>
              <w:t>One major structural problem threatens validity.</w:t>
            </w:r>
          </w:p>
        </w:tc>
      </w:tr>
      <w:tr>
        <w:tc>
          <w:tcPr>
            <w:tcW w:type="dxa" w:w="3389"/>
          </w:tcPr>
          <w:p>
            <w:r>
              <w:t>F</w:t>
            </w:r>
          </w:p>
        </w:tc>
        <w:tc>
          <w:tcPr>
            <w:tcW w:type="dxa" w:w="3389"/>
          </w:tcPr>
          <w:p>
            <w:r>
              <w:t>Do not use for causal inference</w:t>
            </w:r>
          </w:p>
        </w:tc>
        <w:tc>
          <w:tcPr>
            <w:tcW w:type="dxa" w:w="3389"/>
          </w:tcPr>
          <w:p>
            <w:r>
              <w:t>Any fatal error that cannot be repaired or bounded.</w:t>
            </w:r>
          </w:p>
        </w:tc>
      </w:tr>
    </w:tbl>
    <w:p>
      <w:pPr>
        <w:pStyle w:val="Heading1"/>
      </w:pPr>
      <w:r>
        <w:t>Key methodological and regulatory sources</w:t>
      </w:r>
    </w:p>
    <w:p>
      <w:pPr>
        <w:pStyle w:val="ListBullet"/>
      </w:pPr>
      <w:r>
        <w:t>FDA. Real-World Data: Assessing Electronic Health Records and Medical Claims Data To Support Regulatory Decision-Making for Drug and Biological Products. Final Guidance, July 2024.</w:t>
      </w:r>
    </w:p>
    <w:p>
      <w:pPr>
        <w:pStyle w:val="ListBullet"/>
      </w:pPr>
      <w:r>
        <w:t>FDA / ICH. M14 General Principles on Planning, Designing, Analyzing, and Reporting of Non-interventional Studies That Utilize Real-World Data for Safety Assessment of Medicines. Final Guidance, March 2026.</w:t>
      </w:r>
    </w:p>
    <w:p>
      <w:pPr>
        <w:pStyle w:val="ListBullet"/>
      </w:pPr>
      <w:r>
        <w:t>EMA. Data Quality Framework for EU medicines regulation: application to Real-World Data. Final, March 2026.</w:t>
      </w:r>
    </w:p>
    <w:p>
      <w:pPr>
        <w:pStyle w:val="ListBullet"/>
      </w:pPr>
      <w:r>
        <w:t>ENCePP. Guide on Methodological Standards in Pharmacoepidemiology, Revision 11, July 2026.</w:t>
      </w:r>
    </w:p>
    <w:p>
      <w:pPr>
        <w:pStyle w:val="ListBullet"/>
      </w:pPr>
      <w:r>
        <w:t>Wang SV, et al. STaRT-RWE: structured template for planning and reporting on the implementation of real world evidence studies. BMJ. 2021;372:m4856.</w:t>
      </w:r>
    </w:p>
    <w:p>
      <w:pPr>
        <w:pStyle w:val="ListBullet"/>
      </w:pPr>
      <w:r>
        <w:t>Langan SM, et al. RECORD-PE. BMJ. 2018;363:k3532.</w:t>
      </w:r>
    </w:p>
    <w:p>
      <w:pPr>
        <w:pStyle w:val="ListBullet"/>
      </w:pPr>
      <w:r>
        <w:t>Wang SV, et al. HARmonized Protocol Template to Enhance Reproducibility of Hypothesis Evaluating Real-World Evidence Studies on Treatment Effects. Value Health. 2022;25:1663-1672.</w:t>
      </w:r>
    </w:p>
    <w:p>
      <w:pPr>
        <w:pStyle w:val="ListBullet"/>
      </w:pPr>
      <w:r>
        <w:t>Matthews AA, et al. Target trial emulation: applying principles of randomised trials to observational studies. BMJ. 2022;378:e071108.</w:t>
      </w:r>
    </w:p>
    <w:p>
      <w:pPr>
        <w:pStyle w:val="ListBullet"/>
      </w:pPr>
      <w:r>
        <w:t>Lund JL, et al. The active comparator, new user study design in pharmacoepidemiology. Curr Epidemiol Rep. 2015;2:221-228.</w:t>
      </w:r>
    </w:p>
    <w:p>
      <w:pPr>
        <w:pStyle w:val="ListBullet"/>
      </w:pPr>
      <w:r>
        <w:t>Suissa S. Immortal time bias in pharmaco-epidemiology. Am J Epidemiol. 2008;167:492-499.</w:t>
      </w:r>
    </w:p>
    <w:p>
      <w:pPr>
        <w:pStyle w:val="ListBullet"/>
      </w:pPr>
      <w:r>
        <w:t>Lipsitch M, Tchetgen Tchetgen E, Cohen T. Negative controls: a tool for detecting confounding and bias in observational studies. Epidemiology. 2010;21:383-388.</w:t>
      </w:r>
    </w:p>
    <w:p>
      <w:pPr>
        <w:pStyle w:val="ListBullet"/>
      </w:pPr>
      <w:r>
        <w:t>VanderWeele TJ, Ding P. Sensitivity Analysis in Observational Research: Introducing the E-Value. Ann Intern Med. 2017;167:268-274.</w:t>
      </w:r>
    </w:p>
    <w:p>
      <w:pPr>
        <w:pStyle w:val="ListBullet"/>
      </w:pPr>
      <w:r>
        <w:t>Higgins JPT, et al. ROBINS-E. Environment International. 2024;186:108602; and Cochrane ROBINS-I V2 draft, 2025.</w:t>
      </w:r>
    </w:p>
    <w:p>
      <w:pPr>
        <w:spacing w:before="160"/>
      </w:pPr>
      <w:r>
        <w:rPr>
          <w:b/>
          <w:color w:val="17365D"/>
        </w:rPr>
        <w:t xml:space="preserve">Bottom line: </w:t>
      </w:r>
      <w:r>
        <w:t>The fastest way to appraise a RWD causal study is to ask whether it successfully emulates a defensible target trial and whether the database can measure the variables required to make that emulation credible. Statistical sophistication cannot rescue a structurally biased design.</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5B6B7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