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A774A" w14:textId="1D94450D" w:rsidR="00997D55" w:rsidRPr="00892385" w:rsidRDefault="00C84840" w:rsidP="00C41C25">
      <w:pPr>
        <w:rPr>
          <w:b/>
          <w:bCs/>
        </w:rPr>
      </w:pPr>
      <w:r w:rsidRPr="00892385">
        <w:rPr>
          <w:b/>
          <w:bCs/>
        </w:rPr>
        <w:t>Discussion</w:t>
      </w:r>
    </w:p>
    <w:p w14:paraId="5E35D466" w14:textId="2403BF4D" w:rsidR="006878E8" w:rsidRDefault="001C282A" w:rsidP="00C41C25">
      <w:r>
        <w:t xml:space="preserve">To our knowledge, this is the first study to assess the cost-effectiveness of non-surgical periodontal </w:t>
      </w:r>
      <w:r w:rsidR="00795C67">
        <w:t xml:space="preserve">treatment on preventing MI and stroke in </w:t>
      </w:r>
      <w:r w:rsidR="00305439">
        <w:t>a</w:t>
      </w:r>
      <w:r w:rsidR="00795C67">
        <w:t xml:space="preserve"> UK</w:t>
      </w:r>
      <w:r w:rsidR="00305439">
        <w:t xml:space="preserve"> population</w:t>
      </w:r>
      <w:r w:rsidR="00795C67">
        <w:t xml:space="preserve">. </w:t>
      </w:r>
      <w:r w:rsidR="00085CE9" w:rsidRPr="00892385">
        <w:t xml:space="preserve">This study has demonstrated </w:t>
      </w:r>
      <w:r w:rsidR="008319CA">
        <w:t xml:space="preserve">the uncertainty </w:t>
      </w:r>
      <w:r w:rsidR="00431F65">
        <w:t>of</w:t>
      </w:r>
      <w:r w:rsidR="00085CE9" w:rsidRPr="00892385">
        <w:t xml:space="preserve"> </w:t>
      </w:r>
      <w:r w:rsidR="00F95FE6" w:rsidRPr="00892385">
        <w:t>non-surgical periodontal treatment value in preventing MI and stroke events</w:t>
      </w:r>
      <w:r w:rsidR="005B66D7" w:rsidRPr="00892385">
        <w:t xml:space="preserve">. </w:t>
      </w:r>
      <w:r w:rsidR="00E92059">
        <w:t xml:space="preserve">Our base case </w:t>
      </w:r>
      <w:r w:rsidR="002E48A8">
        <w:t xml:space="preserve">resulted </w:t>
      </w:r>
      <w:r w:rsidR="00110501">
        <w:t>in</w:t>
      </w:r>
      <w:r w:rsidR="00930BAA" w:rsidRPr="00892385">
        <w:t xml:space="preserve"> a</w:t>
      </w:r>
      <w:r w:rsidR="00BF3857" w:rsidRPr="00892385">
        <w:t xml:space="preserve"> cost of </w:t>
      </w:r>
      <w:r w:rsidR="00215877" w:rsidRPr="00892385">
        <w:t>£37,798 per QALY gained</w:t>
      </w:r>
      <w:r w:rsidR="00470BB1" w:rsidRPr="00892385">
        <w:t xml:space="preserve">, above the suggested </w:t>
      </w:r>
      <w:r w:rsidR="000579DD" w:rsidRPr="00892385">
        <w:t xml:space="preserve">NICE threshold range of £20,000-£30,000. </w:t>
      </w:r>
      <w:r w:rsidR="00F221A3">
        <w:t xml:space="preserve">On the contrary, </w:t>
      </w:r>
      <w:r w:rsidR="00E92059">
        <w:t xml:space="preserve">PSA </w:t>
      </w:r>
      <w:r w:rsidR="00F221A3">
        <w:t>provided a mean ICER of £24,782</w:t>
      </w:r>
      <w:r w:rsidR="009018F2">
        <w:t xml:space="preserve"> </w:t>
      </w:r>
      <w:r w:rsidR="00F00CAC">
        <w:t xml:space="preserve">with 36.53% of the iterations resulting in an ICER less than £30,000. </w:t>
      </w:r>
      <w:r w:rsidR="001D6FC6">
        <w:t>The 37% and 23% fall in non-fatal stroke and MI incidence over a 10-year period demonstrates the impact that treating periodontal disease can have on CVD</w:t>
      </w:r>
      <w:r w:rsidR="001D6FC6">
        <w:t xml:space="preserve">. </w:t>
      </w:r>
      <w:r w:rsidR="008B00FB">
        <w:t xml:space="preserve">However, these avoided events translated to only </w:t>
      </w:r>
      <w:r w:rsidR="00E9181A">
        <w:t>0.16 QALYs gained per person, highlighting that the health benefit was modest relative to the cost.</w:t>
      </w:r>
    </w:p>
    <w:p w14:paraId="4353E389" w14:textId="05E136F7" w:rsidR="00B93E68" w:rsidRDefault="00CF32EB" w:rsidP="00C41C25">
      <w:r>
        <w:t>The ICER range resulting from</w:t>
      </w:r>
      <w:r w:rsidR="00431F65">
        <w:t xml:space="preserve"> </w:t>
      </w:r>
      <w:r>
        <w:t xml:space="preserve">the </w:t>
      </w:r>
      <w:r w:rsidR="00431F65">
        <w:t xml:space="preserve">sensitivity analysis </w:t>
      </w:r>
      <w:r>
        <w:t>of</w:t>
      </w:r>
      <w:r w:rsidR="006F6245">
        <w:t xml:space="preserve"> the two</w:t>
      </w:r>
      <w:r>
        <w:t xml:space="preserve"> treatment effect parameters has highlighted the </w:t>
      </w:r>
      <w:r w:rsidR="00BB199D">
        <w:t>uncertainty around</w:t>
      </w:r>
      <w:r w:rsidR="00FC44B3">
        <w:t xml:space="preserve"> the</w:t>
      </w:r>
      <w:r w:rsidR="00BB199D">
        <w:t xml:space="preserve"> </w:t>
      </w:r>
      <w:r w:rsidR="00D703E7">
        <w:t>effectiveness of non-surgical periodontal treatment</w:t>
      </w:r>
      <w:r w:rsidR="008375B8">
        <w:t>.</w:t>
      </w:r>
      <w:r w:rsidR="006878E8">
        <w:t xml:space="preserve"> </w:t>
      </w:r>
      <w:r w:rsidR="00637F40">
        <w:t xml:space="preserve">Using </w:t>
      </w:r>
      <w:r w:rsidR="00637F40" w:rsidRPr="00637F40">
        <w:t>optimistic published hazard reductions (stroke HR ~0.29, MI HR ~0.44) drove the ICER below £20,000, whereas using the higher end (HR ~0.8–0.9) made the intervention not cost-effective.</w:t>
      </w:r>
      <w:r w:rsidR="00637F40">
        <w:t xml:space="preserve"> </w:t>
      </w:r>
      <w:r w:rsidR="00637F40">
        <w:t xml:space="preserve">The estimated level of clinical benefit at an incremental cost of £6,213 emphasizes the need for greater clinical trials and cohort studies investigating the effects of periodontal treatment beyond oral health benefits. </w:t>
      </w:r>
      <w:r w:rsidR="00AE6477">
        <w:t xml:space="preserve">This will reduce the </w:t>
      </w:r>
      <w:r w:rsidR="004C4B03">
        <w:t xml:space="preserve">parameter </w:t>
      </w:r>
      <w:r w:rsidR="00AE6477">
        <w:t xml:space="preserve">uncertainty </w:t>
      </w:r>
      <w:r w:rsidR="004C4B03">
        <w:t xml:space="preserve">around treatment effects which will result in </w:t>
      </w:r>
      <w:r w:rsidR="005F75CB">
        <w:t xml:space="preserve">more precise economic evaluation of periodontal treatments. </w:t>
      </w:r>
    </w:p>
    <w:p w14:paraId="13F87E3B" w14:textId="0D1B719D" w:rsidR="000B6DD7" w:rsidRDefault="006878E8" w:rsidP="00C41C25">
      <w:r>
        <w:t xml:space="preserve">Previous economic studies have focused on diabetes-related outcomes. </w:t>
      </w:r>
      <w:r w:rsidR="00B06D36">
        <w:t>Choi et al</w:t>
      </w:r>
      <w:r w:rsidR="00C85501">
        <w:t xml:space="preserve"> </w:t>
      </w:r>
      <w:r w:rsidR="00C1798B">
        <w:t xml:space="preserve">found </w:t>
      </w:r>
      <w:r w:rsidR="008F0975">
        <w:t>that expanding periodontal treatment in a US population was cost-</w:t>
      </w:r>
      <w:r w:rsidR="00915DB5">
        <w:t>saving</w:t>
      </w:r>
      <w:r w:rsidR="008F0975">
        <w:t xml:space="preserve"> in averting tooth loss and microvascular disease, with the </w:t>
      </w:r>
      <w:r w:rsidR="001E48F9">
        <w:t>majority of healthcare cost saving coming from averting tooth loss</w:t>
      </w:r>
      <w:r w:rsidR="00B06D36">
        <w:t xml:space="preserve"> [1]</w:t>
      </w:r>
      <w:r w:rsidR="00B72295">
        <w:t xml:space="preserve">. </w:t>
      </w:r>
      <w:r w:rsidR="00FB7B6D">
        <w:t xml:space="preserve">This approach simulated by individual </w:t>
      </w:r>
      <w:r w:rsidR="001E261E">
        <w:t>rather than an aggregate population due to their testing of correlations between demographic characteristics and chronic disease risks</w:t>
      </w:r>
      <w:r w:rsidR="00891E63">
        <w:t xml:space="preserve"> obtained from the National Health and Nutrition Examination Survey (NHANES) (2009-2014). </w:t>
      </w:r>
      <w:r>
        <w:t xml:space="preserve">A UK model by Solowiej-Wedderburn </w:t>
      </w:r>
      <w:r w:rsidR="00584E93">
        <w:t xml:space="preserve">found </w:t>
      </w:r>
      <w:r w:rsidR="001512B7">
        <w:t xml:space="preserve">periodontal </w:t>
      </w:r>
      <w:r w:rsidR="00A62A4F">
        <w:t xml:space="preserve">treatment </w:t>
      </w:r>
      <w:r w:rsidR="00E220E8">
        <w:t xml:space="preserve">in </w:t>
      </w:r>
      <w:r w:rsidR="00736906">
        <w:t xml:space="preserve">a 58-year old man with </w:t>
      </w:r>
      <w:r w:rsidR="00E220E8">
        <w:t xml:space="preserve">type 2 </w:t>
      </w:r>
      <w:r w:rsidR="00BE786E">
        <w:t>diabetes (</w:t>
      </w:r>
      <w:r w:rsidR="00477723">
        <w:t xml:space="preserve">HbA1c 7%-7.9%) </w:t>
      </w:r>
      <w:r w:rsidR="00E220E8">
        <w:t>to have an ICER of £28,000</w:t>
      </w:r>
      <w:r w:rsidR="008E0661">
        <w:t>, with health gains larger in patients with higher HbA1c</w:t>
      </w:r>
      <w:r w:rsidR="004C09E8">
        <w:t xml:space="preserve"> [2]</w:t>
      </w:r>
      <w:r w:rsidR="008E0661">
        <w:t xml:space="preserve">. </w:t>
      </w:r>
      <w:r w:rsidR="00751E14">
        <w:t>These attributed savings helped to improve glycaemic control</w:t>
      </w:r>
      <w:r w:rsidR="00237E55">
        <w:t xml:space="preserve">, suggesting that periodontal therapy’s value is greater when considering the benefits beyond </w:t>
      </w:r>
      <w:r w:rsidR="00B90EE1">
        <w:t>CVD alone.</w:t>
      </w:r>
      <w:r w:rsidR="000B6DD7">
        <w:t xml:space="preserve"> </w:t>
      </w:r>
      <w:r w:rsidR="00B90EE1">
        <w:t>Our CVD model did not find cost savings</w:t>
      </w:r>
      <w:r w:rsidR="006D4407">
        <w:t xml:space="preserve">, highlighting the context of wider </w:t>
      </w:r>
      <w:r w:rsidR="00E5623A">
        <w:t xml:space="preserve">outcome measures. </w:t>
      </w:r>
      <w:r w:rsidR="006A76CF">
        <w:t xml:space="preserve">Future studies should utilise </w:t>
      </w:r>
      <w:r w:rsidR="00DD45FC">
        <w:t xml:space="preserve">blood pressure measurements as a model outcome due to their role in diagnosing CVD and diabetes-related diseases. </w:t>
      </w:r>
      <w:r w:rsidR="003310B9">
        <w:t xml:space="preserve">This continuous variable </w:t>
      </w:r>
      <w:r w:rsidR="00020586">
        <w:t>can provide more accurate insights into the impact of non-surgical periodontal treatment</w:t>
      </w:r>
      <w:r w:rsidR="00114F08">
        <w:t xml:space="preserve"> while providing a wider range of policy applications.</w:t>
      </w:r>
      <w:r w:rsidR="00020586">
        <w:t xml:space="preserve"> </w:t>
      </w:r>
    </w:p>
    <w:p w14:paraId="27A0EFB8" w14:textId="2667AA36" w:rsidR="00E20D8C" w:rsidRDefault="009263DA" w:rsidP="00C41C25">
      <w:r>
        <w:t xml:space="preserve">We estimated that </w:t>
      </w:r>
      <w:r w:rsidR="00BA392E">
        <w:t>there would be a 12% increase in CVD free individuals in the treatment arm</w:t>
      </w:r>
      <w:r w:rsidR="00FA348E">
        <w:t xml:space="preserve"> compared to those untreated. </w:t>
      </w:r>
      <w:r w:rsidR="00114F08">
        <w:t>[UK longitudinal study needed].</w:t>
      </w:r>
    </w:p>
    <w:p w14:paraId="47E46B82" w14:textId="77777777" w:rsidR="00C84840" w:rsidRPr="00892385" w:rsidRDefault="00C84840" w:rsidP="00C41C25"/>
    <w:p w14:paraId="6229EC3E" w14:textId="77777777" w:rsidR="00AE6971" w:rsidRPr="00892385" w:rsidRDefault="00AE6971" w:rsidP="00C41C25"/>
    <w:p w14:paraId="1C23ECD8" w14:textId="44AD6275" w:rsidR="00E77D03" w:rsidRDefault="00E77D03" w:rsidP="00C41C25">
      <w:pPr>
        <w:rPr>
          <w:b/>
          <w:bCs/>
        </w:rPr>
      </w:pPr>
      <w:r w:rsidRPr="00892385">
        <w:rPr>
          <w:b/>
          <w:bCs/>
        </w:rPr>
        <w:t xml:space="preserve">Limitations </w:t>
      </w:r>
    </w:p>
    <w:p w14:paraId="58A7D9A8" w14:textId="4D4FCF72" w:rsidR="00FE0CC0" w:rsidRDefault="00E01C03" w:rsidP="00FE0CC0">
      <w:r>
        <w:t xml:space="preserve">The scope of this study was to evaluate the cost-effectiveness of non-surgical periodontal treatment </w:t>
      </w:r>
      <w:r w:rsidR="00D42ED5">
        <w:t xml:space="preserve">on fatal and non-fatal CVD events. Therefore, our results do not include the </w:t>
      </w:r>
      <w:r w:rsidR="00102AA9">
        <w:t>patient-level benefits of non-surgical periodontal treatment on severe periodontal disease. This makes our QALY gain</w:t>
      </w:r>
      <w:r w:rsidR="00C931B5">
        <w:t>ed estimations to be underestimates</w:t>
      </w:r>
      <w:r w:rsidR="004122AF">
        <w:t xml:space="preserve"> of total health benefits</w:t>
      </w:r>
      <w:r w:rsidR="00C931B5">
        <w:t xml:space="preserve">, however, this was out of the study scope. </w:t>
      </w:r>
      <w:r w:rsidR="0082726F">
        <w:t>D</w:t>
      </w:r>
      <w:r w:rsidR="00D87139">
        <w:t>irect utility gains from reduced tooth pain, tooth retention, and better chewing function and</w:t>
      </w:r>
      <w:r w:rsidR="003416E0">
        <w:t xml:space="preserve"> n</w:t>
      </w:r>
      <w:r w:rsidR="00D87139">
        <w:t xml:space="preserve">utrition </w:t>
      </w:r>
      <w:r w:rsidR="00001811">
        <w:t xml:space="preserve">are not captured in this analysis. </w:t>
      </w:r>
      <w:r w:rsidR="00875E5D">
        <w:t xml:space="preserve">Including these gains would improve </w:t>
      </w:r>
      <w:r w:rsidR="006279DC">
        <w:t>the cost-effectiveness of periodontal treatment</w:t>
      </w:r>
      <w:r w:rsidR="00AF21DF">
        <w:t>, but widen the scope beyond CVD outcomes</w:t>
      </w:r>
      <w:r w:rsidR="004122AF">
        <w:t>.</w:t>
      </w:r>
      <w:r w:rsidR="006279DC">
        <w:t xml:space="preserve"> </w:t>
      </w:r>
    </w:p>
    <w:p w14:paraId="34C7C322" w14:textId="194C971D" w:rsidR="004F5CE5" w:rsidRPr="00E01C03" w:rsidRDefault="00FE0CC0" w:rsidP="00C41C25">
      <w:r>
        <w:t>Individuals with severe PD treated with non-surgical periodontal therapy with other comorbid conditions might see wider health improvements such as improved hypertension and endothelial function [</w:t>
      </w:r>
      <w:r w:rsidR="00D223E5">
        <w:t>4</w:t>
      </w:r>
      <w:r>
        <w:t xml:space="preserve">]. Widening the scope of analysis to include these health benefits emphasises a drawback of modelling cost-effectiveness at an aggregate Markov model level. </w:t>
      </w:r>
    </w:p>
    <w:p w14:paraId="5C7E608E" w14:textId="56796086" w:rsidR="00F90FB1" w:rsidRDefault="00F90FB1" w:rsidP="00C41C25">
      <w:r>
        <w:t>A horizon of 10-years</w:t>
      </w:r>
      <w:r w:rsidR="00B7373F">
        <w:t xml:space="preserve"> could be insufficient </w:t>
      </w:r>
      <w:r w:rsidR="00570EC5">
        <w:t xml:space="preserve">to </w:t>
      </w:r>
      <w:r w:rsidR="00861053">
        <w:t xml:space="preserve">capture all relevant </w:t>
      </w:r>
      <w:r w:rsidR="00CC31E8">
        <w:t xml:space="preserve">benefits of periodontal therapy. </w:t>
      </w:r>
      <w:r w:rsidR="002E3294">
        <w:t xml:space="preserve">Despite the discussed rationale for choosing 10-years as the time to model over, a lifetime horizon </w:t>
      </w:r>
      <w:r w:rsidR="00972EF1">
        <w:t xml:space="preserve">could </w:t>
      </w:r>
      <w:r w:rsidR="006033B3">
        <w:t xml:space="preserve">show more QALYs gained from avoided CVD events. A suggestion for future studies would be to model for </w:t>
      </w:r>
      <w:r w:rsidR="003A1A4B">
        <w:t>the intervention at an earlier age</w:t>
      </w:r>
    </w:p>
    <w:p w14:paraId="16D83DDD" w14:textId="77777777" w:rsidR="00F90FB1" w:rsidRDefault="00F90FB1" w:rsidP="00C41C25"/>
    <w:p w14:paraId="006E2D33" w14:textId="77777777" w:rsidR="00E77D03" w:rsidRPr="00892385" w:rsidRDefault="00E77D03" w:rsidP="00C41C25">
      <w:pPr>
        <w:rPr>
          <w:b/>
          <w:bCs/>
        </w:rPr>
      </w:pPr>
    </w:p>
    <w:p w14:paraId="386077D9" w14:textId="2F6E7C4B" w:rsidR="00E77D03" w:rsidRDefault="00B06D36" w:rsidP="00C41C25">
      <w:pPr>
        <w:rPr>
          <w:b/>
          <w:bCs/>
          <w:lang w:val="en-US"/>
        </w:rPr>
      </w:pPr>
      <w:r>
        <w:rPr>
          <w:b/>
          <w:bCs/>
          <w:lang w:val="en-US"/>
        </w:rPr>
        <w:t>References</w:t>
      </w:r>
    </w:p>
    <w:p w14:paraId="5A5A8B18" w14:textId="5E00819C" w:rsidR="00B06D36" w:rsidRDefault="004C09E8" w:rsidP="00C41C25">
      <w:pPr>
        <w:rPr>
          <w:lang w:val="en-US"/>
        </w:rPr>
      </w:pPr>
      <w:r>
        <w:rPr>
          <w:lang w:val="en-US"/>
        </w:rPr>
        <w:t>[1]</w:t>
      </w:r>
      <w:r w:rsidR="00AE3315">
        <w:rPr>
          <w:lang w:val="en-US"/>
        </w:rPr>
        <w:t xml:space="preserve"> </w:t>
      </w:r>
      <w:r w:rsidR="00AE3315" w:rsidRPr="006914C4">
        <w:t xml:space="preserve">Choi SE, Sima C, Pandya A. Impact of treating oral disease on preventing vascular diseases: a model-based cost-effectiveness analysis of periodontal treatment among patients with type 2 diabetes. </w:t>
      </w:r>
      <w:r w:rsidR="00AE3315" w:rsidRPr="006914C4">
        <w:rPr>
          <w:i/>
          <w:iCs/>
        </w:rPr>
        <w:t>Diabetes Care</w:t>
      </w:r>
      <w:r w:rsidR="00AE3315" w:rsidRPr="006914C4">
        <w:t>. 2020 Mar 1;43(3):563-71.</w:t>
      </w:r>
    </w:p>
    <w:p w14:paraId="5D656AA2" w14:textId="127A1B25" w:rsidR="004C09E8" w:rsidRDefault="004C09E8" w:rsidP="00C41C25">
      <w:r>
        <w:rPr>
          <w:lang w:val="en-US"/>
        </w:rPr>
        <w:t>[2]</w:t>
      </w:r>
      <w:r w:rsidR="00CC5F11">
        <w:rPr>
          <w:lang w:val="en-US"/>
        </w:rPr>
        <w:t xml:space="preserve"> </w:t>
      </w:r>
      <w:r w:rsidR="00CC5F11" w:rsidRPr="00BD50DA">
        <w:t>Solowiej</w:t>
      </w:r>
      <w:r w:rsidR="00CC5F11" w:rsidRPr="00BD50DA">
        <w:rPr>
          <w:rFonts w:ascii="Cambria Math" w:hAnsi="Cambria Math" w:cs="Cambria Math"/>
        </w:rPr>
        <w:t>‐</w:t>
      </w:r>
      <w:r w:rsidR="00CC5F11" w:rsidRPr="00BD50DA">
        <w:t>Wedderburn J, Ide M, Pennington M. Cost</w:t>
      </w:r>
      <w:r w:rsidR="00CC5F11" w:rsidRPr="00BD50DA">
        <w:rPr>
          <w:rFonts w:ascii="Cambria Math" w:hAnsi="Cambria Math" w:cs="Cambria Math"/>
        </w:rPr>
        <w:t>‐</w:t>
      </w:r>
      <w:r w:rsidR="00CC5F11" w:rsidRPr="00BD50DA">
        <w:t>effectiveness of non</w:t>
      </w:r>
      <w:r w:rsidR="00CC5F11" w:rsidRPr="00BD50DA">
        <w:rPr>
          <w:rFonts w:ascii="Cambria Math" w:hAnsi="Cambria Math" w:cs="Cambria Math"/>
        </w:rPr>
        <w:t>‐</w:t>
      </w:r>
      <w:r w:rsidR="00CC5F11" w:rsidRPr="00BD50DA">
        <w:t xml:space="preserve">surgical periodontal therapy for patients with type 2 diabetes in the UK. </w:t>
      </w:r>
      <w:r w:rsidR="00CC5F11" w:rsidRPr="00BD50DA">
        <w:rPr>
          <w:i/>
          <w:iCs/>
        </w:rPr>
        <w:t>J Clin Periodontol</w:t>
      </w:r>
      <w:r w:rsidR="00CC5F11" w:rsidRPr="00BD50DA">
        <w:t>. 2017 Jul;44(7):700</w:t>
      </w:r>
      <w:r w:rsidR="00CC5F11" w:rsidRPr="00BD50DA">
        <w:rPr>
          <w:rFonts w:ascii="Aptos" w:hAnsi="Aptos" w:cs="Aptos"/>
        </w:rPr>
        <w:t>–</w:t>
      </w:r>
      <w:r w:rsidR="00CC5F11" w:rsidRPr="00BD50DA">
        <w:t>7.</w:t>
      </w:r>
    </w:p>
    <w:p w14:paraId="7B2998AC" w14:textId="577EBA7D" w:rsidR="00CC5F11" w:rsidRDefault="00CC5F11" w:rsidP="00C41C25">
      <w:pPr>
        <w:rPr>
          <w:lang w:val="en-US"/>
        </w:rPr>
      </w:pPr>
      <w:r>
        <w:t>[</w:t>
      </w:r>
      <w:r w:rsidR="005F4DB0">
        <w:t>3</w:t>
      </w:r>
      <w:r>
        <w:t>]</w:t>
      </w:r>
      <w:r w:rsidR="008F4B9C">
        <w:t xml:space="preserve"> </w:t>
      </w:r>
      <w:r w:rsidR="008F4B9C" w:rsidRPr="008F4B9C">
        <w:t xml:space="preserve">Rodrigues JV, </w:t>
      </w:r>
      <w:proofErr w:type="spellStart"/>
      <w:r w:rsidR="008F4B9C" w:rsidRPr="008F4B9C">
        <w:t>Deroide</w:t>
      </w:r>
      <w:proofErr w:type="spellEnd"/>
      <w:r w:rsidR="008F4B9C" w:rsidRPr="008F4B9C">
        <w:t xml:space="preserve"> MB, Sant'ana AP, de Molon RS, Theodoro LH. The role of non-surgical periodontal treatment in enhancing quality of life for hypertensive patients with periodontitis. </w:t>
      </w:r>
      <w:r w:rsidR="008F4B9C" w:rsidRPr="008F4B9C">
        <w:rPr>
          <w:i/>
          <w:iCs/>
        </w:rPr>
        <w:t xml:space="preserve">Rev </w:t>
      </w:r>
      <w:proofErr w:type="spellStart"/>
      <w:r w:rsidR="008F4B9C" w:rsidRPr="008F4B9C">
        <w:rPr>
          <w:i/>
          <w:iCs/>
        </w:rPr>
        <w:t>Odontol</w:t>
      </w:r>
      <w:proofErr w:type="spellEnd"/>
      <w:r w:rsidR="008F4B9C" w:rsidRPr="008F4B9C">
        <w:rPr>
          <w:i/>
          <w:iCs/>
        </w:rPr>
        <w:t xml:space="preserve"> UNESP</w:t>
      </w:r>
      <w:r w:rsidR="008F4B9C" w:rsidRPr="008F4B9C">
        <w:t>. 2024 Dec 16;53:e20240030.</w:t>
      </w:r>
    </w:p>
    <w:p w14:paraId="0D920770" w14:textId="77777777" w:rsidR="004C09E8" w:rsidRPr="00B06D36" w:rsidRDefault="004C09E8" w:rsidP="00C41C25">
      <w:pPr>
        <w:rPr>
          <w:lang w:val="en-US"/>
        </w:rPr>
      </w:pPr>
    </w:p>
    <w:sectPr w:rsidR="004C09E8" w:rsidRPr="00B06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40"/>
    <w:rsid w:val="00001811"/>
    <w:rsid w:val="00013362"/>
    <w:rsid w:val="00020586"/>
    <w:rsid w:val="0003070A"/>
    <w:rsid w:val="000415D0"/>
    <w:rsid w:val="000579DD"/>
    <w:rsid w:val="00085CE9"/>
    <w:rsid w:val="000B6DD7"/>
    <w:rsid w:val="000F3F94"/>
    <w:rsid w:val="00102AA9"/>
    <w:rsid w:val="0010411F"/>
    <w:rsid w:val="00107414"/>
    <w:rsid w:val="00110501"/>
    <w:rsid w:val="00114F08"/>
    <w:rsid w:val="00132A32"/>
    <w:rsid w:val="001512B7"/>
    <w:rsid w:val="0015491B"/>
    <w:rsid w:val="0016084F"/>
    <w:rsid w:val="00170E22"/>
    <w:rsid w:val="00187DB3"/>
    <w:rsid w:val="001B5C4F"/>
    <w:rsid w:val="001C282A"/>
    <w:rsid w:val="001C4DF6"/>
    <w:rsid w:val="001D6FC6"/>
    <w:rsid w:val="001E19A0"/>
    <w:rsid w:val="001E261E"/>
    <w:rsid w:val="001E48F9"/>
    <w:rsid w:val="00215877"/>
    <w:rsid w:val="00237E55"/>
    <w:rsid w:val="0026178D"/>
    <w:rsid w:val="0026684D"/>
    <w:rsid w:val="0029421F"/>
    <w:rsid w:val="002A20B4"/>
    <w:rsid w:val="002E3294"/>
    <w:rsid w:val="002E48A8"/>
    <w:rsid w:val="00305439"/>
    <w:rsid w:val="003310B9"/>
    <w:rsid w:val="00334A6F"/>
    <w:rsid w:val="003416E0"/>
    <w:rsid w:val="0034355D"/>
    <w:rsid w:val="0039781E"/>
    <w:rsid w:val="003A1A4B"/>
    <w:rsid w:val="003B4824"/>
    <w:rsid w:val="004122AF"/>
    <w:rsid w:val="00413A87"/>
    <w:rsid w:val="00424FEA"/>
    <w:rsid w:val="00431F65"/>
    <w:rsid w:val="0044325D"/>
    <w:rsid w:val="00470BB1"/>
    <w:rsid w:val="00477723"/>
    <w:rsid w:val="004C09E8"/>
    <w:rsid w:val="004C4B03"/>
    <w:rsid w:val="004C53D3"/>
    <w:rsid w:val="004D79A1"/>
    <w:rsid w:val="004F380E"/>
    <w:rsid w:val="004F5CE5"/>
    <w:rsid w:val="00523285"/>
    <w:rsid w:val="005240D7"/>
    <w:rsid w:val="00570EC5"/>
    <w:rsid w:val="00584E93"/>
    <w:rsid w:val="005B213D"/>
    <w:rsid w:val="005B66D7"/>
    <w:rsid w:val="005F4DB0"/>
    <w:rsid w:val="005F75CB"/>
    <w:rsid w:val="006033B3"/>
    <w:rsid w:val="006279DC"/>
    <w:rsid w:val="00637F40"/>
    <w:rsid w:val="0066375E"/>
    <w:rsid w:val="00673F1A"/>
    <w:rsid w:val="006878E8"/>
    <w:rsid w:val="006A53FB"/>
    <w:rsid w:val="006A76CF"/>
    <w:rsid w:val="006D4407"/>
    <w:rsid w:val="006E5B0E"/>
    <w:rsid w:val="006F6245"/>
    <w:rsid w:val="007055BC"/>
    <w:rsid w:val="00713645"/>
    <w:rsid w:val="00736906"/>
    <w:rsid w:val="00751E14"/>
    <w:rsid w:val="00780772"/>
    <w:rsid w:val="00782376"/>
    <w:rsid w:val="00795C67"/>
    <w:rsid w:val="007C34C6"/>
    <w:rsid w:val="00820A9C"/>
    <w:rsid w:val="0082726F"/>
    <w:rsid w:val="008319CA"/>
    <w:rsid w:val="008375B8"/>
    <w:rsid w:val="0084525F"/>
    <w:rsid w:val="00861053"/>
    <w:rsid w:val="00875A2A"/>
    <w:rsid w:val="00875E5D"/>
    <w:rsid w:val="00891E63"/>
    <w:rsid w:val="00892385"/>
    <w:rsid w:val="008B00FB"/>
    <w:rsid w:val="008B6CDA"/>
    <w:rsid w:val="008E0661"/>
    <w:rsid w:val="008F0975"/>
    <w:rsid w:val="008F4B9C"/>
    <w:rsid w:val="009018F2"/>
    <w:rsid w:val="00906204"/>
    <w:rsid w:val="00915DB5"/>
    <w:rsid w:val="009263DA"/>
    <w:rsid w:val="00930BAA"/>
    <w:rsid w:val="0093686F"/>
    <w:rsid w:val="00972EF1"/>
    <w:rsid w:val="00975E21"/>
    <w:rsid w:val="00981C1A"/>
    <w:rsid w:val="0098575B"/>
    <w:rsid w:val="0099188F"/>
    <w:rsid w:val="00991AAC"/>
    <w:rsid w:val="00997798"/>
    <w:rsid w:val="00997D55"/>
    <w:rsid w:val="00A62A4F"/>
    <w:rsid w:val="00A65D0D"/>
    <w:rsid w:val="00A8307F"/>
    <w:rsid w:val="00AE3315"/>
    <w:rsid w:val="00AE6477"/>
    <w:rsid w:val="00AE6971"/>
    <w:rsid w:val="00AF21DF"/>
    <w:rsid w:val="00B06D36"/>
    <w:rsid w:val="00B64578"/>
    <w:rsid w:val="00B72295"/>
    <w:rsid w:val="00B7373F"/>
    <w:rsid w:val="00B90EE1"/>
    <w:rsid w:val="00B93E68"/>
    <w:rsid w:val="00B9496D"/>
    <w:rsid w:val="00BA392E"/>
    <w:rsid w:val="00BB199D"/>
    <w:rsid w:val="00BB43B2"/>
    <w:rsid w:val="00BE786E"/>
    <w:rsid w:val="00BF3857"/>
    <w:rsid w:val="00C1798B"/>
    <w:rsid w:val="00C41C25"/>
    <w:rsid w:val="00C84840"/>
    <w:rsid w:val="00C85501"/>
    <w:rsid w:val="00C85580"/>
    <w:rsid w:val="00C931B5"/>
    <w:rsid w:val="00CB04A3"/>
    <w:rsid w:val="00CC31E8"/>
    <w:rsid w:val="00CC5F11"/>
    <w:rsid w:val="00CE2412"/>
    <w:rsid w:val="00CF32EB"/>
    <w:rsid w:val="00D070DB"/>
    <w:rsid w:val="00D223E5"/>
    <w:rsid w:val="00D42ED5"/>
    <w:rsid w:val="00D5623F"/>
    <w:rsid w:val="00D703E7"/>
    <w:rsid w:val="00D73EF7"/>
    <w:rsid w:val="00D87139"/>
    <w:rsid w:val="00DD45FC"/>
    <w:rsid w:val="00E01C03"/>
    <w:rsid w:val="00E13BFD"/>
    <w:rsid w:val="00E20D8C"/>
    <w:rsid w:val="00E220E8"/>
    <w:rsid w:val="00E5623A"/>
    <w:rsid w:val="00E6123D"/>
    <w:rsid w:val="00E77D03"/>
    <w:rsid w:val="00E9181A"/>
    <w:rsid w:val="00E92059"/>
    <w:rsid w:val="00EE6131"/>
    <w:rsid w:val="00EF4A7A"/>
    <w:rsid w:val="00F00CAC"/>
    <w:rsid w:val="00F221A3"/>
    <w:rsid w:val="00F31580"/>
    <w:rsid w:val="00F90FB1"/>
    <w:rsid w:val="00F95FE6"/>
    <w:rsid w:val="00FA348E"/>
    <w:rsid w:val="00FB221A"/>
    <w:rsid w:val="00FB7B6D"/>
    <w:rsid w:val="00FC44B3"/>
    <w:rsid w:val="00FE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42A49"/>
  <w15:chartTrackingRefBased/>
  <w15:docId w15:val="{594FF470-578C-43CB-8907-1E1799244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754</Words>
  <Characters>4385</Characters>
  <Application>Microsoft Office Word</Application>
  <DocSecurity>0</DocSecurity>
  <Lines>79</Lines>
  <Paragraphs>31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Coote</dc:creator>
  <cp:keywords/>
  <dc:description/>
  <cp:lastModifiedBy>Edward Coote</cp:lastModifiedBy>
  <cp:revision>164</cp:revision>
  <dcterms:created xsi:type="dcterms:W3CDTF">2025-11-17T14:17:00Z</dcterms:created>
  <dcterms:modified xsi:type="dcterms:W3CDTF">2025-11-18T16:05:00Z</dcterms:modified>
</cp:coreProperties>
</file>