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44977" w14:textId="05816CF2" w:rsidR="00997D55" w:rsidRPr="00910020" w:rsidRDefault="00C10253">
      <w:pPr>
        <w:rPr>
          <w:b/>
          <w:bCs/>
        </w:rPr>
      </w:pPr>
      <w:r w:rsidRPr="00910020">
        <w:rPr>
          <w:b/>
          <w:bCs/>
        </w:rPr>
        <w:t>Results</w:t>
      </w:r>
    </w:p>
    <w:p w14:paraId="162A8560" w14:textId="719C6692" w:rsidR="00D60AE3" w:rsidRPr="00910020" w:rsidRDefault="00314600">
      <w:r w:rsidRPr="00910020">
        <w:t xml:space="preserve">Table X provides the </w:t>
      </w:r>
      <w:r w:rsidR="00DC66B9" w:rsidRPr="00910020">
        <w:t>10-year costs, accumulated QALYs</w:t>
      </w:r>
      <w:r w:rsidR="002F0355" w:rsidRPr="00910020">
        <w:t xml:space="preserve">, incremental costs, incremental QALYs and ICER of non-surgical periodontal treatment </w:t>
      </w:r>
      <w:r w:rsidR="00D93938" w:rsidRPr="00910020">
        <w:t xml:space="preserve">on CVD events. Treatment was associated with </w:t>
      </w:r>
      <w:r w:rsidR="000F7B35" w:rsidRPr="00910020">
        <w:t>a £</w:t>
      </w:r>
      <w:r w:rsidR="00CC4E37" w:rsidRPr="00910020">
        <w:t>6,</w:t>
      </w:r>
      <w:r w:rsidR="00CD0119" w:rsidRPr="00910020">
        <w:t>213</w:t>
      </w:r>
      <w:r w:rsidR="00393F31" w:rsidRPr="00910020">
        <w:t xml:space="preserve"> </w:t>
      </w:r>
      <w:r w:rsidR="000F7B35" w:rsidRPr="00910020">
        <w:t xml:space="preserve">higher cost and </w:t>
      </w:r>
      <w:r w:rsidR="00CC4E37" w:rsidRPr="00910020">
        <w:t xml:space="preserve">0.16 </w:t>
      </w:r>
      <w:r w:rsidR="000F7B35" w:rsidRPr="00910020">
        <w:t>additional QALY per patient treated</w:t>
      </w:r>
      <w:r w:rsidR="00FA7218" w:rsidRPr="00910020">
        <w:t xml:space="preserve">. This resulted in an ICER of </w:t>
      </w:r>
      <w:r w:rsidR="00CF63B6" w:rsidRPr="00910020">
        <w:t>£</w:t>
      </w:r>
      <w:r w:rsidR="00CD0119" w:rsidRPr="00910020">
        <w:t xml:space="preserve">37,798 </w:t>
      </w:r>
      <w:r w:rsidR="00FA7218" w:rsidRPr="00910020">
        <w:t xml:space="preserve">per QALY gained, above the NICE threshold of £20,000-£30,000. </w:t>
      </w:r>
      <w:r w:rsidR="0026144B" w:rsidRPr="00910020">
        <w:t xml:space="preserve">Given this, non-surgical periodontal treatment to reduce </w:t>
      </w:r>
      <w:r w:rsidR="00A81C12" w:rsidRPr="00910020">
        <w:t xml:space="preserve">MI and stroke would not be deemed cost-effective. </w:t>
      </w:r>
      <w:r w:rsidR="001B2355" w:rsidRPr="00910020">
        <w:t xml:space="preserve">This results in a negative </w:t>
      </w:r>
      <w:r w:rsidR="00F04A85" w:rsidRPr="00910020">
        <w:t>net monetary benefit of -£1,</w:t>
      </w:r>
      <w:r w:rsidR="00CD0119" w:rsidRPr="00910020">
        <w:t>282</w:t>
      </w:r>
      <w:r w:rsidR="00F04A85" w:rsidRPr="00910020">
        <w:t xml:space="preserve"> at </w:t>
      </w:r>
      <w:r w:rsidR="00684CBA" w:rsidRPr="00910020">
        <w:t>the upper limit of the</w:t>
      </w:r>
      <w:r w:rsidR="00F04A85" w:rsidRPr="00910020">
        <w:t xml:space="preserve"> £30,000</w:t>
      </w:r>
      <w:r w:rsidR="00684CBA" w:rsidRPr="00910020">
        <w:t xml:space="preserve"> threshold</w:t>
      </w:r>
      <w:r w:rsidR="00F04A85" w:rsidRPr="00910020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478"/>
        <w:gridCol w:w="1551"/>
        <w:gridCol w:w="1477"/>
        <w:gridCol w:w="1551"/>
        <w:gridCol w:w="1479"/>
      </w:tblGrid>
      <w:tr w:rsidR="00CC4E37" w:rsidRPr="00910020" w14:paraId="6883CE47" w14:textId="77777777" w:rsidTr="00D60AE3">
        <w:tc>
          <w:tcPr>
            <w:tcW w:w="1502" w:type="dxa"/>
          </w:tcPr>
          <w:p w14:paraId="3B6F99C6" w14:textId="310EDFBA" w:rsidR="00D60AE3" w:rsidRPr="00910020" w:rsidRDefault="00D60AE3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Group</w:t>
            </w:r>
          </w:p>
        </w:tc>
        <w:tc>
          <w:tcPr>
            <w:tcW w:w="1502" w:type="dxa"/>
          </w:tcPr>
          <w:p w14:paraId="436B038B" w14:textId="483B461A" w:rsidR="00D60AE3" w:rsidRPr="00910020" w:rsidRDefault="00D60AE3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Cost (£)</w:t>
            </w:r>
          </w:p>
        </w:tc>
        <w:tc>
          <w:tcPr>
            <w:tcW w:w="1503" w:type="dxa"/>
          </w:tcPr>
          <w:p w14:paraId="7B73B153" w14:textId="3C11F089" w:rsidR="00D60AE3" w:rsidRPr="00910020" w:rsidRDefault="00D60AE3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Incremental Cost (£)</w:t>
            </w:r>
          </w:p>
        </w:tc>
        <w:tc>
          <w:tcPr>
            <w:tcW w:w="1503" w:type="dxa"/>
          </w:tcPr>
          <w:p w14:paraId="2066C872" w14:textId="5C362051" w:rsidR="00D60AE3" w:rsidRPr="00910020" w:rsidRDefault="00343ED6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QALYs</w:t>
            </w:r>
          </w:p>
        </w:tc>
        <w:tc>
          <w:tcPr>
            <w:tcW w:w="1503" w:type="dxa"/>
          </w:tcPr>
          <w:p w14:paraId="22248AAB" w14:textId="06F316F2" w:rsidR="00D60AE3" w:rsidRPr="00910020" w:rsidRDefault="00D60AE3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 xml:space="preserve">Incremental </w:t>
            </w:r>
            <w:r w:rsidR="00343ED6" w:rsidRPr="00910020">
              <w:rPr>
                <w:b/>
                <w:bCs/>
              </w:rPr>
              <w:t>QALYs</w:t>
            </w:r>
          </w:p>
        </w:tc>
        <w:tc>
          <w:tcPr>
            <w:tcW w:w="1503" w:type="dxa"/>
          </w:tcPr>
          <w:p w14:paraId="6EE88002" w14:textId="2CEEC4BE" w:rsidR="00D60AE3" w:rsidRPr="00910020" w:rsidRDefault="00D60AE3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ICER</w:t>
            </w:r>
            <w:r w:rsidR="008B6E9D" w:rsidRPr="00910020">
              <w:rPr>
                <w:b/>
                <w:bCs/>
              </w:rPr>
              <w:t xml:space="preserve"> (£)</w:t>
            </w:r>
          </w:p>
        </w:tc>
      </w:tr>
      <w:tr w:rsidR="00CC4E37" w:rsidRPr="00910020" w14:paraId="096AE035" w14:textId="77777777" w:rsidTr="00D60AE3">
        <w:tc>
          <w:tcPr>
            <w:tcW w:w="1502" w:type="dxa"/>
          </w:tcPr>
          <w:p w14:paraId="238D55E2" w14:textId="14A10A79" w:rsidR="00D60AE3" w:rsidRPr="00910020" w:rsidRDefault="00D60AE3">
            <w:r w:rsidRPr="00910020">
              <w:t>Base</w:t>
            </w:r>
          </w:p>
        </w:tc>
        <w:tc>
          <w:tcPr>
            <w:tcW w:w="1502" w:type="dxa"/>
          </w:tcPr>
          <w:p w14:paraId="00247BA6" w14:textId="67B6F03E" w:rsidR="00D60AE3" w:rsidRPr="00910020" w:rsidRDefault="008B6E9D">
            <w:r w:rsidRPr="00910020">
              <w:t>1</w:t>
            </w:r>
            <w:r w:rsidR="00D8637D" w:rsidRPr="00910020">
              <w:t>7</w:t>
            </w:r>
            <w:r w:rsidRPr="00910020">
              <w:t>,</w:t>
            </w:r>
            <w:r w:rsidR="00D8637D" w:rsidRPr="00910020">
              <w:t>998</w:t>
            </w:r>
          </w:p>
        </w:tc>
        <w:tc>
          <w:tcPr>
            <w:tcW w:w="1503" w:type="dxa"/>
          </w:tcPr>
          <w:p w14:paraId="12A839CB" w14:textId="77777777" w:rsidR="00D60AE3" w:rsidRPr="00910020" w:rsidRDefault="00D60AE3"/>
        </w:tc>
        <w:tc>
          <w:tcPr>
            <w:tcW w:w="1503" w:type="dxa"/>
          </w:tcPr>
          <w:p w14:paraId="5ABDD3D9" w14:textId="729FBF7C" w:rsidR="00D60AE3" w:rsidRPr="00910020" w:rsidRDefault="008B6E9D">
            <w:r w:rsidRPr="00910020">
              <w:t>6.94</w:t>
            </w:r>
          </w:p>
        </w:tc>
        <w:tc>
          <w:tcPr>
            <w:tcW w:w="1503" w:type="dxa"/>
          </w:tcPr>
          <w:p w14:paraId="3F750F65" w14:textId="77777777" w:rsidR="00D60AE3" w:rsidRPr="00910020" w:rsidRDefault="00D60AE3"/>
        </w:tc>
        <w:tc>
          <w:tcPr>
            <w:tcW w:w="1503" w:type="dxa"/>
          </w:tcPr>
          <w:p w14:paraId="08DC6066" w14:textId="77777777" w:rsidR="00D60AE3" w:rsidRPr="00910020" w:rsidRDefault="00D60AE3"/>
        </w:tc>
      </w:tr>
      <w:tr w:rsidR="00CC4E37" w:rsidRPr="00910020" w14:paraId="070EA600" w14:textId="77777777" w:rsidTr="00D60AE3">
        <w:tc>
          <w:tcPr>
            <w:tcW w:w="1502" w:type="dxa"/>
          </w:tcPr>
          <w:p w14:paraId="6427F8BD" w14:textId="67F66747" w:rsidR="00D60AE3" w:rsidRPr="00910020" w:rsidRDefault="00D60AE3">
            <w:r w:rsidRPr="00910020">
              <w:t>Treated</w:t>
            </w:r>
          </w:p>
        </w:tc>
        <w:tc>
          <w:tcPr>
            <w:tcW w:w="1502" w:type="dxa"/>
          </w:tcPr>
          <w:p w14:paraId="6C7E604C" w14:textId="6D82A74A" w:rsidR="00D60AE3" w:rsidRPr="00910020" w:rsidRDefault="008B6E9D">
            <w:r w:rsidRPr="00910020">
              <w:t>2</w:t>
            </w:r>
            <w:r w:rsidR="00D8637D" w:rsidRPr="00910020">
              <w:t>4,211</w:t>
            </w:r>
          </w:p>
        </w:tc>
        <w:tc>
          <w:tcPr>
            <w:tcW w:w="1503" w:type="dxa"/>
          </w:tcPr>
          <w:p w14:paraId="47412431" w14:textId="6A7AE725" w:rsidR="00D60AE3" w:rsidRPr="00910020" w:rsidRDefault="008B6E9D">
            <w:r w:rsidRPr="00910020">
              <w:t>6,</w:t>
            </w:r>
            <w:r w:rsidR="00D8637D" w:rsidRPr="00910020">
              <w:t>213</w:t>
            </w:r>
          </w:p>
        </w:tc>
        <w:tc>
          <w:tcPr>
            <w:tcW w:w="1503" w:type="dxa"/>
          </w:tcPr>
          <w:p w14:paraId="29164AE3" w14:textId="17528873" w:rsidR="00D60AE3" w:rsidRPr="00910020" w:rsidRDefault="008B6E9D">
            <w:r w:rsidRPr="00910020">
              <w:t>7.10</w:t>
            </w:r>
          </w:p>
        </w:tc>
        <w:tc>
          <w:tcPr>
            <w:tcW w:w="1503" w:type="dxa"/>
          </w:tcPr>
          <w:p w14:paraId="5743AD32" w14:textId="40DA9780" w:rsidR="00D60AE3" w:rsidRPr="00910020" w:rsidRDefault="008B6E9D">
            <w:r w:rsidRPr="00910020">
              <w:t>0.16</w:t>
            </w:r>
          </w:p>
        </w:tc>
        <w:tc>
          <w:tcPr>
            <w:tcW w:w="1503" w:type="dxa"/>
          </w:tcPr>
          <w:p w14:paraId="5A5842FC" w14:textId="04083A9F" w:rsidR="00D60AE3" w:rsidRPr="00910020" w:rsidRDefault="00D8637D">
            <w:r w:rsidRPr="00910020">
              <w:t>37,798</w:t>
            </w:r>
          </w:p>
        </w:tc>
      </w:tr>
    </w:tbl>
    <w:p w14:paraId="29B491D9" w14:textId="506032C0" w:rsidR="00D50055" w:rsidRPr="00910020" w:rsidRDefault="00D50055">
      <w:r w:rsidRPr="00910020">
        <w:rPr>
          <w:b/>
          <w:bCs/>
        </w:rPr>
        <w:t xml:space="preserve">Table X </w:t>
      </w:r>
      <w:r w:rsidRPr="00910020">
        <w:t>Results of base</w:t>
      </w:r>
      <w:r w:rsidR="001A5D64" w:rsidRPr="00910020">
        <w:t xml:space="preserve">-case cost-effectiveness analysis </w:t>
      </w:r>
    </w:p>
    <w:p w14:paraId="71E7687C" w14:textId="2DFE9B58" w:rsidR="00D50055" w:rsidRPr="00910020" w:rsidRDefault="00980627">
      <w:r w:rsidRPr="00910020">
        <w:t xml:space="preserve">Treatment resulted in a 37% fall in </w:t>
      </w:r>
      <w:r w:rsidR="001E17AA" w:rsidRPr="00910020">
        <w:t xml:space="preserve">non-fatal stroke incidence and </w:t>
      </w:r>
      <w:r w:rsidR="00A8732F" w:rsidRPr="00910020">
        <w:t>a  23% fall in non-fatal MI</w:t>
      </w:r>
      <w:r w:rsidR="009E0C69" w:rsidRPr="00910020">
        <w:t xml:space="preserve"> events</w:t>
      </w:r>
      <w:r w:rsidR="00FC1694" w:rsidRPr="00910020">
        <w:t xml:space="preserve"> over the simulated 10-years</w:t>
      </w:r>
      <w:r w:rsidR="009E0C69" w:rsidRPr="00910020">
        <w:t>.</w:t>
      </w:r>
      <w:r w:rsidR="00FC1694" w:rsidRPr="00910020">
        <w:t xml:space="preserve"> </w:t>
      </w:r>
      <w:r w:rsidR="00345CC3" w:rsidRPr="00910020">
        <w:t>By year 10</w:t>
      </w:r>
      <w:r w:rsidR="00287CC1" w:rsidRPr="00910020">
        <w:t xml:space="preserve">, 39.7% of individuals in the untreated arm remained in the base state with no CVD events accrued. This was 51.8% in the treatment arm. </w:t>
      </w:r>
      <w:r w:rsidR="00333ADF" w:rsidRPr="00910020">
        <w:t xml:space="preserve">Death from any cause </w:t>
      </w:r>
      <w:r w:rsidR="00B27F07" w:rsidRPr="00910020">
        <w:t xml:space="preserve">was </w:t>
      </w:r>
      <w:r w:rsidR="00A2105E" w:rsidRPr="00910020">
        <w:t xml:space="preserve">12% lower in the treatment arm compared to the untreated arm </w:t>
      </w:r>
      <w:r w:rsidR="00C0036A">
        <w:t>by</w:t>
      </w:r>
      <w:r w:rsidR="00B27F07" w:rsidRPr="00910020">
        <w:t xml:space="preserve"> year 10. </w:t>
      </w:r>
    </w:p>
    <w:p w14:paraId="397DEE3E" w14:textId="77777777" w:rsidR="00C42B6B" w:rsidRPr="00910020" w:rsidRDefault="00C42B6B"/>
    <w:p w14:paraId="51C18C98" w14:textId="086F47B8" w:rsidR="00301755" w:rsidRPr="00910020" w:rsidRDefault="00301755">
      <w:pPr>
        <w:rPr>
          <w:b/>
          <w:bCs/>
        </w:rPr>
      </w:pPr>
      <w:r w:rsidRPr="00910020">
        <w:rPr>
          <w:b/>
          <w:bCs/>
        </w:rPr>
        <w:t xml:space="preserve">Sensitivity analysis </w:t>
      </w:r>
    </w:p>
    <w:p w14:paraId="6AFDAD51" w14:textId="059823F2" w:rsidR="00AC6EFB" w:rsidRPr="00910020" w:rsidRDefault="008F330B">
      <w:r w:rsidRPr="00910020">
        <w:t>Figure X shows the results of our one-way sensitivity analysis.</w:t>
      </w:r>
      <w:r w:rsidR="00290D26" w:rsidRPr="00910020">
        <w:t xml:space="preserve"> </w:t>
      </w:r>
      <w:r w:rsidR="005F3E8A" w:rsidRPr="00910020">
        <w:t xml:space="preserve">None of the hazard multipliers by state had an </w:t>
      </w:r>
      <w:r w:rsidR="00343F22" w:rsidRPr="00910020">
        <w:t>effect</w:t>
      </w:r>
      <w:r w:rsidR="005F3E8A" w:rsidRPr="00910020">
        <w:t xml:space="preserve"> of over </w:t>
      </w:r>
      <w:r w:rsidR="005C05FF" w:rsidRPr="00910020">
        <w:t>±</w:t>
      </w:r>
      <w:r w:rsidR="005F3E8A" w:rsidRPr="00910020">
        <w:t>1% on the final ICER. Changing the</w:t>
      </w:r>
      <w:r w:rsidR="005C05FF" w:rsidRPr="00910020">
        <w:t xml:space="preserve"> </w:t>
      </w:r>
      <w:r w:rsidR="005F3E8A" w:rsidRPr="00910020">
        <w:t xml:space="preserve">treatment </w:t>
      </w:r>
      <w:r w:rsidR="00FD2776" w:rsidRPr="00910020">
        <w:t xml:space="preserve">HR </w:t>
      </w:r>
      <w:r w:rsidR="00BE2069" w:rsidRPr="00910020">
        <w:t xml:space="preserve">for both MI and stroke </w:t>
      </w:r>
      <w:r w:rsidR="00A000AF" w:rsidRPr="00910020">
        <w:t>had the largest effect on the model outcomes</w:t>
      </w:r>
      <w:r w:rsidR="00CD7D4C" w:rsidRPr="00910020">
        <w:t xml:space="preserve">. </w:t>
      </w:r>
      <w:r w:rsidR="0012382E" w:rsidRPr="00910020">
        <w:t xml:space="preserve">A stroke treatment effect </w:t>
      </w:r>
      <w:r w:rsidR="00B95A87" w:rsidRPr="00910020">
        <w:t>ranging from 0.29-0.81 gave an ICER range of £</w:t>
      </w:r>
      <w:r w:rsidR="004F53F6" w:rsidRPr="00910020">
        <w:t>9,415</w:t>
      </w:r>
      <w:r w:rsidR="00B95A87" w:rsidRPr="00910020">
        <w:t>-£7</w:t>
      </w:r>
      <w:r w:rsidR="004F53F6" w:rsidRPr="00910020">
        <w:t>1,116</w:t>
      </w:r>
      <w:r w:rsidR="00CE205D" w:rsidRPr="00910020">
        <w:t xml:space="preserve">, and a MI treatment effect range of 0.44-0.95 </w:t>
      </w:r>
      <w:r w:rsidR="001774F6" w:rsidRPr="00910020">
        <w:t>gave £</w:t>
      </w:r>
      <w:r w:rsidR="004F53F6" w:rsidRPr="00910020">
        <w:t>19,355</w:t>
      </w:r>
      <w:r w:rsidR="001774F6" w:rsidRPr="00910020">
        <w:t>-£8</w:t>
      </w:r>
      <w:r w:rsidR="004F53F6" w:rsidRPr="00910020">
        <w:t>4,044</w:t>
      </w:r>
      <w:r w:rsidR="001774F6" w:rsidRPr="00910020">
        <w:t xml:space="preserve">. </w:t>
      </w:r>
      <w:r w:rsidR="0076001D">
        <w:t>A</w:t>
      </w:r>
      <w:r w:rsidR="00935C08" w:rsidRPr="00910020">
        <w:t>pplying the</w:t>
      </w:r>
      <w:r w:rsidR="008B763B" w:rsidRPr="00910020">
        <w:t xml:space="preserve"> lower limit </w:t>
      </w:r>
      <w:r w:rsidR="00583493" w:rsidRPr="00910020">
        <w:t xml:space="preserve">of stroke and MI treatment effect </w:t>
      </w:r>
      <w:r w:rsidR="0076001D">
        <w:t xml:space="preserve">was the only change that </w:t>
      </w:r>
      <w:r w:rsidR="00583493" w:rsidRPr="00910020">
        <w:t>provided an ICER lower than £20,000.</w:t>
      </w:r>
    </w:p>
    <w:p w14:paraId="76C884E7" w14:textId="07B5DB12" w:rsidR="008D53DB" w:rsidRPr="00910020" w:rsidRDefault="00392430">
      <w:r w:rsidRPr="00910020">
        <w:t xml:space="preserve">The model </w:t>
      </w:r>
      <w:r w:rsidR="00A444F5" w:rsidRPr="00910020">
        <w:t>was moderately sensitiv</w:t>
      </w:r>
      <w:r w:rsidR="0085437F" w:rsidRPr="00910020">
        <w:t>e</w:t>
      </w:r>
      <w:r w:rsidR="00A444F5" w:rsidRPr="00910020">
        <w:t xml:space="preserve"> </w:t>
      </w:r>
      <w:r w:rsidR="00C53543" w:rsidRPr="00910020">
        <w:t xml:space="preserve">to changing utility values. </w:t>
      </w:r>
      <w:r w:rsidR="00910D8B" w:rsidRPr="00910020">
        <w:t xml:space="preserve">Most utility values </w:t>
      </w:r>
      <w:r w:rsidR="00395419" w:rsidRPr="00910020">
        <w:t xml:space="preserve">showed less than </w:t>
      </w:r>
      <w:r w:rsidR="00C815DE" w:rsidRPr="00910020">
        <w:t>5</w:t>
      </w:r>
      <w:r w:rsidR="00395419" w:rsidRPr="00910020">
        <w:t xml:space="preserve">% variation </w:t>
      </w:r>
      <w:r w:rsidR="00C815DE" w:rsidRPr="00910020">
        <w:t>in final ICER calculations</w:t>
      </w:r>
      <w:r w:rsidR="00500247" w:rsidRPr="00910020">
        <w:t xml:space="preserve">. Applying </w:t>
      </w:r>
      <w:r w:rsidR="00EF5B77" w:rsidRPr="00910020">
        <w:t>a range of 0.79-0.87</w:t>
      </w:r>
      <w:r w:rsidR="00D62155" w:rsidRPr="00910020">
        <w:t xml:space="preserve"> of the</w:t>
      </w:r>
      <w:r w:rsidR="00F25905" w:rsidRPr="00910020">
        <w:t xml:space="preserve"> base state utility changed the ICER by -17%</w:t>
      </w:r>
      <w:r w:rsidR="009F09F1" w:rsidRPr="00910020">
        <w:t xml:space="preserve"> to </w:t>
      </w:r>
      <w:r w:rsidR="00F25905" w:rsidRPr="00910020">
        <w:t xml:space="preserve">25%. </w:t>
      </w:r>
      <w:r w:rsidR="00A35D5B" w:rsidRPr="00910020">
        <w:t xml:space="preserve">Altering the disutility of </w:t>
      </w:r>
      <w:r w:rsidR="006F7095" w:rsidRPr="00910020">
        <w:t xml:space="preserve">an </w:t>
      </w:r>
      <w:r w:rsidR="00A35D5B" w:rsidRPr="00910020">
        <w:t xml:space="preserve">acute stroke </w:t>
      </w:r>
      <w:r w:rsidR="006F7095" w:rsidRPr="00910020">
        <w:t xml:space="preserve">event </w:t>
      </w:r>
      <w:r w:rsidR="00A35D5B" w:rsidRPr="00910020">
        <w:t xml:space="preserve">had a </w:t>
      </w:r>
      <w:r w:rsidR="004F2CA8" w:rsidRPr="00910020">
        <w:t xml:space="preserve">much </w:t>
      </w:r>
      <w:r w:rsidR="00A35D5B" w:rsidRPr="00910020">
        <w:t xml:space="preserve">larger effect than </w:t>
      </w:r>
      <w:r w:rsidR="004F2CA8" w:rsidRPr="00910020">
        <w:t>changing MI disutility</w:t>
      </w:r>
      <w:r w:rsidR="006F7095" w:rsidRPr="00910020">
        <w:t xml:space="preserve">, which </w:t>
      </w:r>
      <w:r w:rsidR="00B6100C" w:rsidRPr="00910020">
        <w:t xml:space="preserve">provided </w:t>
      </w:r>
      <w:r w:rsidR="003B272F" w:rsidRPr="00910020">
        <w:t>a ±1%</w:t>
      </w:r>
      <w:r w:rsidR="00B6100C" w:rsidRPr="00910020">
        <w:t xml:space="preserve"> difference to the final ICER value</w:t>
      </w:r>
      <w:r w:rsidR="004F2CA8" w:rsidRPr="00910020">
        <w:t xml:space="preserve">. </w:t>
      </w:r>
    </w:p>
    <w:p w14:paraId="11103689" w14:textId="77777777" w:rsidR="00FE1D11" w:rsidRPr="00910020" w:rsidRDefault="00B6100C">
      <w:r w:rsidRPr="00910020">
        <w:t xml:space="preserve">Changing the cost of </w:t>
      </w:r>
      <w:r w:rsidR="005A00F8" w:rsidRPr="00910020">
        <w:t xml:space="preserve">the </w:t>
      </w:r>
      <w:r w:rsidRPr="00910020">
        <w:t>post-stroke (Y2)</w:t>
      </w:r>
      <w:r w:rsidR="005A00F8" w:rsidRPr="00910020">
        <w:t xml:space="preserve"> state showed the largest variation </w:t>
      </w:r>
      <w:r w:rsidR="00D25E20" w:rsidRPr="00910020">
        <w:t>out of all the costs</w:t>
      </w:r>
      <w:r w:rsidR="00207DD8" w:rsidRPr="00910020">
        <w:t>, most of which were unresponsive to sensitivity</w:t>
      </w:r>
      <w:r w:rsidR="00D25E20" w:rsidRPr="00910020">
        <w:t xml:space="preserve">. </w:t>
      </w:r>
      <w:r w:rsidR="000031F6" w:rsidRPr="00910020">
        <w:t xml:space="preserve">Changing </w:t>
      </w:r>
      <w:r w:rsidR="00222BAA" w:rsidRPr="00910020">
        <w:t>M</w:t>
      </w:r>
      <w:r w:rsidR="000031F6" w:rsidRPr="00910020">
        <w:t>I</w:t>
      </w:r>
      <w:r w:rsidR="00222BAA" w:rsidRPr="00910020">
        <w:t xml:space="preserve"> and stroke acute cost</w:t>
      </w:r>
      <w:r w:rsidR="000031F6" w:rsidRPr="00910020">
        <w:t xml:space="preserve">s, by ±10% each, </w:t>
      </w:r>
      <w:r w:rsidR="00875DDE" w:rsidRPr="00910020">
        <w:t xml:space="preserve">had </w:t>
      </w:r>
      <w:r w:rsidR="00FE1D11" w:rsidRPr="00910020">
        <w:t>a minimal</w:t>
      </w:r>
      <w:r w:rsidR="00875DDE" w:rsidRPr="00910020">
        <w:t xml:space="preserve"> effect on the final ICER.</w:t>
      </w:r>
      <w:r w:rsidR="00FE1D11" w:rsidRPr="00910020">
        <w:t xml:space="preserve"> </w:t>
      </w:r>
    </w:p>
    <w:p w14:paraId="7062D7FC" w14:textId="12AE7795" w:rsidR="00B6100C" w:rsidRPr="00910020" w:rsidRDefault="00FE1D11">
      <w:r w:rsidRPr="00910020">
        <w:t xml:space="preserve">Altering the discount rate </w:t>
      </w:r>
      <w:r w:rsidR="0052671D" w:rsidRPr="00910020">
        <w:t xml:space="preserve">to 2% and 5% </w:t>
      </w:r>
      <w:r w:rsidRPr="00910020">
        <w:t>did not have an effect on the final results.</w:t>
      </w:r>
    </w:p>
    <w:p w14:paraId="5DA4405C" w14:textId="1EDB9F96" w:rsidR="00CF22FF" w:rsidRPr="00910020" w:rsidRDefault="00CF22FF">
      <w:r w:rsidRPr="00910020">
        <w:rPr>
          <w:noProof/>
        </w:rPr>
        <w:lastRenderedPageBreak/>
        <w:drawing>
          <wp:inline distT="0" distB="0" distL="0" distR="0" wp14:anchorId="6A860545" wp14:editId="77A643BE">
            <wp:extent cx="5905500" cy="4486275"/>
            <wp:effectExtent l="0" t="0" r="0" b="9525"/>
            <wp:docPr id="4240804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60BEE07-704B-0F68-1C0B-DFBC1D5930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B82BBA2" w14:textId="4E0162DD" w:rsidR="00B27F07" w:rsidRPr="00910020" w:rsidRDefault="00B27F07">
      <w:r w:rsidRPr="00910020">
        <w:rPr>
          <w:b/>
          <w:bCs/>
        </w:rPr>
        <w:t xml:space="preserve">Figure X </w:t>
      </w:r>
      <w:r w:rsidR="00DE27D5" w:rsidRPr="00910020">
        <w:t>Tornado Plot Of One-Way Sensi</w:t>
      </w:r>
      <w:r w:rsidR="00CE603A" w:rsidRPr="00910020">
        <w:t>tivity Analysis</w:t>
      </w:r>
      <w:r w:rsidR="00C16F8F" w:rsidRPr="00910020">
        <w:t xml:space="preserve"> For Selected Variables</w:t>
      </w:r>
    </w:p>
    <w:p w14:paraId="73509632" w14:textId="77777777" w:rsidR="00DE3998" w:rsidRPr="00910020" w:rsidRDefault="00DE3998"/>
    <w:p w14:paraId="1D097CCC" w14:textId="77777777" w:rsidR="00A07E52" w:rsidRPr="00910020" w:rsidRDefault="000B7AF1" w:rsidP="00A07E52">
      <w:r w:rsidRPr="00910020">
        <w:t xml:space="preserve">Figure X shows the effect of </w:t>
      </w:r>
      <w:r w:rsidR="00024DC1" w:rsidRPr="00910020">
        <w:t xml:space="preserve">changing the cost of periodontal treatment on its cost-effectiveness. </w:t>
      </w:r>
      <w:r w:rsidR="00080266" w:rsidRPr="00910020">
        <w:t xml:space="preserve">For </w:t>
      </w:r>
      <w:r w:rsidR="00B272A2" w:rsidRPr="00910020">
        <w:t xml:space="preserve">this treatment to be cost-effective in preventing MI and stroke events, it would need to have a per-cycle cost of </w:t>
      </w:r>
      <w:r w:rsidR="003258AE" w:rsidRPr="00910020">
        <w:t xml:space="preserve">between </w:t>
      </w:r>
      <w:r w:rsidR="00380B63" w:rsidRPr="00910020">
        <w:t>approximately £950-£1150. Per-cycle periodontal treatment is currently £</w:t>
      </w:r>
      <w:r w:rsidR="00CD131F" w:rsidRPr="00910020">
        <w:t>1,274.82</w:t>
      </w:r>
      <w:r w:rsidR="005E77CD" w:rsidRPr="00910020">
        <w:t xml:space="preserve"> given the </w:t>
      </w:r>
      <w:r w:rsidR="00451652" w:rsidRPr="00910020">
        <w:t>expected procedures per cycle in Table X</w:t>
      </w:r>
      <w:r w:rsidR="00CD131F" w:rsidRPr="00910020">
        <w:t xml:space="preserve">. </w:t>
      </w:r>
    </w:p>
    <w:p w14:paraId="277B9647" w14:textId="68536FF1" w:rsidR="00A07E52" w:rsidRPr="00910020" w:rsidRDefault="00A07E52" w:rsidP="00A07E52">
      <w:r w:rsidRPr="00910020">
        <w:t>Figure X and Figure XX reports the results of our probabilistic sensitivity analysis</w:t>
      </w:r>
      <w:r w:rsidR="00F17FEC" w:rsidRPr="00910020">
        <w:t xml:space="preserve"> (PSA)</w:t>
      </w:r>
      <w:r w:rsidRPr="00910020">
        <w:t xml:space="preserve">. Given a cost-effectiveness threshold range of £20,000-£30,000, non-surgical periodontal treatment was cost-effective in 46.88%-72.13% of the runs. </w:t>
      </w:r>
      <w:r w:rsidR="00E902C7" w:rsidRPr="00910020">
        <w:t>99</w:t>
      </w:r>
      <w:r w:rsidR="00414A3B" w:rsidRPr="00910020">
        <w:t>.37</w:t>
      </w:r>
      <w:r w:rsidR="00E902C7" w:rsidRPr="00910020">
        <w:t>%</w:t>
      </w:r>
      <w:r w:rsidRPr="00910020">
        <w:t xml:space="preserve"> of runs resulted in the treatment being more effective and more costly</w:t>
      </w:r>
      <w:r w:rsidR="00DE5C71">
        <w:t xml:space="preserve">, but only </w:t>
      </w:r>
      <w:r w:rsidR="00E94F18">
        <w:t>36.53% of runs resulted in an ICER less than £30,000</w:t>
      </w:r>
      <w:r w:rsidRPr="00910020">
        <w:t xml:space="preserve">. </w:t>
      </w:r>
      <w:r w:rsidR="00BC5B96" w:rsidRPr="00910020">
        <w:t xml:space="preserve">Table X </w:t>
      </w:r>
      <w:r w:rsidR="00553BDE" w:rsidRPr="00910020">
        <w:t xml:space="preserve">provides the </w:t>
      </w:r>
      <w:r w:rsidR="00F17FEC" w:rsidRPr="00910020">
        <w:t>results of the PSA.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539"/>
        <w:gridCol w:w="2977"/>
        <w:gridCol w:w="2551"/>
      </w:tblGrid>
      <w:tr w:rsidR="00343ED6" w:rsidRPr="00910020" w14:paraId="7B3F578C" w14:textId="77777777" w:rsidTr="006217EC">
        <w:tc>
          <w:tcPr>
            <w:tcW w:w="3539" w:type="dxa"/>
          </w:tcPr>
          <w:p w14:paraId="310EBCE4" w14:textId="6296BA26" w:rsidR="00343ED6" w:rsidRPr="00910020" w:rsidRDefault="00343ED6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Mean Incremental Cost (£)</w:t>
            </w:r>
          </w:p>
        </w:tc>
        <w:tc>
          <w:tcPr>
            <w:tcW w:w="2977" w:type="dxa"/>
          </w:tcPr>
          <w:p w14:paraId="1D7150E5" w14:textId="1ABC0988" w:rsidR="00343ED6" w:rsidRPr="00910020" w:rsidRDefault="00343ED6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Mean Incremental QALYs</w:t>
            </w:r>
          </w:p>
        </w:tc>
        <w:tc>
          <w:tcPr>
            <w:tcW w:w="2551" w:type="dxa"/>
          </w:tcPr>
          <w:p w14:paraId="1F392168" w14:textId="6C966688" w:rsidR="00343ED6" w:rsidRPr="00910020" w:rsidRDefault="00343ED6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Mean ICER (£)</w:t>
            </w:r>
          </w:p>
        </w:tc>
      </w:tr>
      <w:tr w:rsidR="00343ED6" w:rsidRPr="00910020" w14:paraId="21DB60AD" w14:textId="77777777" w:rsidTr="006217EC">
        <w:tc>
          <w:tcPr>
            <w:tcW w:w="3539" w:type="dxa"/>
          </w:tcPr>
          <w:p w14:paraId="480E7D7C" w14:textId="3E3770BC" w:rsidR="00343ED6" w:rsidRPr="00910020" w:rsidRDefault="006217EC">
            <w:r w:rsidRPr="00910020">
              <w:t>8,084</w:t>
            </w:r>
          </w:p>
        </w:tc>
        <w:tc>
          <w:tcPr>
            <w:tcW w:w="2977" w:type="dxa"/>
          </w:tcPr>
          <w:p w14:paraId="6EF0DFFA" w14:textId="63B1DCA4" w:rsidR="00343ED6" w:rsidRPr="00910020" w:rsidRDefault="006217EC">
            <w:r w:rsidRPr="00910020">
              <w:t>0.40</w:t>
            </w:r>
          </w:p>
        </w:tc>
        <w:tc>
          <w:tcPr>
            <w:tcW w:w="2551" w:type="dxa"/>
          </w:tcPr>
          <w:p w14:paraId="29CD632C" w14:textId="53C19E56" w:rsidR="00343ED6" w:rsidRPr="00910020" w:rsidRDefault="006217EC">
            <w:r w:rsidRPr="00910020">
              <w:t>24,782</w:t>
            </w:r>
          </w:p>
        </w:tc>
      </w:tr>
    </w:tbl>
    <w:p w14:paraId="025F5280" w14:textId="537CAF30" w:rsidR="00F17FEC" w:rsidRPr="00910020" w:rsidRDefault="00790C3E">
      <w:r w:rsidRPr="00910020">
        <w:rPr>
          <w:b/>
          <w:bCs/>
        </w:rPr>
        <w:t xml:space="preserve">Table X </w:t>
      </w:r>
      <w:r w:rsidR="0046439D" w:rsidRPr="00910020">
        <w:t>PSA Results</w:t>
      </w:r>
    </w:p>
    <w:p w14:paraId="089B3058" w14:textId="25AAD746" w:rsidR="000B7AF1" w:rsidRPr="00910020" w:rsidRDefault="00223F72">
      <w:r w:rsidRPr="0091002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1F89A2" wp14:editId="3FD5AED9">
                <wp:simplePos x="0" y="0"/>
                <wp:positionH relativeFrom="column">
                  <wp:posOffset>3371850</wp:posOffset>
                </wp:positionH>
                <wp:positionV relativeFrom="paragraph">
                  <wp:posOffset>1695450</wp:posOffset>
                </wp:positionV>
                <wp:extent cx="19050" cy="1409700"/>
                <wp:effectExtent l="0" t="0" r="19050" b="19050"/>
                <wp:wrapNone/>
                <wp:docPr id="10530357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40970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B6D48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5pt,133.5pt" to="267pt,2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" strokecolor="#e00" strokeweight="1.5pt">
                <v:stroke dashstyle="dash"/>
              </v:line>
            </w:pict>
          </mc:Fallback>
        </mc:AlternateContent>
      </w:r>
      <w:r w:rsidRPr="0091002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B7A4D8" wp14:editId="3861505A">
                <wp:simplePos x="0" y="0"/>
                <wp:positionH relativeFrom="column">
                  <wp:posOffset>774700</wp:posOffset>
                </wp:positionH>
                <wp:positionV relativeFrom="paragraph">
                  <wp:posOffset>1587501</wp:posOffset>
                </wp:positionV>
                <wp:extent cx="2552700" cy="6350"/>
                <wp:effectExtent l="0" t="0" r="19050" b="31750"/>
                <wp:wrapNone/>
                <wp:docPr id="1640389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2700" cy="635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FDAA43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pt,125pt" to="262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" strokecolor="#e00" strokeweight="1.5pt">
                <v:stroke dashstyle="dash"/>
              </v:line>
            </w:pict>
          </mc:Fallback>
        </mc:AlternateContent>
      </w:r>
      <w:r w:rsidR="00990A96" w:rsidRPr="0091002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D85D39" wp14:editId="46A9A06A">
                <wp:simplePos x="0" y="0"/>
                <wp:positionH relativeFrom="column">
                  <wp:posOffset>2466760</wp:posOffset>
                </wp:positionH>
                <wp:positionV relativeFrom="paragraph">
                  <wp:posOffset>2165086</wp:posOffset>
                </wp:positionV>
                <wp:extent cx="17253" cy="871376"/>
                <wp:effectExtent l="0" t="0" r="20955" b="24130"/>
                <wp:wrapNone/>
                <wp:docPr id="14120631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53" cy="871376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CE039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25pt,170.5pt" to="195.6pt,2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" strokecolor="#e00" strokeweight="1.5pt">
                <v:stroke dashstyle="dash"/>
              </v:line>
            </w:pict>
          </mc:Fallback>
        </mc:AlternateContent>
      </w:r>
      <w:r w:rsidR="00990A96" w:rsidRPr="0091002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615899" wp14:editId="187303E8">
                <wp:simplePos x="0" y="0"/>
                <wp:positionH relativeFrom="column">
                  <wp:posOffset>785004</wp:posOffset>
                </wp:positionH>
                <wp:positionV relativeFrom="paragraph">
                  <wp:posOffset>2078966</wp:posOffset>
                </wp:positionV>
                <wp:extent cx="1673524" cy="17253"/>
                <wp:effectExtent l="0" t="0" r="22225" b="20955"/>
                <wp:wrapNone/>
                <wp:docPr id="481643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3524" cy="1725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3AD6F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8pt,163.7pt" to="193.55pt,1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" strokecolor="#e00" strokeweight="1.5pt">
                <v:stroke dashstyle="dash"/>
              </v:line>
            </w:pict>
          </mc:Fallback>
        </mc:AlternateContent>
      </w:r>
      <w:r w:rsidR="00705467" w:rsidRPr="00910020">
        <w:rPr>
          <w:noProof/>
        </w:rPr>
        <w:drawing>
          <wp:inline distT="0" distB="0" distL="0" distR="0" wp14:anchorId="1C932C76" wp14:editId="773EA510">
            <wp:extent cx="5731510" cy="3733165"/>
            <wp:effectExtent l="0" t="0" r="2540" b="635"/>
            <wp:docPr id="7108262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783F20D-1C99-C954-1632-78E2F69897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8672921" w14:textId="25538F12" w:rsidR="00AC6EFB" w:rsidRPr="00910020" w:rsidRDefault="00DB2A09">
      <w:r w:rsidRPr="00910020">
        <w:rPr>
          <w:b/>
          <w:bCs/>
        </w:rPr>
        <w:t xml:space="preserve">Figure X </w:t>
      </w:r>
      <w:r w:rsidR="00EA0B76" w:rsidRPr="00910020">
        <w:t>Effect of per cycle treatment cost on cost-effectiveness</w:t>
      </w:r>
    </w:p>
    <w:p w14:paraId="4063D8C4" w14:textId="77777777" w:rsidR="00A81C12" w:rsidRPr="00910020" w:rsidRDefault="00A81C12"/>
    <w:p w14:paraId="5E80A9FA" w14:textId="3FF27970" w:rsidR="00984B49" w:rsidRPr="00910020" w:rsidRDefault="003B3DB6">
      <w:r w:rsidRPr="00910020">
        <w:rPr>
          <w:noProof/>
        </w:rPr>
        <w:drawing>
          <wp:inline distT="0" distB="0" distL="0" distR="0" wp14:anchorId="5429A443" wp14:editId="37EB1EB0">
            <wp:extent cx="5731510" cy="3973195"/>
            <wp:effectExtent l="0" t="0" r="2540" b="8255"/>
            <wp:docPr id="1586427681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27681" name="Picture 1" descr="A diagram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D329" w14:textId="37B58775" w:rsidR="00987EDF" w:rsidRPr="00910020" w:rsidRDefault="00984B49">
      <w:r w:rsidRPr="00910020">
        <w:rPr>
          <w:b/>
          <w:bCs/>
        </w:rPr>
        <w:t xml:space="preserve">Figure X </w:t>
      </w:r>
      <w:r w:rsidRPr="00910020">
        <w:t>Cost-effectiveness plane</w:t>
      </w:r>
    </w:p>
    <w:p w14:paraId="2663E604" w14:textId="0B6A14A1" w:rsidR="00D33C73" w:rsidRPr="00910020" w:rsidRDefault="00987EDF">
      <w:r w:rsidRPr="00910020">
        <w:rPr>
          <w:noProof/>
        </w:rPr>
        <w:lastRenderedPageBreak/>
        <w:drawing>
          <wp:inline distT="0" distB="0" distL="0" distR="0" wp14:anchorId="7FA62825" wp14:editId="6DDA96C6">
            <wp:extent cx="5710687" cy="3776544"/>
            <wp:effectExtent l="0" t="0" r="4445" b="0"/>
            <wp:docPr id="49120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02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2722" cy="380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A2CF" w14:textId="35A5E3EB" w:rsidR="00CB796F" w:rsidRPr="00C10253" w:rsidRDefault="00984B49">
      <w:pPr>
        <w:rPr>
          <w:lang w:val="en-US"/>
        </w:rPr>
      </w:pPr>
      <w:r w:rsidRPr="00910020">
        <w:rPr>
          <w:b/>
          <w:bCs/>
        </w:rPr>
        <w:t xml:space="preserve">Figure X </w:t>
      </w:r>
      <w:r w:rsidRPr="00910020">
        <w:t xml:space="preserve">Cost-effectiveness acceptability curve </w:t>
      </w:r>
      <w:r w:rsidR="00176AF2" w:rsidRPr="00910020">
        <w:t xml:space="preserve"> </w:t>
      </w:r>
    </w:p>
    <w:sectPr w:rsidR="00CB796F" w:rsidRPr="00C1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53"/>
    <w:rsid w:val="000031F6"/>
    <w:rsid w:val="00024DC1"/>
    <w:rsid w:val="0003070A"/>
    <w:rsid w:val="000439D6"/>
    <w:rsid w:val="00066A19"/>
    <w:rsid w:val="00080266"/>
    <w:rsid w:val="00085D53"/>
    <w:rsid w:val="000A274E"/>
    <w:rsid w:val="000B7AF1"/>
    <w:rsid w:val="000E5EFC"/>
    <w:rsid w:val="000F7B35"/>
    <w:rsid w:val="0012382E"/>
    <w:rsid w:val="00163D82"/>
    <w:rsid w:val="001648D0"/>
    <w:rsid w:val="00176AF2"/>
    <w:rsid w:val="001774F6"/>
    <w:rsid w:val="00194B51"/>
    <w:rsid w:val="001A5D64"/>
    <w:rsid w:val="001A6579"/>
    <w:rsid w:val="001B2355"/>
    <w:rsid w:val="001C121C"/>
    <w:rsid w:val="001D559B"/>
    <w:rsid w:val="001E0B3E"/>
    <w:rsid w:val="001E17AA"/>
    <w:rsid w:val="002008EB"/>
    <w:rsid w:val="00207DD8"/>
    <w:rsid w:val="00220322"/>
    <w:rsid w:val="00222BAA"/>
    <w:rsid w:val="00223F72"/>
    <w:rsid w:val="0026144B"/>
    <w:rsid w:val="002644CB"/>
    <w:rsid w:val="00287CC1"/>
    <w:rsid w:val="00290D26"/>
    <w:rsid w:val="002A4BA7"/>
    <w:rsid w:val="002C173F"/>
    <w:rsid w:val="002D6986"/>
    <w:rsid w:val="002E0635"/>
    <w:rsid w:val="002E6BD4"/>
    <w:rsid w:val="002F0355"/>
    <w:rsid w:val="00301755"/>
    <w:rsid w:val="0030437A"/>
    <w:rsid w:val="00314600"/>
    <w:rsid w:val="003258AE"/>
    <w:rsid w:val="00333ADF"/>
    <w:rsid w:val="00334A6F"/>
    <w:rsid w:val="00343ED6"/>
    <w:rsid w:val="00343F22"/>
    <w:rsid w:val="00345CC3"/>
    <w:rsid w:val="00380B63"/>
    <w:rsid w:val="00392430"/>
    <w:rsid w:val="00393F31"/>
    <w:rsid w:val="00395419"/>
    <w:rsid w:val="003B272F"/>
    <w:rsid w:val="003B2D4A"/>
    <w:rsid w:val="003B3DB6"/>
    <w:rsid w:val="004101AF"/>
    <w:rsid w:val="00414A3B"/>
    <w:rsid w:val="00451652"/>
    <w:rsid w:val="0046439D"/>
    <w:rsid w:val="00474AFE"/>
    <w:rsid w:val="00485E67"/>
    <w:rsid w:val="004D1BBA"/>
    <w:rsid w:val="004E3653"/>
    <w:rsid w:val="004F2CA8"/>
    <w:rsid w:val="004F53F6"/>
    <w:rsid w:val="00500247"/>
    <w:rsid w:val="0052671D"/>
    <w:rsid w:val="00530E38"/>
    <w:rsid w:val="00553BDE"/>
    <w:rsid w:val="00583493"/>
    <w:rsid w:val="0059432D"/>
    <w:rsid w:val="005A00F8"/>
    <w:rsid w:val="005C05FF"/>
    <w:rsid w:val="005E77CD"/>
    <w:rsid w:val="005F3E8A"/>
    <w:rsid w:val="006217EC"/>
    <w:rsid w:val="006553F9"/>
    <w:rsid w:val="00656323"/>
    <w:rsid w:val="00684CBA"/>
    <w:rsid w:val="006943A7"/>
    <w:rsid w:val="006958E5"/>
    <w:rsid w:val="00696E75"/>
    <w:rsid w:val="006B371C"/>
    <w:rsid w:val="006E7B87"/>
    <w:rsid w:val="006F7095"/>
    <w:rsid w:val="00705467"/>
    <w:rsid w:val="0076001D"/>
    <w:rsid w:val="00780EAF"/>
    <w:rsid w:val="00790C3E"/>
    <w:rsid w:val="007B75FD"/>
    <w:rsid w:val="007C34C6"/>
    <w:rsid w:val="007C3F57"/>
    <w:rsid w:val="007D5386"/>
    <w:rsid w:val="007E19F8"/>
    <w:rsid w:val="007E6918"/>
    <w:rsid w:val="00812E9F"/>
    <w:rsid w:val="00830B71"/>
    <w:rsid w:val="0083293D"/>
    <w:rsid w:val="0085437F"/>
    <w:rsid w:val="008731AF"/>
    <w:rsid w:val="00875DDE"/>
    <w:rsid w:val="008B6E9D"/>
    <w:rsid w:val="008B763B"/>
    <w:rsid w:val="008D53DB"/>
    <w:rsid w:val="008F330B"/>
    <w:rsid w:val="008F714E"/>
    <w:rsid w:val="00906906"/>
    <w:rsid w:val="00910020"/>
    <w:rsid w:val="00910D8B"/>
    <w:rsid w:val="00913671"/>
    <w:rsid w:val="009318DC"/>
    <w:rsid w:val="009357D2"/>
    <w:rsid w:val="00935C08"/>
    <w:rsid w:val="009427A0"/>
    <w:rsid w:val="009445A5"/>
    <w:rsid w:val="00980627"/>
    <w:rsid w:val="00984B49"/>
    <w:rsid w:val="00985CEE"/>
    <w:rsid w:val="00987EDF"/>
    <w:rsid w:val="00990A96"/>
    <w:rsid w:val="00997D55"/>
    <w:rsid w:val="009C7D77"/>
    <w:rsid w:val="009E0C69"/>
    <w:rsid w:val="009E1BB7"/>
    <w:rsid w:val="009F09F1"/>
    <w:rsid w:val="00A000AF"/>
    <w:rsid w:val="00A05137"/>
    <w:rsid w:val="00A07E52"/>
    <w:rsid w:val="00A2105E"/>
    <w:rsid w:val="00A35D5B"/>
    <w:rsid w:val="00A444F5"/>
    <w:rsid w:val="00A51E7F"/>
    <w:rsid w:val="00A81C12"/>
    <w:rsid w:val="00A8732F"/>
    <w:rsid w:val="00A96D6F"/>
    <w:rsid w:val="00AC6EFB"/>
    <w:rsid w:val="00AE7E78"/>
    <w:rsid w:val="00B070AF"/>
    <w:rsid w:val="00B22755"/>
    <w:rsid w:val="00B272A2"/>
    <w:rsid w:val="00B27F07"/>
    <w:rsid w:val="00B468FF"/>
    <w:rsid w:val="00B6100C"/>
    <w:rsid w:val="00B86AF8"/>
    <w:rsid w:val="00B9496D"/>
    <w:rsid w:val="00B95A87"/>
    <w:rsid w:val="00BC3546"/>
    <w:rsid w:val="00BC4BE2"/>
    <w:rsid w:val="00BC5B96"/>
    <w:rsid w:val="00BD0F98"/>
    <w:rsid w:val="00BD3C18"/>
    <w:rsid w:val="00BE2069"/>
    <w:rsid w:val="00C0036A"/>
    <w:rsid w:val="00C0102A"/>
    <w:rsid w:val="00C10253"/>
    <w:rsid w:val="00C16F8F"/>
    <w:rsid w:val="00C21685"/>
    <w:rsid w:val="00C42B6B"/>
    <w:rsid w:val="00C53543"/>
    <w:rsid w:val="00C815DE"/>
    <w:rsid w:val="00C81FE4"/>
    <w:rsid w:val="00C92146"/>
    <w:rsid w:val="00CB6C7E"/>
    <w:rsid w:val="00CB796F"/>
    <w:rsid w:val="00CC4E37"/>
    <w:rsid w:val="00CD0119"/>
    <w:rsid w:val="00CD131F"/>
    <w:rsid w:val="00CD7D4C"/>
    <w:rsid w:val="00CE205D"/>
    <w:rsid w:val="00CE603A"/>
    <w:rsid w:val="00CF1E4B"/>
    <w:rsid w:val="00CF22FF"/>
    <w:rsid w:val="00CF63B6"/>
    <w:rsid w:val="00D25E20"/>
    <w:rsid w:val="00D33C73"/>
    <w:rsid w:val="00D50055"/>
    <w:rsid w:val="00D60AE3"/>
    <w:rsid w:val="00D62155"/>
    <w:rsid w:val="00D81859"/>
    <w:rsid w:val="00D8637D"/>
    <w:rsid w:val="00D93938"/>
    <w:rsid w:val="00DB2A09"/>
    <w:rsid w:val="00DC66B9"/>
    <w:rsid w:val="00DE27D5"/>
    <w:rsid w:val="00DE3998"/>
    <w:rsid w:val="00DE5C71"/>
    <w:rsid w:val="00E43295"/>
    <w:rsid w:val="00E902C7"/>
    <w:rsid w:val="00E938A9"/>
    <w:rsid w:val="00E94F18"/>
    <w:rsid w:val="00EA0B76"/>
    <w:rsid w:val="00EB3CBD"/>
    <w:rsid w:val="00EF5B77"/>
    <w:rsid w:val="00F04A85"/>
    <w:rsid w:val="00F127E6"/>
    <w:rsid w:val="00F17FEC"/>
    <w:rsid w:val="00F25905"/>
    <w:rsid w:val="00F969AA"/>
    <w:rsid w:val="00FA7218"/>
    <w:rsid w:val="00FC1694"/>
    <w:rsid w:val="00FC26CA"/>
    <w:rsid w:val="00FD2776"/>
    <w:rsid w:val="00FE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33C7D"/>
  <w15:chartTrackingRefBased/>
  <w15:docId w15:val="{A0021C3C-D14E-4D0E-989A-9BDB88B0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0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smiledesignsdental-my.sharepoint.com/personal/edward_coote_21d_co_uk/Documents/Documents/PD_CVD/Models/PD_CVD_markov%20-%20PSA%20On.xlsm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smiledesignsdental-my.sharepoint.com/personal/edward_coote_21d_co_uk/Documents/Documents/PD_CVD/Models/PD_CVD_markov%20-%20PSA%20On.xlsm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v>Upper Limit Applied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21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2-CCFC-403E-ABAF-BC04E2FED323}"/>
              </c:ext>
            </c:extLst>
          </c:dPt>
          <c:cat>
            <c:strRef>
              <c:f>(Tornado_OneWaySA!$B$4:$B$16,Tornado_OneWaySA!$B$28:$B$36)</c:f>
              <c:strCache>
                <c:ptCount val="22"/>
                <c:pt idx="0">
                  <c:v>Base utilities </c:v>
                </c:pt>
                <c:pt idx="1">
                  <c:v>Stroke disutility</c:v>
                </c:pt>
                <c:pt idx="2">
                  <c:v>Baseline stroke hazard</c:v>
                </c:pt>
                <c:pt idx="3">
                  <c:v>Post Stroke Y2 State cost</c:v>
                </c:pt>
                <c:pt idx="4">
                  <c:v>MI fatality rate</c:v>
                </c:pt>
                <c:pt idx="5">
                  <c:v>Post Both Y2 state cost </c:v>
                </c:pt>
                <c:pt idx="6">
                  <c:v>Stroke fatality rate</c:v>
                </c:pt>
                <c:pt idx="7">
                  <c:v>Post Stroke Y1 State cost</c:v>
                </c:pt>
                <c:pt idx="8">
                  <c:v>Post MI Y2 state cost</c:v>
                </c:pt>
                <c:pt idx="9">
                  <c:v>Acute stroke cost</c:v>
                </c:pt>
                <c:pt idx="10">
                  <c:v>MI disutility </c:v>
                </c:pt>
                <c:pt idx="11">
                  <c:v>Post Both Y1 state cost</c:v>
                </c:pt>
                <c:pt idx="12">
                  <c:v>MI event after MI Y2</c:v>
                </c:pt>
                <c:pt idx="13">
                  <c:v>Post both Y2</c:v>
                </c:pt>
                <c:pt idx="14">
                  <c:v>Post MI Y1 utilities</c:v>
                </c:pt>
                <c:pt idx="15">
                  <c:v>Baseline death hazard</c:v>
                </c:pt>
                <c:pt idx="16">
                  <c:v>Post stroke Y1 utilities</c:v>
                </c:pt>
                <c:pt idx="17">
                  <c:v>Post MI Y2 utilities</c:v>
                </c:pt>
                <c:pt idx="18">
                  <c:v>Baseline MI hazard</c:v>
                </c:pt>
                <c:pt idx="19">
                  <c:v>Post stroke Y2 utilities</c:v>
                </c:pt>
                <c:pt idx="20">
                  <c:v>Stroke treatment effect</c:v>
                </c:pt>
                <c:pt idx="21">
                  <c:v>MI treatment effect</c:v>
                </c:pt>
              </c:strCache>
              <c:extLst/>
            </c:strRef>
          </c:cat>
          <c:val>
            <c:numRef>
              <c:f>(Tornado_OneWaySA!$F$4:$F$16,Tornado_OneWaySA!$F$28:$F$36)</c:f>
              <c:numCache>
                <c:formatCode>0%</c:formatCode>
                <c:ptCount val="22"/>
                <c:pt idx="0">
                  <c:v>-0.16868617387163343</c:v>
                </c:pt>
                <c:pt idx="1">
                  <c:v>-0.12585321974707656</c:v>
                </c:pt>
                <c:pt idx="2">
                  <c:v>-9.4872744589660829E-2</c:v>
                </c:pt>
                <c:pt idx="3">
                  <c:v>-7.7226308270278848E-2</c:v>
                </c:pt>
                <c:pt idx="4">
                  <c:v>-2.3308111540293136E-2</c:v>
                </c:pt>
                <c:pt idx="5">
                  <c:v>-1.9366104026668076E-2</c:v>
                </c:pt>
                <c:pt idx="6">
                  <c:v>-1.5238901529181437E-2</c:v>
                </c:pt>
                <c:pt idx="7">
                  <c:v>-1.4445208741203239E-2</c:v>
                </c:pt>
                <c:pt idx="8">
                  <c:v>-1.0529657653844119E-2</c:v>
                </c:pt>
                <c:pt idx="9">
                  <c:v>-6.7728451240806394E-3</c:v>
                </c:pt>
                <c:pt idx="10">
                  <c:v>-5.979152336102439E-3</c:v>
                </c:pt>
                <c:pt idx="11">
                  <c:v>-5.5823059421133397E-3</c:v>
                </c:pt>
                <c:pt idx="12">
                  <c:v>-5.0796338430604791E-3</c:v>
                </c:pt>
                <c:pt idx="13">
                  <c:v>1.6217789301021218E-2</c:v>
                </c:pt>
                <c:pt idx="14">
                  <c:v>1.6244245727287158E-2</c:v>
                </c:pt>
                <c:pt idx="15">
                  <c:v>1.8731149796285519E-2</c:v>
                </c:pt>
                <c:pt idx="16">
                  <c:v>3.0160325943171598E-2</c:v>
                </c:pt>
                <c:pt idx="17">
                  <c:v>4.9738081379967193E-2</c:v>
                </c:pt>
                <c:pt idx="18">
                  <c:v>5.1669400497380814E-2</c:v>
                </c:pt>
                <c:pt idx="19">
                  <c:v>0.10566696650616435</c:v>
                </c:pt>
                <c:pt idx="20">
                  <c:v>0.88147521032858878</c:v>
                </c:pt>
                <c:pt idx="21">
                  <c:v>1.223503889094661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CCFC-403E-ABAF-BC04E2FED323}"/>
            </c:ext>
          </c:extLst>
        </c:ser>
        <c:ser>
          <c:idx val="1"/>
          <c:order val="1"/>
          <c:tx>
            <c:v>Lowe Limit Applied</c:v>
          </c:tx>
          <c:spPr>
            <a:solidFill>
              <a:srgbClr val="C00000"/>
            </a:solidFill>
            <a:ln>
              <a:noFill/>
            </a:ln>
            <a:effectLst/>
          </c:spPr>
          <c:invertIfNegative val="0"/>
          <c:cat>
            <c:strRef>
              <c:f>(Tornado_OneWaySA!$B$4:$B$16,Tornado_OneWaySA!$B$28:$B$36)</c:f>
              <c:strCache>
                <c:ptCount val="22"/>
                <c:pt idx="0">
                  <c:v>Base utilities </c:v>
                </c:pt>
                <c:pt idx="1">
                  <c:v>Stroke disutility</c:v>
                </c:pt>
                <c:pt idx="2">
                  <c:v>Baseline stroke hazard</c:v>
                </c:pt>
                <c:pt idx="3">
                  <c:v>Post Stroke Y2 State cost</c:v>
                </c:pt>
                <c:pt idx="4">
                  <c:v>MI fatality rate</c:v>
                </c:pt>
                <c:pt idx="5">
                  <c:v>Post Both Y2 state cost </c:v>
                </c:pt>
                <c:pt idx="6">
                  <c:v>Stroke fatality rate</c:v>
                </c:pt>
                <c:pt idx="7">
                  <c:v>Post Stroke Y1 State cost</c:v>
                </c:pt>
                <c:pt idx="8">
                  <c:v>Post MI Y2 state cost</c:v>
                </c:pt>
                <c:pt idx="9">
                  <c:v>Acute stroke cost</c:v>
                </c:pt>
                <c:pt idx="10">
                  <c:v>MI disutility </c:v>
                </c:pt>
                <c:pt idx="11">
                  <c:v>Post Both Y1 state cost</c:v>
                </c:pt>
                <c:pt idx="12">
                  <c:v>MI event after MI Y2</c:v>
                </c:pt>
                <c:pt idx="13">
                  <c:v>Post both Y2</c:v>
                </c:pt>
                <c:pt idx="14">
                  <c:v>Post MI Y1 utilities</c:v>
                </c:pt>
                <c:pt idx="15">
                  <c:v>Baseline death hazard</c:v>
                </c:pt>
                <c:pt idx="16">
                  <c:v>Post stroke Y1 utilities</c:v>
                </c:pt>
                <c:pt idx="17">
                  <c:v>Post MI Y2 utilities</c:v>
                </c:pt>
                <c:pt idx="18">
                  <c:v>Baseline MI hazard</c:v>
                </c:pt>
                <c:pt idx="19">
                  <c:v>Post stroke Y2 utilities</c:v>
                </c:pt>
                <c:pt idx="20">
                  <c:v>Stroke treatment effect</c:v>
                </c:pt>
                <c:pt idx="21">
                  <c:v>MI treatment effect</c:v>
                </c:pt>
              </c:strCache>
              <c:extLst/>
            </c:strRef>
          </c:cat>
          <c:val>
            <c:numRef>
              <c:f>(Tornado_OneWaySA!$G$4:$G$16,Tornado_OneWaySA!$G$28:$G$36)</c:f>
              <c:numCache>
                <c:formatCode>0%</c:formatCode>
                <c:ptCount val="22"/>
                <c:pt idx="0">
                  <c:v>0.25456373353087464</c:v>
                </c:pt>
                <c:pt idx="1">
                  <c:v>0.16818350177258057</c:v>
                </c:pt>
                <c:pt idx="2">
                  <c:v>0.11151383671093709</c:v>
                </c:pt>
                <c:pt idx="3">
                  <c:v>7.7173395417746968E-2</c:v>
                </c:pt>
                <c:pt idx="4">
                  <c:v>2.4921953542515477E-2</c:v>
                </c:pt>
                <c:pt idx="5">
                  <c:v>1.9313191174136199E-2</c:v>
                </c:pt>
                <c:pt idx="6">
                  <c:v>1.6111963595957457E-2</c:v>
                </c:pt>
                <c:pt idx="7">
                  <c:v>1.4445208741203239E-2</c:v>
                </c:pt>
                <c:pt idx="8">
                  <c:v>1.0503201227578179E-2</c:v>
                </c:pt>
                <c:pt idx="9">
                  <c:v>6.7728451240806394E-3</c:v>
                </c:pt>
                <c:pt idx="10">
                  <c:v>6.0320651886343196E-3</c:v>
                </c:pt>
                <c:pt idx="11">
                  <c:v>5.5823059421133397E-3</c:v>
                </c:pt>
                <c:pt idx="12">
                  <c:v>4.8944388591988996E-3</c:v>
                </c:pt>
                <c:pt idx="13">
                  <c:v>-1.9577755436795598E-2</c:v>
                </c:pt>
                <c:pt idx="14">
                  <c:v>-1.57415736282343E-2</c:v>
                </c:pt>
                <c:pt idx="15">
                  <c:v>-2.1218053865283876E-2</c:v>
                </c:pt>
                <c:pt idx="16">
                  <c:v>-2.3837240065611939E-2</c:v>
                </c:pt>
                <c:pt idx="17">
                  <c:v>-4.5266945341023337E-2</c:v>
                </c:pt>
                <c:pt idx="18">
                  <c:v>-4.8759193608127416E-2</c:v>
                </c:pt>
                <c:pt idx="19">
                  <c:v>-5.9897349066088151E-2</c:v>
                </c:pt>
                <c:pt idx="20">
                  <c:v>-0.75091274670617492</c:v>
                </c:pt>
                <c:pt idx="21">
                  <c:v>-0.48793586962273139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CCFC-403E-ABAF-BC04E2FED3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28597824"/>
        <c:axId val="2031466096"/>
      </c:barChart>
      <c:catAx>
        <c:axId val="52859782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1466096"/>
        <c:crosses val="autoZero"/>
        <c:auto val="1"/>
        <c:lblAlgn val="ctr"/>
        <c:lblOffset val="10"/>
        <c:noMultiLvlLbl val="0"/>
      </c:catAx>
      <c:valAx>
        <c:axId val="2031466096"/>
        <c:scaling>
          <c:orientation val="minMax"/>
          <c:max val="1.4"/>
          <c:min val="-1.4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85978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878611395600809"/>
          <c:y val="3.1337047353760444E-2"/>
          <c:w val="0.83683985546566264"/>
          <c:h val="0.80737010067334902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PD_Cost_SA_Results!$A$2:$A$10</c:f>
              <c:numCache>
                <c:formatCode>General</c:formatCode>
                <c:ptCount val="9"/>
                <c:pt idx="0">
                  <c:v>700</c:v>
                </c:pt>
                <c:pt idx="1">
                  <c:v>800</c:v>
                </c:pt>
                <c:pt idx="2">
                  <c:v>900</c:v>
                </c:pt>
                <c:pt idx="3">
                  <c:v>1000</c:v>
                </c:pt>
                <c:pt idx="4">
                  <c:v>1100</c:v>
                </c:pt>
                <c:pt idx="5">
                  <c:v>1200</c:v>
                </c:pt>
                <c:pt idx="6">
                  <c:v>1300</c:v>
                </c:pt>
                <c:pt idx="7">
                  <c:v>1400</c:v>
                </c:pt>
                <c:pt idx="8">
                  <c:v>1500</c:v>
                </c:pt>
              </c:numCache>
            </c:numRef>
          </c:cat>
          <c:val>
            <c:numRef>
              <c:f>PD_Cost_SA_Results!$B$2:$B$10</c:f>
              <c:numCache>
                <c:formatCode>#,##0</c:formatCode>
                <c:ptCount val="9"/>
                <c:pt idx="0">
                  <c:v>4010</c:v>
                </c:pt>
                <c:pt idx="1">
                  <c:v>9888</c:v>
                </c:pt>
                <c:pt idx="2">
                  <c:v>15766</c:v>
                </c:pt>
                <c:pt idx="3">
                  <c:v>21644</c:v>
                </c:pt>
                <c:pt idx="4">
                  <c:v>27522</c:v>
                </c:pt>
                <c:pt idx="5">
                  <c:v>33400</c:v>
                </c:pt>
                <c:pt idx="6">
                  <c:v>39278</c:v>
                </c:pt>
                <c:pt idx="7">
                  <c:v>45156</c:v>
                </c:pt>
                <c:pt idx="8">
                  <c:v>51034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C72-44E5-8FBF-25719D69DF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62870384"/>
        <c:axId val="562879024"/>
      </c:lineChart>
      <c:catAx>
        <c:axId val="5628703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Treatment Cost per cycle, £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2879024"/>
        <c:crosses val="autoZero"/>
        <c:auto val="1"/>
        <c:lblAlgn val="ctr"/>
        <c:lblOffset val="100"/>
        <c:noMultiLvlLbl val="0"/>
      </c:catAx>
      <c:valAx>
        <c:axId val="562879024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ICER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28703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Coote</dc:creator>
  <cp:keywords/>
  <dc:description/>
  <cp:lastModifiedBy>Edward Coote</cp:lastModifiedBy>
  <cp:revision>191</cp:revision>
  <dcterms:created xsi:type="dcterms:W3CDTF">2025-11-12T16:30:00Z</dcterms:created>
  <dcterms:modified xsi:type="dcterms:W3CDTF">2025-11-18T09:46:00Z</dcterms:modified>
</cp:coreProperties>
</file>