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Informe Técnico: Modernización de Procesos BancoXYZ</w:t>
      </w:r>
    </w:p>
    <w:p>
      <w:r>
        <w:rPr>
          <w:i/>
          <w:iCs/>
          <w:sz w:val="22"/>
          <w:szCs w:val="22"/>
        </w:rPr>
        <w:t xml:space="preserve">Arquitectura de Microservicios con Spring Batch, BFF y Apache Kafka</w:t>
      </w:r>
    </w:p>
    <w:p>
      <w:pPr>
        <w:spacing w:before="200"/>
      </w:pPr>
      <w:r>
        <w:t xml:space="preserve">Documento técnico que describe la arquitectura mínima implementada, los componentes desarrollados y su integración para cumplir con los requisitos de modernización del sistema BancoXYZ.</w:t>
      </w:r>
    </w:p>
    <w:p>
      <w:pPr>
        <w:pStyle w:val="Heading2"/>
      </w:pPr>
      <w:r>
        <w:t xml:space="preserve">1. Introducción</w:t>
      </w:r>
    </w:p>
    <w:p>
      <w:r>
        <w:t xml:space="preserve">El proyecto de modernización de BancoXYZ tiene como objetivo migrar procesos batch heredados a Spring Batch, implementar el patrón Backend for Frontend (BFF) para los canales Web, Móvil y Cajero Automático, y establecer una arquitectura de microservicios resiliente con mensajería asíncrona mediante Apache Kafka.</w:t>
      </w:r>
    </w:p>
    <w:p>
      <w:r>
        <w:t xml:space="preserve">La implementación mínima se consolida en un monorepo que contiene los servicios necesarios para demostrar el cumplimiento de los requisitos, respetando la restricción de despliegue híbrido: Kafka en una instancia EC2 y el resto de los microservicios ejecutándose localmente.</w:t>
      </w:r>
    </w:p>
    <w:p>
      <w:pPr>
        <w:pStyle w:val="Heading2"/>
      </w:pPr>
      <w:r>
        <w:t xml:space="preserve">2. Arquitectura General</w:t>
      </w:r>
    </w:p>
    <w:p>
      <w:r>
        <w:t xml:space="preserve">La arquitectura mínima se compone de los siguientes elementos principales:</w:t>
      </w:r>
    </w:p>
    <w:p>
      <w:pPr>
        <w:pStyle w:val="ListParagraph"/>
        <w:numPr>
          <w:ilvl w:val="0"/>
          <w:numId w:val="2"/>
        </w:numPr>
      </w:pPr>
      <w:r>
        <w:t xml:space="preserve">auth-server: Servidor de autorización OAuth2 que emite JWT.</w:t>
      </w:r>
    </w:p>
    <w:p>
      <w:pPr>
        <w:pStyle w:val="ListParagraph"/>
        <w:numPr>
          <w:ilvl w:val="0"/>
          <w:numId w:val="2"/>
        </w:numPr>
      </w:pPr>
      <w:r>
        <w:t xml:space="preserve">ms-core: Microservicio de dominio (clientes, cuentas y transacciones) que actúa como productor Kafka con patrón Outbox.</w:t>
      </w:r>
    </w:p>
    <w:p>
      <w:pPr>
        <w:pStyle w:val="ListParagraph"/>
        <w:numPr>
          <w:ilvl w:val="0"/>
          <w:numId w:val="2"/>
        </w:numPr>
      </w:pPr>
      <w:r>
        <w:t xml:space="preserve">ms-auditoria: Microservicio consumidor de eventos Kafka para auditoría y generación de alertas.</w:t>
      </w:r>
    </w:p>
    <w:p>
      <w:pPr>
        <w:pStyle w:val="ListParagraph"/>
        <w:numPr>
          <w:ilvl w:val="0"/>
          <w:numId w:val="2"/>
        </w:numPr>
      </w:pPr>
      <w:r>
        <w:t xml:space="preserve">ms-batch: Microservicio con Spring Batch para procesos de reportes diarios, cálculo de intereses y estados de cuenta.</w:t>
      </w:r>
    </w:p>
    <w:p>
      <w:pPr>
        <w:pStyle w:val="ListParagraph"/>
        <w:numPr>
          <w:ilvl w:val="0"/>
          <w:numId w:val="2"/>
        </w:numPr>
      </w:pPr>
      <w:r>
        <w:t xml:space="preserve">bff: Backend for Frontend unificado que adapta las respuestas para los canales Web, Móvil y Cajero.</w:t>
      </w:r>
    </w:p>
    <w:p>
      <w:pPr>
        <w:pStyle w:val="ListParagraph"/>
        <w:numPr>
          <w:ilvl w:val="0"/>
          <w:numId w:val="2"/>
        </w:numPr>
      </w:pPr>
      <w:r>
        <w:t xml:space="preserve">Kafka (EC2): Broker de mensajería con tópico transacciones-bancoxyz.</w:t>
      </w:r>
    </w:p>
    <w:p>
      <w:pPr>
        <w:pStyle w:val="Heading3"/>
      </w:pPr>
      <w:r>
        <w:t xml:space="preserve">Diagrama de Arquitectura</w:t>
      </w:r>
    </w:p>
    <w:p>
      <w:r>
        <w:t xml:space="preserve">El flujo principal es el siguiente:</w:t>
      </w:r>
    </w:p>
    <w:p>
      <w:r>
        <w:t xml:space="preserve">Canales (Web / Móvil / Cajero) → BFF (puerto 8090) → ms-core (puerto 8080) → Kafka (EC2) → ms-auditoria (puerto 8081).</w:t>
      </w:r>
    </w:p>
    <w:p>
      <w:r>
        <w:t xml:space="preserve">Paralelamente, ms-batch (puerto 8084) ejecuta jobs programados o bajo demanda que procesan información de transacciones e intereses. El auth-server (puerto 9000) provee tokens JWT a todos los servicios protegidos.</w:t>
      </w:r>
    </w:p>
    <w:p>
      <w:r>
        <w:rPr>
          <w:i/>
          <w:iCs/>
        </w:rPr>
        <w:t xml:space="preserve">Nota: El diagrama visual puede generarse con Mermaid o herramienta similar a partir de la descripción anterior y adjuntarse en la versión final del informe.</w:t>
      </w:r>
    </w:p>
    <w:p>
      <w:pPr>
        <w:pStyle w:val="Heading2"/>
      </w:pPr>
      <w:r>
        <w:t xml:space="preserve">3. Componentes Desarrollados</w:t>
      </w:r>
    </w:p>
    <w:p>
      <w:pPr>
        <w:pStyle w:val="Heading3"/>
      </w:pPr>
      <w:r>
        <w:t xml:space="preserve">3.1 auth-server</w:t>
      </w:r>
    </w:p>
    <w:p>
      <w:r>
        <w:t xml:space="preserve">Servidor de autorización basado en Spring Authorization Server. Emite tokens JWT mediante el grant client_credentials. Configurado con el cliente bancoxyz-client y los scopes transacciones.read, transacciones.write y auditoria.read.</w:t>
      </w:r>
    </w:p>
    <w:p>
      <w:pPr>
        <w:pStyle w:val="Heading3"/>
      </w:pPr>
      <w:r>
        <w:t xml:space="preserve">3.2 ms-core</w:t>
      </w:r>
    </w:p>
    <w:p>
      <w:r>
        <w:t xml:space="preserve">Microservicio central que gestiona clientes, cuentas y transacciones. Implementa el patrón Outbox para garantizar la publicación de eventos en Kafka incluso ante fallos temporales del broker. Utiliza Resilience4j (Circuit Breaker y Retry) en la publicación. Expone endpoints REST protegidos con OAuth2 Resource Server.</w:t>
      </w:r>
    </w:p>
    <w:p>
      <w:pPr>
        <w:pStyle w:val="Heading3"/>
      </w:pPr>
      <w:r>
        <w:t xml:space="preserve">3.3 ms-auditoria</w:t>
      </w:r>
    </w:p>
    <w:p>
      <w:r>
        <w:t xml:space="preserve">Consumidor de Kafka que registra cada transacción en una base de datos de auditoría. Genera alertas automáticas cuando el monto supera un umbral configurable. Expone endpoints para consultar el historial de auditoría y las alertas generadas.</w:t>
      </w:r>
    </w:p>
    <w:p>
      <w:pPr>
        <w:pStyle w:val="Heading3"/>
      </w:pPr>
      <w:r>
        <w:t xml:space="preserve">3.4 ms-batch</w:t>
      </w:r>
    </w:p>
    <w:p>
      <w:r>
        <w:t xml:space="preserve">Implementa los procesos batch requeridos utilizando Spring Batch: procesamiento de transacciones diarias, cálculo mensual de intereses y generación de estados de cuenta anuales. Incluye políticas de skip, listeners de ejecución y soporte para particionamiento. Los jobs pueden ejecutarse al arranque o de forma controlada.</w:t>
      </w:r>
    </w:p>
    <w:p>
      <w:pPr>
        <w:pStyle w:val="Heading3"/>
      </w:pPr>
      <w:r>
        <w:t xml:space="preserve">3.5 bff</w:t>
      </w:r>
    </w:p>
    <w:p>
      <w:r>
        <w:t xml:space="preserve">Backend for Frontend que consolida y adapta las respuestas del ms-core según el canal:</w:t>
      </w:r>
    </w:p>
    <w:p>
      <w:pPr>
        <w:pStyle w:val="ListParagraph"/>
        <w:numPr>
          <w:ilvl w:val="0"/>
          <w:numId w:val="2"/>
        </w:numPr>
      </w:pPr>
      <w:r>
        <w:t xml:space="preserve">Canal Cajero: solo saldo y estado operativo.</w:t>
      </w:r>
    </w:p>
    <w:p>
      <w:pPr>
        <w:pStyle w:val="ListParagraph"/>
        <w:numPr>
          <w:ilvl w:val="0"/>
          <w:numId w:val="2"/>
        </w:numPr>
      </w:pPr>
      <w:r>
        <w:t xml:space="preserve">Canal Móvil: datos ligeros con últimos 5 movimientos.</w:t>
      </w:r>
    </w:p>
    <w:p>
      <w:pPr>
        <w:pStyle w:val="ListParagraph"/>
        <w:numPr>
          <w:ilvl w:val="0"/>
          <w:numId w:val="2"/>
        </w:numPr>
      </w:pPr>
      <w:r>
        <w:t xml:space="preserve">Canal Web: información completa con agrupaciones y detalle.</w:t>
      </w:r>
    </w:p>
    <w:p>
      <w:pPr>
        <w:pStyle w:val="Heading2"/>
      </w:pPr>
      <w:r>
        <w:t xml:space="preserve">4. Integración entre Componentes</w:t>
      </w:r>
    </w:p>
    <w:p>
      <w:r>
        <w:t xml:space="preserve">La comunicación entre los servicios se realiza de la siguiente manera:</w:t>
      </w:r>
    </w:p>
    <w:p>
      <w:pPr>
        <w:pStyle w:val="ListParagraph"/>
        <w:numPr>
          <w:ilvl w:val="0"/>
          <w:numId w:val="2"/>
        </w:numPr>
      </w:pPr>
      <w:r>
        <w:t xml:space="preserve">Síncrona: BFF llama a ms-core mediante REST (RestClient) con timeouts configurados.</w:t>
      </w:r>
    </w:p>
    <w:p>
      <w:pPr>
        <w:pStyle w:val="ListParagraph"/>
        <w:numPr>
          <w:ilvl w:val="0"/>
          <w:numId w:val="2"/>
        </w:numPr>
      </w:pPr>
      <w:r>
        <w:t xml:space="preserve">Asíncrona: ms-core publica eventos en el tópico Kafka transacciones-bancoxyz. ms-auditoria los consume con acknowledgment manual.</w:t>
      </w:r>
    </w:p>
    <w:p>
      <w:pPr>
        <w:pStyle w:val="ListParagraph"/>
        <w:numPr>
          <w:ilvl w:val="0"/>
          <w:numId w:val="2"/>
        </w:numPr>
      </w:pPr>
      <w:r>
        <w:t xml:space="preserve">Seguridad: Todos los endpoints protegidos validan JWT emitidos por auth-server.</w:t>
      </w:r>
    </w:p>
    <w:p>
      <w:pPr>
        <w:pStyle w:val="ListParagraph"/>
        <w:numPr>
          <w:ilvl w:val="0"/>
          <w:numId w:val="2"/>
        </w:numPr>
      </w:pPr>
      <w:r>
        <w:t xml:space="preserve">Resiliencia: Circuit Breaker y Retry en la publicación a Kafka; patrón Outbox para no perder eventos.</w:t>
      </w:r>
    </w:p>
    <w:p>
      <w:pPr>
        <w:pStyle w:val="Heading2"/>
      </w:pPr>
      <w:r>
        <w:t xml:space="preserve">5. Despliegue Híbrido</w:t>
      </w:r>
    </w:p>
    <w:p>
      <w:r>
        <w:t xml:space="preserve">Kafka se despliega en una instancia EC2 mediante Docker Compose (archivo docker-compose.kafka-ec2.yml). Los microservicios Spring Boot se ejecutan localmente, apuntando a la IP pública de la EC2 mediante la variable de entorno KAFKA_BOOTSTRAP_SERVERS.</w:t>
      </w:r>
    </w:p>
    <w:p>
      <w:r>
        <w:t xml:space="preserve">Esta decisión responde a requerimientos de rendimiento del servidor local y simplifica el desarrollo y las pruebas de los servicios de negocio.</w:t>
      </w:r>
    </w:p>
    <w:p>
      <w:pPr>
        <w:pStyle w:val="Heading2"/>
      </w:pPr>
      <w:r>
        <w:t xml:space="preserve">6. Conclusiones</w:t>
      </w:r>
    </w:p>
    <w:p>
      <w:r>
        <w:t xml:space="preserve">La arquitectura mínima implementada cumple con los requisitos de modernización: migración a Spring Batch, patrón BFF para tres canales, mensajería con Kafka, seguridad OAuth2 y resiliencia mediante Resilience4j y Outbox. El monorepo facilita la gestión y el despliegue de los componentes, permitiendo una evolución posterior hacia una arquitectura más distribuida si el volumen o los requisitos de disponibilidad lo demandan.</w:t>
      </w:r>
    </w:p>
    <w:p>
      <w:pPr>
        <w:pStyle w:val="Heading2"/>
      </w:pPr>
      <w:r>
        <w:t xml:space="preserve">7. Referencias del Monorepo</w:t>
      </w:r>
    </w:p>
    <w:p>
      <w:r>
        <w:t xml:space="preserve">Repositorio: https://github.com/edd-stegmaier/bancoxyz-eft</w:t>
      </w:r>
    </w:p>
    <w:p>
      <w:r>
        <w:t xml:space="preserve">Documentos de soporte: README.md, docs/arquitectura.md, instrucciones.md y despliegue.md.</w:t>
      </w:r>
    </w:p>
    <w:sectPr>
      <w:headerReference w:type="default" r:id="rId6"/>
      <w:footerReference w:type="default" r:id="rId7"/>
      <w:pgSz w:w="12240" w:h="15840" w:orient="portrait"/>
      <w:pgMar w:top="1440" w:right="1152" w:bottom="1440" w:left="1152"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8"/>
        <w:szCs w:val="18"/>
      </w:rPr>
      <w:t xml:space="preserve">Duoc UC Online  |  Página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i/>
        <w:iCs/>
        <w:sz w:val="18"/>
        <w:szCs w:val="18"/>
      </w:rPr>
      <w:t xml:space="preserve">Informe Técnico - Modernización BancoXYZ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44"/>
      <w:szCs w:val="44"/>
    </w:rPr>
  </w:style>
  <w:style w:type="paragraph" w:styleId="Heading2">
    <w:name w:val="Heading 2"/>
    <w:basedOn w:val="Normal"/>
    <w:next w:val="Normal"/>
    <w:qFormat/>
    <w:pPr>
      <w:spacing w:after="180" w:before="280"/>
      <w:outlineLvl w:val="1"/>
    </w:pPr>
    <w:rPr>
      <w:rFonts w:ascii="Arial" w:cs="Arial" w:eastAsia="Arial" w:hAnsi="Arial"/>
      <w:b/>
      <w:bCs/>
      <w:sz w:val="32"/>
      <w:szCs w:val="32"/>
    </w:rPr>
  </w:style>
  <w:style w:type="paragraph" w:styleId="Heading3">
    <w:name w:val="Heading 3"/>
    <w:basedOn w:val="Normal"/>
    <w:next w:val="Normal"/>
    <w:qFormat/>
    <w:pPr>
      <w:spacing w:after="120" w:before="200"/>
      <w:outlineLvl w:val="2"/>
    </w:pPr>
    <w:rPr>
      <w:rFonts w:ascii="Arial" w:cs="Arial" w:eastAsia="Arial" w:hAnsi="Arial"/>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2026-10-10T02:47:55.190Z</dcterms:created>
  <dcterms:modified xsi:type="dcterms:W3CDTF">2026-10-10T02:47:55.191Z</dcterms:modified>
</cp:coreProperties>
</file>

<file path=docProps/custom.xml><?xml version="1.0" encoding="utf-8"?>
<Properties xmlns="http://schemas.openxmlformats.org/officeDocument/2006/custom-properties" xmlns:vt="http://schemas.openxmlformats.org/officeDocument/2006/docPropsVTypes"/>
</file>