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546100</wp:posOffset>
            </wp:positionV>
            <wp:extent cx="5600700" cy="6984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984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center"/>
      </w:pPr>
      <w:r>
        <w:rPr>
          <w:rFonts w:ascii="" w:hAnsi="" w:eastAsia=""/>
          <w:b/>
          <w:i w:val="0"/>
          <w:color w:val="303038"/>
          <w:sz w:val="24"/>
        </w:rPr>
        <w:t>Isartor Test Suite</w:t>
      </w:r>
    </w:p>
    <w:p>
      <w:pPr>
        <w:autoSpaceDN w:val="0"/>
        <w:tabs>
          <w:tab w:pos="738" w:val="left"/>
        </w:tabs>
        <w:autoSpaceDE w:val="0"/>
        <w:widowControl/>
        <w:spacing w:line="240" w:lineRule="auto" w:before="852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E4222B"/>
          <w:sz w:val="32"/>
        </w:rPr>
        <w:t xml:space="preserve">1 </w:t>
      </w:r>
      <w:r>
        <w:tab/>
      </w:r>
      <w:r>
        <w:rPr>
          <w:rFonts w:ascii="Verdana" w:hAnsi="Verdana" w:eastAsia="Verdana"/>
          <w:b/>
          <w:i w:val="0"/>
          <w:color w:val="E4222B"/>
          <w:sz w:val="32"/>
        </w:rPr>
        <w:t>Purpose of the Isartor Test Suite</w:t>
      </w:r>
    </w:p>
    <w:p>
      <w:pPr>
        <w:autoSpaceDN w:val="0"/>
        <w:autoSpaceDE w:val="0"/>
        <w:widowControl/>
        <w:spacing w:line="240" w:lineRule="auto" w:before="378" w:after="0"/>
        <w:ind w:left="738" w:right="0" w:firstLine="0"/>
        <w:jc w:val="left"/>
      </w:pPr>
      <w:r>
        <w:rPr>
          <w:rFonts w:ascii="Verdana" w:hAnsi="Verdana" w:eastAsia="Verdana"/>
          <w:b/>
          <w:i w:val="0"/>
          <w:color w:val="E4222B"/>
          <w:sz w:val="24"/>
        </w:rPr>
        <w:t>Introduction</w:t>
      </w:r>
    </w:p>
    <w:p>
      <w:pPr>
        <w:autoSpaceDN w:val="0"/>
        <w:autoSpaceDE w:val="0"/>
        <w:widowControl/>
        <w:spacing w:line="271" w:lineRule="auto" w:before="126" w:after="0"/>
        <w:ind w:left="748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>This is the documentation for the Isartor</w:t>
      </w:r>
      <w:r>
        <w:rPr>
          <w:rFonts w:ascii="Verdana" w:hAnsi="Verdana" w:eastAsia="Verdana"/>
          <w:b w:val="0"/>
          <w:i w:val="0"/>
          <w:color w:val="000000"/>
          <w:sz w:val="12"/>
        </w:rPr>
        <w:t>1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(first sound is Ee, second syllable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rhymes with for)test suite. This test suite comprises a set of files which can be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used to check the conformance of software regarding the PDF/A­1 standard.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More precisely, the Isartor test suite can be used to "validate the validators": It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deliberately violates the requirements of PDF/A­1 in a systematic way in order </w:t>
      </w:r>
      <w:r>
        <w:rPr>
          <w:rFonts w:ascii="Verdana" w:hAnsi="Verdana" w:eastAsia="Verdana"/>
          <w:b w:val="0"/>
          <w:i w:val="0"/>
          <w:color w:val="000000"/>
          <w:sz w:val="20"/>
        </w:rPr>
        <w:t>to check whether PDF/A­1 validation software actually finds the violations.</w:t>
      </w:r>
    </w:p>
    <w:p>
      <w:pPr>
        <w:autoSpaceDN w:val="0"/>
        <w:autoSpaceDE w:val="0"/>
        <w:widowControl/>
        <w:spacing w:line="259" w:lineRule="auto" w:before="242" w:after="386"/>
        <w:ind w:left="738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PDF/A-1 test files can be organized in four categories according to the following </w:t>
      </w:r>
      <w:r>
        <w:rPr>
          <w:rFonts w:ascii="Verdana" w:hAnsi="Verdana" w:eastAsia="Verdana"/>
          <w:b w:val="0"/>
          <w:i w:val="0"/>
          <w:color w:val="000000"/>
          <w:sz w:val="20"/>
        </w:rPr>
        <w:t>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8.0000000000001" w:type="dxa"/>
      </w:tblPr>
      <w:tblGrid>
        <w:gridCol w:w="3015"/>
        <w:gridCol w:w="3015"/>
        <w:gridCol w:w="3015"/>
      </w:tblGrid>
      <w:tr>
        <w:trPr>
          <w:trHeight w:hRule="exact" w:val="1138"/>
        </w:trPr>
        <w:tc>
          <w:tcPr>
            <w:tcW w:type="dxa" w:w="1812"/>
            <w:tcBorders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12"/>
            </w:tblGrid>
            <w:tr>
              <w:trPr>
                <w:trHeight w:hRule="exact" w:val="780"/>
              </w:trPr>
              <w:tc>
                <w:tcPr>
                  <w:tcW w:type="dxa" w:w="1786"/>
                  <w:tcBorders/>
                  <w:shd w:fill="e5e6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38" w:after="0"/>
                    <w:ind w:left="6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18"/>
                    </w:rPr>
                    <w:t xml:space="preserve">Name of the test </w:t>
                  </w:r>
                  <w:r>
                    <w:rPr>
                      <w:rFonts w:ascii="Verdana" w:hAnsi="Verdana" w:eastAsia="Verdana"/>
                      <w:b/>
                      <w:i w:val="0"/>
                      <w:color w:val="000000"/>
                      <w:sz w:val="18"/>
                    </w:rPr>
                    <w:t>suite quadrant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38" w:after="0"/>
              <w:ind w:left="6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PDF/A-1b FAIL</w:t>
            </w:r>
          </w:p>
        </w:tc>
        <w:tc>
          <w:tcPr>
            <w:tcW w:type="dxa" w:w="146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56" w:right="144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8"/>
              </w:rPr>
              <w:t xml:space="preserve">Documents </w:t>
            </w:r>
            <w:r>
              <w:rPr>
                <w:rFonts w:ascii="Verdana" w:hAnsi="Verdana" w:eastAsia="Verdana"/>
                <w:b/>
                <w:i w:val="0"/>
                <w:color w:val="000000"/>
                <w:sz w:val="18"/>
              </w:rPr>
              <w:t xml:space="preserve">conform to </w:t>
            </w:r>
            <w:r>
              <w:rPr>
                <w:rFonts w:ascii="Verdana" w:hAnsi="Verdana" w:eastAsia="Verdana"/>
                <w:b/>
                <w:i w:val="0"/>
                <w:color w:val="000000"/>
                <w:sz w:val="18"/>
              </w:rPr>
              <w:t>PDF/A-1?</w:t>
            </w:r>
          </w:p>
          <w:p>
            <w:pPr>
              <w:autoSpaceDN w:val="0"/>
              <w:autoSpaceDE w:val="0"/>
              <w:widowControl/>
              <w:spacing w:line="240" w:lineRule="auto" w:before="142" w:after="0"/>
              <w:ind w:left="5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4658"/>
            <w:vMerge w:val="restart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8" w:after="0"/>
              <w:ind w:left="56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18"/>
              </w:rPr>
              <w:t>purpose</w:t>
            </w:r>
          </w:p>
          <w:p>
            <w:pPr>
              <w:autoSpaceDN w:val="0"/>
              <w:autoSpaceDE w:val="0"/>
              <w:widowControl/>
              <w:spacing w:line="245" w:lineRule="auto" w:before="142" w:after="0"/>
              <w:ind w:left="5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deliberately violate all possible aspects of PDF/A-1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conformance, and check whether PDF/A-1 valida-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tion software correctly identifies the reasons for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non-conformance</w:t>
            </w:r>
          </w:p>
        </w:tc>
      </w:tr>
      <w:tr>
        <w:trPr>
          <w:trHeight w:hRule="exact" w:val="660"/>
        </w:trPr>
        <w:tc>
          <w:tcPr>
            <w:tcW w:type="dxa" w:w="181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6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PDF/A-1a FAIL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5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3015"/>
            <w:vMerge/>
            <w:tcBorders>
              <w:start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812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6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PDF/A-1b PASS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5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658"/>
            <w:vMerge w:val="restart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create PDF/A-conforming documents with uncom-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mon features or combinations of features and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check whether PDF/A-1 validation software cor-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rectly identifies the documents as standard con-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forming</w:t>
            </w:r>
          </w:p>
        </w:tc>
      </w:tr>
      <w:tr>
        <w:trPr>
          <w:trHeight w:hRule="exact" w:val="882"/>
        </w:trPr>
        <w:tc>
          <w:tcPr>
            <w:tcW w:type="dxa" w:w="1812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6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PDF/A-1a PASS</w:t>
            </w:r>
          </w:p>
        </w:tc>
        <w:tc>
          <w:tcPr>
            <w:tcW w:type="dxa" w:w="1466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5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3015"/>
            <w:vMerge/>
            <w:tcBorders>
              <w:start w:sz="4.0" w:val="single" w:color="#000000"/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4" w:lineRule="auto" w:before="372" w:after="0"/>
        <w:ind w:left="738" w:right="144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present installment of the Isartor test suite implements the PDF/A-1b FAIL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quadrant. It does not cover any of the other quadrants, although it is envisioned </w:t>
      </w:r>
      <w:r>
        <w:rPr>
          <w:rFonts w:ascii="Verdana" w:hAnsi="Verdana" w:eastAsia="Verdana"/>
          <w:b w:val="0"/>
          <w:i w:val="0"/>
          <w:color w:val="000000"/>
          <w:sz w:val="20"/>
        </w:rPr>
        <w:t>that future installments will expand quadrant coverage.</w:t>
      </w:r>
    </w:p>
    <w:p>
      <w:pPr>
        <w:autoSpaceDN w:val="0"/>
        <w:autoSpaceDE w:val="0"/>
        <w:widowControl/>
        <w:spacing w:line="240" w:lineRule="auto" w:before="364" w:after="0"/>
        <w:ind w:left="738" w:right="0" w:firstLine="0"/>
        <w:jc w:val="left"/>
      </w:pPr>
      <w:r>
        <w:rPr>
          <w:rFonts w:ascii="Verdana" w:hAnsi="Verdana" w:eastAsia="Verdana"/>
          <w:b/>
          <w:i w:val="0"/>
          <w:color w:val="E4222B"/>
          <w:sz w:val="24"/>
        </w:rPr>
        <w:t>Basic Principles</w:t>
      </w:r>
    </w:p>
    <w:p>
      <w:pPr>
        <w:autoSpaceDN w:val="0"/>
        <w:autoSpaceDE w:val="0"/>
        <w:widowControl/>
        <w:spacing w:line="259" w:lineRule="auto" w:before="162" w:after="0"/>
        <w:ind w:left="738" w:right="57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The Isartor test suite has been constructed according to the following basic </w:t>
      </w:r>
      <w:r>
        <w:rPr>
          <w:rFonts w:ascii="Verdana" w:hAnsi="Verdana" w:eastAsia="Verdana"/>
          <w:b w:val="0"/>
          <w:i w:val="0"/>
          <w:color w:val="000000"/>
          <w:sz w:val="20"/>
        </w:rPr>
        <w:t>principles:</w:t>
      </w:r>
    </w:p>
    <w:p>
      <w:pPr>
        <w:autoSpaceDN w:val="0"/>
        <w:autoSpaceDE w:val="0"/>
        <w:widowControl/>
        <w:spacing w:line="264" w:lineRule="auto" w:before="172" w:after="0"/>
        <w:ind w:left="736" w:right="72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•    Atomic: A test file attempts to examine a particular aspect of the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standard. Wherever possible test files avoid to touch more than one aspect </w:t>
      </w:r>
      <w:r>
        <w:rPr>
          <w:rFonts w:ascii="Verdana" w:hAnsi="Verdana" w:eastAsia="Verdana"/>
          <w:b w:val="0"/>
          <w:i w:val="0"/>
          <w:color w:val="000000"/>
          <w:sz w:val="20"/>
        </w:rPr>
        <w:t>of the standard.</w:t>
      </w:r>
    </w:p>
    <w:p>
      <w:pPr>
        <w:autoSpaceDN w:val="0"/>
        <w:autoSpaceDE w:val="0"/>
        <w:widowControl/>
        <w:spacing w:line="264" w:lineRule="auto" w:before="1058" w:after="432"/>
        <w:ind w:left="562" w:right="28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2.   The Isartor test suite is named after the location of the first meeting of the TWG (see chapter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5, "Who created the Test Suite?", page 10), a medieval gate towards the river Isar in the adasda of </w:t>
      </w:r>
      <w:r>
        <w:rPr>
          <w:rFonts w:ascii="Verdana" w:hAnsi="Verdana" w:eastAsia="Verdana"/>
          <w:b w:val="0"/>
          <w:i w:val="0"/>
          <w:color w:val="000000"/>
          <w:sz w:val="16"/>
        </w:rPr>
        <w:t>Munich/Germany, see for example www.munich-info.de/portrait/p_isartor_en.html.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72.0" w:type="dxa"/>
      </w:tblPr>
      <w:tblGrid>
        <w:gridCol w:w="4522"/>
        <w:gridCol w:w="4522"/>
      </w:tblGrid>
      <w:tr>
        <w:trPr>
          <w:trHeight w:hRule="exact" w:val="242"/>
        </w:trPr>
        <w:tc>
          <w:tcPr>
            <w:tcW w:type="dxa" w:w="18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2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2"/>
        <w:gridCol w:w="4522"/>
      </w:tblGrid>
      <w:tr>
        <w:trPr>
          <w:trHeight w:hRule="exact" w:val="278"/>
        </w:trPr>
        <w:tc>
          <w:tcPr>
            <w:tcW w:type="dxa" w:w="56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1  Purpose of the Isartor Test Suite</w:t>
            </w:r>
          </w:p>
        </w:tc>
        <w:tc>
          <w:tcPr>
            <w:tcW w:type="dxa" w:w="31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4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744" w:right="1440" w:bottom="42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