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before="160" w:line="312" w:lineRule="auto"/>
      </w:pPr>
      <w:r>
        <w:rPr>
          <w:rFonts w:ascii="Calibri" w:cs="Calibri" w:eastAsia="Calibri" w:hAnsi="Calibri"/>
          <w:color w:val="0F3460"/>
          <w:sz w:val="56"/>
          <w:szCs w:val="56"/>
        </w:rPr>
        <w:t xml:space="preserve">Freelance IT Suite — Master Playbook</w:t>
      </w:r>
    </w:p>
    <w:p>
      <w:pPr>
        <w:spacing w:after="120" w:line="360" w:lineRule="auto"/>
      </w:pPr>
      <w:r>
        <w:rPr>
          <w:rFonts w:ascii="Calibri" w:cs="Calibri" w:eastAsia="Calibri" w:hAnsi="Calibri"/>
          <w:b/>
          <w:bCs/>
          <w:i w:val="false"/>
          <w:iCs w:val="false"/>
          <w:strike w:val="false"/>
          <w:color w:val="1A1A2E"/>
          <w:sz w:val="22"/>
          <w:szCs w:val="22"/>
        </w:rPr>
        <w:t xml:space="preserve">Edward Guy Consulting</w:t>
      </w:r>
    </w:p>
    <w:p>
      <w:pPr>
        <w:spacing w:after="120" w:before="60" w:line="360" w:lineRule="auto"/>
      </w:pPr>
      <w:r>
        <w:rPr>
          <w:rFonts w:ascii="Calibri" w:cs="Calibri" w:eastAsia="Calibri" w:hAnsi="Calibri"/>
          <w:b/>
          <w:bCs/>
          <w:i w:val="false"/>
          <w:iCs w:val="false"/>
          <w:strike w:val="false"/>
          <w:color w:val="E94560"/>
          <w:sz w:val="22"/>
          <w:szCs w:val="22"/>
        </w:rPr>
        <w:t xml:space="preserve">Cybersecurity &amp; AI Solutions That Scale</w:t>
      </w:r>
    </w:p>
    <w:p>
      <w:pPr>
        <w:spacing w:after="120" w:before="60" w:line="360" w:lineRule="auto"/>
      </w:pPr>
      <w:r>
        <w:rPr>
          <w:rFonts w:ascii="Calibri" w:cs="Calibri" w:eastAsia="Calibri" w:hAnsi="Calibri"/>
          <w:b w:val="false"/>
          <w:bCs w:val="false"/>
          <w:i w:val="false"/>
          <w:iCs w:val="false"/>
          <w:strike w:val="false"/>
          <w:color w:val="1A1A2E"/>
          <w:sz w:val="22"/>
          <w:szCs w:val="22"/>
        </w:rPr>
        <w:t xml:space="preserve">Author: Edward Guy  |  Version: 1.0  |  Date: April 23, 2026</w:t>
      </w:r>
    </w:p>
    <w:p>
      <w:pPr>
        <w:spacing w:after="120" w:before="60" w:line="360" w:lineRule="auto"/>
      </w:pPr>
      <w:r>
        <w:rPr>
          <w:rFonts w:ascii="Calibri" w:cs="Calibri" w:eastAsia="Calibri" w:hAnsi="Calibri"/>
          <w:b w:val="false"/>
          <w:bCs w:val="false"/>
          <w:i w:val="false"/>
          <w:iCs w:val="false"/>
          <w:strike w:val="false"/>
          <w:color w:val="1A1A2E"/>
          <w:sz w:val="22"/>
          <w:szCs w:val="22"/>
        </w:rPr>
        <w:t xml:space="preserve">Monroe, Louisiana  |  Classification: Internal — Confidential</w:t>
      </w:r>
    </w:p>
    <w:p>
      <w:pPr>
        <w:pBdr>
          <w:bottom w:val="single" w:color="0F3460" w:sz="6"/>
        </w:pBdr>
        <w:spacing w:after="240" w:before="240"/>
      </w:pPr>
    </w:p>
    <w:p>
      <w:pPr>
        <w:spacing w:after="80" w:before="200"/>
        <w:jc w:val="center"/>
      </w:pPr>
      <w:r>
        <w:drawing>
          <wp:inline distT="0" distB="0" distL="0" distR="0">
            <wp:extent cx="45148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14850" cy="2562225"/>
                    </a:xfrm>
                    <a:prstGeom prst="rect">
                      <a:avLst/>
                    </a:prstGeom>
                  </pic:spPr>
                </pic:pic>
              </a:graphicData>
            </a:graphic>
          </wp:inline>
        </w:drawing>
      </w:r>
    </w:p>
    <w:p>
      <w:pPr>
        <w:spacing w:after="200"/>
        <w:jc w:val="center"/>
      </w:pPr>
      <w:r>
        <w:rPr>
          <w:i/>
          <w:iCs/>
          <w:color w:val="6B7280"/>
          <w:sz w:val="20"/>
          <w:szCs w:val="20"/>
        </w:rPr>
        <w:t xml:space="preserve">Edward Guy Consulting — Where Cybersecurity Meets Artificial Intelligence</w:t>
      </w:r>
    </w:p>
    <w:p>
      <w:pPr>
        <w:pStyle w:val="Heading1"/>
        <w:spacing w:after="120" w:before="480" w:line="312" w:lineRule="auto"/>
      </w:pPr>
      <w:r>
        <w:rPr>
          <w:rFonts w:ascii="Calibri" w:cs="Calibri" w:eastAsia="Calibri" w:hAnsi="Calibri"/>
          <w:color w:val="0F3460"/>
          <w:sz w:val="48"/>
          <w:szCs w:val="48"/>
        </w:rPr>
        <w:t xml:space="preserve">Table of Contents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Brand Identity &amp; Positioning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Service Catalog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Pricing &amp; Rate Card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Client Lifecycle Workflow</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Email Automation Sequences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Template Library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Technology &amp; Tools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Client Kit Checklists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Standard Operating Procedures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Suite Architecture &amp; File Map</w:t>
      </w:r>
    </w:p>
    <w:p>
      <w:pPr>
        <w:pBdr>
          <w:bottom w:val="single" w:color="0F3460" w:sz="6"/>
        </w:pBdr>
        <w:spacing w:after="240" w:before="240"/>
      </w:pPr>
    </w:p>
    <w:p>
      <w:pPr>
        <w:pStyle w:val="Heading1"/>
        <w:spacing w:after="120" w:before="480" w:line="312" w:lineRule="auto"/>
      </w:pPr>
      <w:r>
        <w:rPr>
          <w:rFonts w:ascii="Calibri" w:cs="Calibri" w:eastAsia="Calibri" w:hAnsi="Calibri"/>
          <w:color w:val="0F3460"/>
          <w:sz w:val="48"/>
          <w:szCs w:val="48"/>
        </w:rPr>
        <w:t xml:space="preserve">1. Brand Identity &amp; Positioning</w:t>
      </w:r>
    </w:p>
    <w:p>
      <w:pPr>
        <w:spacing w:after="120" w:before="60" w:line="360" w:lineRule="auto"/>
      </w:pPr>
      <w:r>
        <w:rPr>
          <w:rFonts w:ascii="Calibri" w:cs="Calibri" w:eastAsia="Calibri" w:hAnsi="Calibri"/>
          <w:b w:val="false"/>
          <w:bCs w:val="false"/>
          <w:i w:val="false"/>
          <w:iCs w:val="false"/>
          <w:strike w:val="false"/>
          <w:color w:val="1A1A2E"/>
          <w:sz w:val="22"/>
          <w:szCs w:val="22"/>
        </w:rPr>
        <w:t xml:space="preserve">Edward Guy Consulting is a freelance IT and software consulting practice based in Monroe, Louisiana, delivering enterprise-grade cybersecurity and artificial intelligence solutions to organizations that demand precision, transparency, and measurable outcomes.</w:t>
      </w:r>
    </w:p>
    <w:p>
      <w:pPr>
        <w:pStyle w:val="Heading2"/>
        <w:spacing w:after="120" w:before="360" w:line="312" w:lineRule="auto"/>
      </w:pPr>
      <w:r>
        <w:rPr>
          <w:rFonts w:ascii="Calibri" w:cs="Calibri" w:eastAsia="Calibri" w:hAnsi="Calibri"/>
          <w:color w:val="0F3460"/>
          <w:sz w:val="36"/>
          <w:szCs w:val="36"/>
        </w:rPr>
        <w:t xml:space="preserve">1.1 Mission &amp; Vision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3%"/>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Element</w:t>
            </w:r>
          </w:p>
        </w:tc>
        <w:tc>
          <w:tcPr>
            <w:tcW w:type="pct" w:w="87%"/>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Statement</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Mission</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Empowering businesses with enterprise-grade cybersecurity and AI solutions that scale with ambition.</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Vision</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To be the trusted technology partner that transforms how organizations protect and leverage their digital assets.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Tagline</w:t>
            </w:r>
          </w:p>
        </w:tc>
        <w:tc>
          <w:tcPr>
            <w:tcW w:type="pct" w:w="87%"/>
            <w:tcMar>
              <w:top w:type="dxa" w:w="90"/>
              <w:left w:type="dxa" w:w="120"/>
              <w:bottom w:type="dxa" w:w="90"/>
              <w:right w:type="dxa" w:w="120"/>
            </w:tcMar>
          </w:tcPr>
          <w:p>
            <w:r>
              <w:rPr>
                <w:rFonts w:ascii="Calibri" w:cs="Calibri" w:eastAsia="Calibri" w:hAnsi="Calibri"/>
                <w:b w:val="false"/>
                <w:bCs w:val="false"/>
                <w:i/>
                <w:iCs/>
                <w:strike w:val="false"/>
                <w:color w:val="1A1A2E"/>
                <w:sz w:val="22"/>
                <w:szCs w:val="22"/>
              </w:rPr>
              <w:t xml:space="preserve">"Cybersecurity &amp; AI Solutions That Scale"</w:t>
            </w:r>
          </w:p>
        </w:tc>
      </w:tr>
    </w:tbl>
    <w:p>
      <w:pPr>
        <w:spacing w:after="200" w:before="0"/>
      </w:pPr>
    </w:p>
    <w:p>
      <w:pPr>
        <w:pStyle w:val="Heading2"/>
        <w:spacing w:after="120" w:before="360" w:line="312" w:lineRule="auto"/>
      </w:pPr>
      <w:r>
        <w:rPr>
          <w:rFonts w:ascii="Calibri" w:cs="Calibri" w:eastAsia="Calibri" w:hAnsi="Calibri"/>
          <w:color w:val="0F3460"/>
          <w:sz w:val="36"/>
          <w:szCs w:val="36"/>
        </w:rPr>
        <w:t xml:space="preserve">1.2 Core Brand Values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Value</w:t>
            </w:r>
          </w:p>
        </w:tc>
        <w:tc>
          <w:tcPr>
            <w:tcW w:type="pct" w:w="85%"/>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What It Means in Practice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E94560"/>
                <w:sz w:val="22"/>
                <w:szCs w:val="22"/>
              </w:rPr>
              <w:t xml:space="preserve">Precision</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Every deliverable is methodical, data-driven, and technically rigorous. No guesswork, no shortcuts.</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E94560"/>
                <w:sz w:val="22"/>
                <w:szCs w:val="22"/>
              </w:rPr>
              <w:t xml:space="preserve">Transparency</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Clients see exactly what they're paying for — clear scopes, honest timelines, and open communication.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E94560"/>
                <w:sz w:val="22"/>
                <w:szCs w:val="22"/>
              </w:rPr>
              <w:t xml:space="preserve">Innovation</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We bring cutting-edge research and modern frameworks to every engagement, blending academic depth with real-world application.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E94560"/>
                <w:sz w:val="22"/>
                <w:szCs w:val="22"/>
              </w:rPr>
              <w:t xml:space="preserve">Empowerment</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We don't create dependency — we build capacity. Clients leave every engagement more capable than when they started.</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E94560"/>
                <w:sz w:val="22"/>
                <w:szCs w:val="22"/>
              </w:rPr>
              <w:t xml:space="preserve">Integrity</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We do what we say, protect what we're trusted with, and hold ourselves to the highest ethical standards.</w:t>
            </w:r>
          </w:p>
        </w:tc>
      </w:tr>
    </w:tbl>
    <w:p>
      <w:pPr>
        <w:spacing w:after="200" w:before="0"/>
      </w:pPr>
    </w:p>
    <w:p>
      <w:pPr>
        <w:pStyle w:val="Heading2"/>
        <w:spacing w:after="120" w:before="360" w:line="312" w:lineRule="auto"/>
      </w:pPr>
      <w:r>
        <w:rPr>
          <w:rFonts w:ascii="Calibri" w:cs="Calibri" w:eastAsia="Calibri" w:hAnsi="Calibri"/>
          <w:color w:val="0F3460"/>
          <w:sz w:val="36"/>
          <w:szCs w:val="36"/>
        </w:rPr>
        <w:t xml:space="preserve">1.3 Unique Selling Proposition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F3460" w:sz="6"/>
              <w:left w:val="single" w:color="0F3460" w:sz="6"/>
              <w:bottom w:val="single" w:color="0F3460" w:sz="6"/>
              <w:right w:val="single" w:color="0F3460" w:sz="6"/>
            </w:tcBorders>
            <w:shd w:fill="E8F4F8"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F3460"/>
                <w:sz w:val="22"/>
                <w:szCs w:val="22"/>
              </w:rPr>
              <w:t xml:space="preserve">What Sets Us Apart</w:t>
            </w:r>
          </w:p>
          <w:p>
            <w:pPr>
              <w:spacing w:after="120" w:line="360" w:lineRule="auto"/>
            </w:pPr>
            <w:r>
              <w:rPr>
                <w:rFonts w:ascii="Calibri" w:cs="Calibri" w:eastAsia="Calibri" w:hAnsi="Calibri"/>
                <w:b w:val="false"/>
                <w:bCs w:val="false"/>
                <w:i w:val="false"/>
                <w:iCs w:val="false"/>
                <w:strike w:val="false"/>
                <w:color w:val="1A1A2E"/>
                <w:sz w:val="22"/>
                <w:szCs w:val="22"/>
              </w:rPr>
              <w:t xml:space="preserve">Edward Guy brings a rare combination of </w:t>
            </w:r>
            <w:r>
              <w:rPr>
                <w:rFonts w:ascii="Calibri" w:cs="Calibri" w:eastAsia="Calibri" w:hAnsi="Calibri"/>
                <w:b/>
                <w:bCs/>
                <w:i w:val="false"/>
                <w:iCs w:val="false"/>
                <w:strike w:val="false"/>
                <w:color w:val="1A1A2E"/>
                <w:sz w:val="22"/>
                <w:szCs w:val="22"/>
              </w:rPr>
              <w:t xml:space="preserve">academic depth</w:t>
            </w:r>
            <w:r>
              <w:rPr>
                <w:rFonts w:ascii="Calibri" w:cs="Calibri" w:eastAsia="Calibri" w:hAnsi="Calibri"/>
                <w:b w:val="false"/>
                <w:bCs w:val="false"/>
                <w:i w:val="false"/>
                <w:iCs w:val="false"/>
                <w:strike w:val="false"/>
                <w:color w:val="1A1A2E"/>
                <w:sz w:val="22"/>
                <w:szCs w:val="22"/>
              </w:rPr>
              <w:t xml:space="preserve"> (college professor) and </w:t>
            </w:r>
            <w:r>
              <w:rPr>
                <w:rFonts w:ascii="Calibri" w:cs="Calibri" w:eastAsia="Calibri" w:hAnsi="Calibri"/>
                <w:b/>
                <w:bCs/>
                <w:i w:val="false"/>
                <w:iCs w:val="false"/>
                <w:strike w:val="false"/>
                <w:color w:val="1A1A2E"/>
                <w:sz w:val="22"/>
                <w:szCs w:val="22"/>
              </w:rPr>
              <w:t xml:space="preserve">hands-on practitioner expertise</w:t>
            </w:r>
            <w:r>
              <w:rPr>
                <w:rFonts w:ascii="Calibri" w:cs="Calibri" w:eastAsia="Calibri" w:hAnsi="Calibri"/>
                <w:b w:val="false"/>
                <w:bCs w:val="false"/>
                <w:i w:val="false"/>
                <w:iCs w:val="false"/>
                <w:strike w:val="false"/>
                <w:color w:val="1A1A2E"/>
                <w:sz w:val="22"/>
                <w:szCs w:val="22"/>
              </w:rPr>
              <w:t xml:space="preserve"> in both cybersecurity AND artificial intelligence. Most consultants specialize in one — we deliver mastery across both disciplines, bridging the gap between theoretical rigor and production-ready solutions.</w:t>
            </w:r>
          </w:p>
        </w:tc>
      </w:tr>
    </w:tbl>
    <w:p>
      <w:pPr>
        <w:spacing w:after="240" w:before="0"/>
      </w:pPr>
    </w:p>
    <w:p>
      <w:pPr>
        <w:pStyle w:val="Heading2"/>
        <w:spacing w:after="120" w:before="360" w:line="312" w:lineRule="auto"/>
      </w:pPr>
      <w:r>
        <w:rPr>
          <w:rFonts w:ascii="Calibri" w:cs="Calibri" w:eastAsia="Calibri" w:hAnsi="Calibri"/>
          <w:color w:val="0F3460"/>
          <w:sz w:val="36"/>
          <w:szCs w:val="36"/>
        </w:rPr>
        <w:t xml:space="preserve">1.4 Target Market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2%"/>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Segment</w:t>
            </w:r>
          </w:p>
        </w:tc>
        <w:tc>
          <w:tcPr>
            <w:tcW w:type="pct" w:w="38%"/>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Profile</w:t>
            </w:r>
          </w:p>
        </w:tc>
        <w:tc>
          <w:tcPr>
            <w:tcW w:type="pct" w:w="40%"/>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Primary Needs</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Mid-Market Companies</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50–500 employees, growing tech footprint</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Security posture hardening, compliance, AI integration</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Startups</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Series A–C, building core infrastructure</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Security-first architecture, ML pipeline development</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Educational Institutions</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Universities, school districts, training organizations</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Cybersecurity curriculum, lab environments, policy review</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Healthcare Organizations</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Clinics, hospitals, telehealth platforms</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HIPAA compliance, data protection, secure system design</w:t>
            </w:r>
          </w:p>
        </w:tc>
      </w:tr>
    </w:tbl>
    <w:p>
      <w:pPr>
        <w:spacing w:after="200" w:before="0"/>
      </w:pPr>
    </w:p>
    <w:p>
      <w:pPr>
        <w:pStyle w:val="Heading2"/>
        <w:spacing w:after="120" w:before="360" w:line="312" w:lineRule="auto"/>
      </w:pPr>
      <w:r>
        <w:rPr>
          <w:rFonts w:ascii="Calibri" w:cs="Calibri" w:eastAsia="Calibri" w:hAnsi="Calibri"/>
          <w:color w:val="0F3460"/>
          <w:sz w:val="36"/>
          <w:szCs w:val="36"/>
        </w:rPr>
        <w:t xml:space="preserve">1.5 Geographic Focus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Primary:</w:t>
      </w:r>
      <w:r>
        <w:rPr>
          <w:rFonts w:ascii="Calibri" w:cs="Calibri" w:eastAsia="Calibri" w:hAnsi="Calibri"/>
          <w:b w:val="false"/>
          <w:bCs w:val="false"/>
          <w:i w:val="false"/>
          <w:iCs w:val="false"/>
          <w:strike w:val="false"/>
          <w:color w:val="1A1A2E"/>
          <w:sz w:val="22"/>
          <w:szCs w:val="22"/>
        </w:rPr>
        <w:t xml:space="preserve"> Monroe, LA and the surrounding Northeast Louisiana region — on-site engagements available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Secondary:</w:t>
      </w:r>
      <w:r>
        <w:rPr>
          <w:rFonts w:ascii="Calibri" w:cs="Calibri" w:eastAsia="Calibri" w:hAnsi="Calibri"/>
          <w:b w:val="false"/>
          <w:bCs w:val="false"/>
          <w:i w:val="false"/>
          <w:iCs w:val="false"/>
          <w:strike w:val="false"/>
          <w:color w:val="1A1A2E"/>
          <w:sz w:val="22"/>
          <w:szCs w:val="22"/>
        </w:rPr>
        <w:t xml:space="preserve"> Remote consulting nationwide — full service delivery via secure virtual channels</w:t>
      </w:r>
    </w:p>
    <w:p>
      <w:pPr>
        <w:pStyle w:val="Heading2"/>
        <w:spacing w:after="120" w:before="360" w:line="312" w:lineRule="auto"/>
      </w:pPr>
      <w:r>
        <w:rPr>
          <w:rFonts w:ascii="Calibri" w:cs="Calibri" w:eastAsia="Calibri" w:hAnsi="Calibri"/>
          <w:color w:val="0F3460"/>
          <w:sz w:val="36"/>
          <w:szCs w:val="36"/>
        </w:rPr>
        <w:t xml:space="preserve">1.6 Brand Color Palette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0%"/>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Color</w:t>
            </w:r>
          </w:p>
        </w:tc>
        <w:tc>
          <w:tcPr>
            <w:tcW w:type="pct" w:w="9%"/>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Hex Code</w:t>
            </w:r>
          </w:p>
        </w:tc>
        <w:tc>
          <w:tcPr>
            <w:tcW w:type="pct" w:w="71%"/>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Usage</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Navy Blue</w:t>
            </w:r>
          </w:p>
        </w:tc>
        <w:tc>
          <w:tcPr>
            <w:tcW w:type="pct" w:w="9%"/>
            <w:shd w:fill="0F3460"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FFFFFF"/>
                <w:sz w:val="22"/>
                <w:szCs w:val="22"/>
              </w:rPr>
              <w:t xml:space="preserve">#0f3460</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Headers, primary brand, navigation, trust signals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Coral Red</w:t>
            </w:r>
          </w:p>
        </w:tc>
        <w:tc>
          <w:tcPr>
            <w:tcW w:type="pct" w:w="9%"/>
            <w:shd w:fill="E94560"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FFFFFF"/>
                <w:sz w:val="22"/>
                <w:szCs w:val="22"/>
              </w:rPr>
              <w:t xml:space="preserve">#e94560</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Accents, CTAs, emphasis, alerts, pricing highlights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Light Blue</w:t>
            </w:r>
          </w:p>
        </w:tc>
        <w:tc>
          <w:tcPr>
            <w:tcW w:type="pct" w:w="9%"/>
            <w:shd w:fill="E8F4F8"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#e8f4f8</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Callout boxes, backgrounds, secondary containers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Dark Text</w:t>
            </w:r>
          </w:p>
        </w:tc>
        <w:tc>
          <w:tcPr>
            <w:tcW w:type="pct" w:w="9%"/>
            <w:shd w:fill="1A1A2E"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FFFFFF"/>
                <w:sz w:val="22"/>
                <w:szCs w:val="22"/>
              </w:rPr>
              <w:t xml:space="preserve">#1a1a2e</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Body text, paragraphs, data tables</w:t>
            </w:r>
          </w:p>
        </w:tc>
      </w:tr>
    </w:tbl>
    <w:p>
      <w:pPr>
        <w:spacing w:after="200" w:before="0"/>
      </w:pPr>
    </w:p>
    <w:p>
      <w:pPr>
        <w:pBdr>
          <w:bottom w:val="single" w:color="0F3460" w:sz="6"/>
        </w:pBdr>
        <w:spacing w:after="240" w:before="240"/>
      </w:pPr>
    </w:p>
    <w:p>
      <w:pPr>
        <w:pStyle w:val="Heading1"/>
        <w:spacing w:after="120" w:before="480" w:line="312" w:lineRule="auto"/>
      </w:pPr>
      <w:r>
        <w:rPr>
          <w:rFonts w:ascii="Calibri" w:cs="Calibri" w:eastAsia="Calibri" w:hAnsi="Calibri"/>
          <w:color w:val="0F3460"/>
          <w:sz w:val="48"/>
          <w:szCs w:val="48"/>
        </w:rPr>
        <w:t xml:space="preserve">2. Service Catalog</w:t>
      </w:r>
    </w:p>
    <w:p>
      <w:pPr>
        <w:spacing w:after="120" w:before="60" w:line="360" w:lineRule="auto"/>
      </w:pPr>
      <w:r>
        <w:rPr>
          <w:rFonts w:ascii="Calibri" w:cs="Calibri" w:eastAsia="Calibri" w:hAnsi="Calibri"/>
          <w:b w:val="false"/>
          <w:bCs w:val="false"/>
          <w:i w:val="false"/>
          <w:iCs w:val="false"/>
          <w:strike w:val="false"/>
          <w:color w:val="1A1A2E"/>
          <w:sz w:val="22"/>
          <w:szCs w:val="22"/>
        </w:rPr>
        <w:t xml:space="preserve">Edward Guy Consulting delivers eight core service lines spanning cybersecurity, artificial intelligence, software development, cloud infrastructure, and strategic advisory. Each engagement produces tangible, documented deliverables.</w:t>
      </w:r>
    </w:p>
    <w:p>
      <w:pPr>
        <w:spacing w:after="80" w:before="200"/>
        <w:jc w:val="center"/>
      </w:pPr>
      <w:r>
        <w:drawing>
          <wp:inline distT="0" distB="0" distL="0" distR="0">
            <wp:extent cx="45148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14850" cy="2990850"/>
                    </a:xfrm>
                    <a:prstGeom prst="rect">
                      <a:avLst/>
                    </a:prstGeom>
                  </pic:spPr>
                </pic:pic>
              </a:graphicData>
            </a:graphic>
          </wp:inline>
        </w:drawing>
      </w:r>
    </w:p>
    <w:p>
      <w:pPr>
        <w:spacing w:after="200"/>
        <w:jc w:val="center"/>
      </w:pPr>
      <w:r>
        <w:rPr>
          <w:i/>
          <w:iCs/>
          <w:color w:val="6B7280"/>
          <w:sz w:val="20"/>
          <w:szCs w:val="20"/>
        </w:rPr>
        <w:t xml:space="preserve">Comprehensive cybersecurity and technology service offerings</w:t>
      </w:r>
    </w:p>
    <w:p>
      <w:pPr>
        <w:pStyle w:val="Heading2"/>
        <w:spacing w:after="120" w:before="360" w:line="312" w:lineRule="auto"/>
      </w:pPr>
      <w:r>
        <w:rPr>
          <w:rFonts w:ascii="Calibri" w:cs="Calibri" w:eastAsia="Calibri" w:hAnsi="Calibri"/>
          <w:color w:val="0F3460"/>
          <w:sz w:val="36"/>
          <w:szCs w:val="36"/>
        </w:rPr>
        <w:t xml:space="preserve">2.1 Cybersecurity Audit &amp; Assessment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Detail</w:t>
            </w:r>
          </w:p>
        </w:tc>
        <w:tc>
          <w:tcPr>
            <w:tcW w:type="pct" w:w="85%"/>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Description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Rate</w:t>
            </w:r>
          </w:p>
        </w:tc>
        <w:tc>
          <w:tcPr>
            <w:tcW w:type="pct" w:w="85%"/>
            <w:tcMar>
              <w:top w:type="dxa" w:w="90"/>
              <w:left w:type="dxa" w:w="120"/>
              <w:bottom w:type="dxa" w:w="90"/>
              <w:right w:type="dxa" w:w="120"/>
            </w:tcMar>
          </w:tcPr>
          <w:p>
            <w:r>
              <w:rPr>
                <w:rFonts w:ascii="Calibri" w:cs="Calibri" w:eastAsia="Calibri" w:hAnsi="Calibri"/>
                <w:b/>
                <w:bCs/>
                <w:i w:val="false"/>
                <w:iCs w:val="false"/>
                <w:strike w:val="false"/>
                <w:color w:val="E94560"/>
                <w:sz w:val="22"/>
                <w:szCs w:val="22"/>
              </w:rPr>
              <w:t xml:space="preserve">$200/hr</w:t>
            </w:r>
            <w:r>
              <w:rPr>
                <w:rFonts w:ascii="Calibri" w:cs="Calibri" w:eastAsia="Calibri" w:hAnsi="Calibri"/>
                <w:b w:val="false"/>
                <w:bCs w:val="false"/>
                <w:i w:val="false"/>
                <w:iCs w:val="false"/>
                <w:strike w:val="false"/>
                <w:color w:val="1A1A2E"/>
                <w:sz w:val="22"/>
                <w:szCs w:val="22"/>
              </w:rPr>
              <w:t xml:space="preserve"> (Tier 2 — Specialized)</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Minimum Engagement</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20 hours ($4,000)</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Scope</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Comprehensive security posture review: vulnerability scanning, security policy review, compliance gap analysis (NIST, SOC 2, HIPAA, PCI-DSS), risk scoring, and remediation prioritization.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Deliverables</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Executive Summary Report, Vulnerability Matrix, Remediation Roadmap (prioritized), Compliance Gap Analysis</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Ideal Client</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Organizations preparing for audits, post-breach review, or establishing baseline security posture</w:t>
            </w:r>
          </w:p>
        </w:tc>
      </w:tr>
    </w:tbl>
    <w:p>
      <w:pPr>
        <w:spacing w:after="200" w:before="0"/>
      </w:pPr>
    </w:p>
    <w:p>
      <w:pPr>
        <w:pStyle w:val="Heading2"/>
        <w:spacing w:after="120" w:before="360" w:line="312" w:lineRule="auto"/>
      </w:pPr>
      <w:r>
        <w:rPr>
          <w:rFonts w:ascii="Calibri" w:cs="Calibri" w:eastAsia="Calibri" w:hAnsi="Calibri"/>
          <w:color w:val="0F3460"/>
          <w:sz w:val="36"/>
          <w:szCs w:val="36"/>
        </w:rPr>
        <w:t xml:space="preserve">2.2 Penetration Testing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Detail</w:t>
            </w:r>
          </w:p>
        </w:tc>
        <w:tc>
          <w:tcPr>
            <w:tcW w:type="pct" w:w="85%"/>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Description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Rate</w:t>
            </w:r>
          </w:p>
        </w:tc>
        <w:tc>
          <w:tcPr>
            <w:tcW w:type="pct" w:w="85%"/>
            <w:tcMar>
              <w:top w:type="dxa" w:w="90"/>
              <w:left w:type="dxa" w:w="120"/>
              <w:bottom w:type="dxa" w:w="90"/>
              <w:right w:type="dxa" w:w="120"/>
            </w:tcMar>
          </w:tcPr>
          <w:p>
            <w:r>
              <w:rPr>
                <w:rFonts w:ascii="Calibri" w:cs="Calibri" w:eastAsia="Calibri" w:hAnsi="Calibri"/>
                <w:b/>
                <w:bCs/>
                <w:i w:val="false"/>
                <w:iCs w:val="false"/>
                <w:strike w:val="false"/>
                <w:color w:val="E94560"/>
                <w:sz w:val="22"/>
                <w:szCs w:val="22"/>
              </w:rPr>
              <w:t xml:space="preserve">$200/hr</w:t>
            </w:r>
            <w:r>
              <w:rPr>
                <w:rFonts w:ascii="Calibri" w:cs="Calibri" w:eastAsia="Calibri" w:hAnsi="Calibri"/>
                <w:b w:val="false"/>
                <w:bCs w:val="false"/>
                <w:i w:val="false"/>
                <w:iCs w:val="false"/>
                <w:strike w:val="false"/>
                <w:color w:val="1A1A2E"/>
                <w:sz w:val="22"/>
                <w:szCs w:val="22"/>
              </w:rPr>
              <w:t xml:space="preserve"> (Tier 2 — Specialized)</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Minimum Engagement</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40 hours ($8,000)</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Scope</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Simulated adversary engagement across network, web application, and social engineering vectors. Includes reconnaissance, exploitation, post-exploitation, and lateral movement analysis.</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Deliverables</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Pentest Report, Finding Severity Matrix (CVSS-scored), Proof-of-Concept Exploits Documentation, Remediation Guide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Ideal Client</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Companies requiring adversary simulation, compliance validation, or red-team exercises</w:t>
            </w:r>
          </w:p>
        </w:tc>
      </w:tr>
    </w:tbl>
    <w:p>
      <w:pPr>
        <w:spacing w:after="200" w:before="0"/>
      </w:pPr>
    </w:p>
    <w:p>
      <w:pPr>
        <w:pStyle w:val="Heading2"/>
        <w:spacing w:after="120" w:before="360" w:line="312" w:lineRule="auto"/>
      </w:pPr>
      <w:r>
        <w:rPr>
          <w:rFonts w:ascii="Calibri" w:cs="Calibri" w:eastAsia="Calibri" w:hAnsi="Calibri"/>
          <w:color w:val="0F3460"/>
          <w:sz w:val="36"/>
          <w:szCs w:val="36"/>
        </w:rPr>
        <w:t xml:space="preserve">2.3 AI/ML Solution Development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Detail</w:t>
            </w:r>
          </w:p>
        </w:tc>
        <w:tc>
          <w:tcPr>
            <w:tcW w:type="pct" w:w="85%"/>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Description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Rate</w:t>
            </w:r>
          </w:p>
        </w:tc>
        <w:tc>
          <w:tcPr>
            <w:tcW w:type="pct" w:w="85%"/>
            <w:tcMar>
              <w:top w:type="dxa" w:w="90"/>
              <w:left w:type="dxa" w:w="120"/>
              <w:bottom w:type="dxa" w:w="90"/>
              <w:right w:type="dxa" w:w="120"/>
            </w:tcMar>
          </w:tcPr>
          <w:p>
            <w:r>
              <w:rPr>
                <w:rFonts w:ascii="Calibri" w:cs="Calibri" w:eastAsia="Calibri" w:hAnsi="Calibri"/>
                <w:b/>
                <w:bCs/>
                <w:i w:val="false"/>
                <w:iCs w:val="false"/>
                <w:strike w:val="false"/>
                <w:color w:val="E94560"/>
                <w:sz w:val="22"/>
                <w:szCs w:val="22"/>
              </w:rPr>
              <w:t xml:space="preserve">$200/hr</w:t>
            </w:r>
            <w:r>
              <w:rPr>
                <w:rFonts w:ascii="Calibri" w:cs="Calibri" w:eastAsia="Calibri" w:hAnsi="Calibri"/>
                <w:b w:val="false"/>
                <w:bCs w:val="false"/>
                <w:i w:val="false"/>
                <w:iCs w:val="false"/>
                <w:strike w:val="false"/>
                <w:color w:val="1A1A2E"/>
                <w:sz w:val="22"/>
                <w:szCs w:val="22"/>
              </w:rPr>
              <w:t xml:space="preserve"> (Tier 2 — Specialized)</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Minimum Engagement</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60 hours ($12,000)</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Scope</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End-to-end AI solution delivery: problem framing, data pipeline engineering, model architecture design, training and evaluation, deployment to production, monitoring and drift detection.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Deliverables</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Solution Architecture Document, Model Documentation (cards), API Endpoints, Performance Benchmarks</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Ideal Client</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Organizations building custom ML models, NLP pipelines, predictive analytics, or intelligent automation</w:t>
            </w:r>
          </w:p>
        </w:tc>
      </w:tr>
    </w:tbl>
    <w:p>
      <w:pPr>
        <w:spacing w:after="200" w:before="0"/>
      </w:pPr>
    </w:p>
    <w:p>
      <w:pPr>
        <w:pStyle w:val="Heading2"/>
        <w:spacing w:after="120" w:before="360" w:line="312" w:lineRule="auto"/>
      </w:pPr>
      <w:r>
        <w:rPr>
          <w:rFonts w:ascii="Calibri" w:cs="Calibri" w:eastAsia="Calibri" w:hAnsi="Calibri"/>
          <w:color w:val="0F3460"/>
          <w:sz w:val="36"/>
          <w:szCs w:val="36"/>
        </w:rPr>
        <w:t xml:space="preserve">2.4 Full-Stack Web Development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Detail</w:t>
            </w:r>
          </w:p>
        </w:tc>
        <w:tc>
          <w:tcPr>
            <w:tcW w:type="pct" w:w="84%"/>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Description</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Rate</w:t>
            </w:r>
          </w:p>
        </w:tc>
        <w:tc>
          <w:tcPr>
            <w:tcW w:type="pct" w:w="84%"/>
            <w:tcMar>
              <w:top w:type="dxa" w:w="90"/>
              <w:left w:type="dxa" w:w="120"/>
              <w:bottom w:type="dxa" w:w="90"/>
              <w:right w:type="dxa" w:w="120"/>
            </w:tcMar>
          </w:tcPr>
          <w:p>
            <w:r>
              <w:rPr>
                <w:rFonts w:ascii="Calibri" w:cs="Calibri" w:eastAsia="Calibri" w:hAnsi="Calibri"/>
                <w:b/>
                <w:bCs/>
                <w:i w:val="false"/>
                <w:iCs w:val="false"/>
                <w:strike w:val="false"/>
                <w:color w:val="E94560"/>
                <w:sz w:val="22"/>
                <w:szCs w:val="22"/>
              </w:rPr>
              <w:t xml:space="preserve">$150/hr</w:t>
            </w:r>
            <w:r>
              <w:rPr>
                <w:rFonts w:ascii="Calibri" w:cs="Calibri" w:eastAsia="Calibri" w:hAnsi="Calibri"/>
                <w:b w:val="false"/>
                <w:bCs w:val="false"/>
                <w:i w:val="false"/>
                <w:iCs w:val="false"/>
                <w:strike w:val="false"/>
                <w:color w:val="1A1A2E"/>
                <w:sz w:val="22"/>
                <w:szCs w:val="22"/>
              </w:rPr>
              <w:t xml:space="preserve"> (Tier 1 — Standard)</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Minimum Engagement</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40 hours ($6,000)</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Scope</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Custom web application development: modern frontend (React, Vue, or similar), API backend (Python/Node), database design and optimization, CI/CD pipeline setup, security hardening.</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Deliverables</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Source Code Repository, API Documentation, Database Schema, Deployment Guide</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Ideal Client</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Startups needing MVPs, businesses requiring custom internal tools, or organizations modernizing legacy systems</w:t>
            </w:r>
          </w:p>
        </w:tc>
      </w:tr>
    </w:tbl>
    <w:p>
      <w:pPr>
        <w:spacing w:after="200" w:before="0"/>
      </w:pPr>
    </w:p>
    <w:p>
      <w:pPr>
        <w:pStyle w:val="Heading2"/>
        <w:spacing w:after="120" w:before="360" w:line="312" w:lineRule="auto"/>
      </w:pPr>
      <w:r>
        <w:rPr>
          <w:rFonts w:ascii="Calibri" w:cs="Calibri" w:eastAsia="Calibri" w:hAnsi="Calibri"/>
          <w:color w:val="0F3460"/>
          <w:sz w:val="36"/>
          <w:szCs w:val="36"/>
        </w:rPr>
        <w:t xml:space="preserve">2.5 Cloud Infrastructure &amp; DevOps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Detail</w:t>
            </w:r>
          </w:p>
        </w:tc>
        <w:tc>
          <w:tcPr>
            <w:tcW w:type="pct" w:w="84%"/>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Description</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Rate</w:t>
            </w:r>
          </w:p>
        </w:tc>
        <w:tc>
          <w:tcPr>
            <w:tcW w:type="pct" w:w="84%"/>
            <w:tcMar>
              <w:top w:type="dxa" w:w="90"/>
              <w:left w:type="dxa" w:w="120"/>
              <w:bottom w:type="dxa" w:w="90"/>
              <w:right w:type="dxa" w:w="120"/>
            </w:tcMar>
          </w:tcPr>
          <w:p>
            <w:r>
              <w:rPr>
                <w:rFonts w:ascii="Calibri" w:cs="Calibri" w:eastAsia="Calibri" w:hAnsi="Calibri"/>
                <w:b/>
                <w:bCs/>
                <w:i w:val="false"/>
                <w:iCs w:val="false"/>
                <w:strike w:val="false"/>
                <w:color w:val="E94560"/>
                <w:sz w:val="22"/>
                <w:szCs w:val="22"/>
              </w:rPr>
              <w:t xml:space="preserve">$200/hr</w:t>
            </w:r>
            <w:r>
              <w:rPr>
                <w:rFonts w:ascii="Calibri" w:cs="Calibri" w:eastAsia="Calibri" w:hAnsi="Calibri"/>
                <w:b w:val="false"/>
                <w:bCs w:val="false"/>
                <w:i w:val="false"/>
                <w:iCs w:val="false"/>
                <w:strike w:val="false"/>
                <w:color w:val="1A1A2E"/>
                <w:sz w:val="22"/>
                <w:szCs w:val="22"/>
              </w:rPr>
              <w:t xml:space="preserve"> (Tier 2 — Specialized)</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Minimum Engagement</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30 hours ($6,000)</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Scope</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Cloud migration strategy, Infrastructure as Code (Terraform, CloudFormation), CI/CD pipeline engineering, container orchestration (Docker/Kubernetes), monitoring and alerting setup.</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Deliverables</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Infrastructure Diagrams, IaC Templates, Pipeline Configuration, Operational Runbook</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Ideal Client</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Organizations migrating to cloud, adopting DevOps practices, or optimizing infrastructure costs</w:t>
            </w:r>
          </w:p>
        </w:tc>
      </w:tr>
    </w:tbl>
    <w:p>
      <w:pPr>
        <w:spacing w:after="200" w:before="0"/>
      </w:pPr>
    </w:p>
    <w:p>
      <w:pPr>
        <w:pStyle w:val="Heading2"/>
        <w:spacing w:after="120" w:before="360" w:line="312" w:lineRule="auto"/>
      </w:pPr>
      <w:r>
        <w:rPr>
          <w:rFonts w:ascii="Calibri" w:cs="Calibri" w:eastAsia="Calibri" w:hAnsi="Calibri"/>
          <w:color w:val="0F3460"/>
          <w:sz w:val="36"/>
          <w:szCs w:val="36"/>
        </w:rPr>
        <w:t xml:space="preserve">2.6 IT Consulting &amp; Strategy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Detail</w:t>
            </w:r>
          </w:p>
        </w:tc>
        <w:tc>
          <w:tcPr>
            <w:tcW w:type="pct" w:w="84%"/>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Description</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Rate</w:t>
            </w:r>
          </w:p>
        </w:tc>
        <w:tc>
          <w:tcPr>
            <w:tcW w:type="pct" w:w="84%"/>
            <w:tcMar>
              <w:top w:type="dxa" w:w="90"/>
              <w:left w:type="dxa" w:w="120"/>
              <w:bottom w:type="dxa" w:w="90"/>
              <w:right w:type="dxa" w:w="120"/>
            </w:tcMar>
          </w:tcPr>
          <w:p>
            <w:r>
              <w:rPr>
                <w:rFonts w:ascii="Calibri" w:cs="Calibri" w:eastAsia="Calibri" w:hAnsi="Calibri"/>
                <w:b/>
                <w:bCs/>
                <w:i w:val="false"/>
                <w:iCs w:val="false"/>
                <w:strike w:val="false"/>
                <w:color w:val="E94560"/>
                <w:sz w:val="22"/>
                <w:szCs w:val="22"/>
              </w:rPr>
              <w:t xml:space="preserve">$150/hr</w:t>
            </w:r>
            <w:r>
              <w:rPr>
                <w:rFonts w:ascii="Calibri" w:cs="Calibri" w:eastAsia="Calibri" w:hAnsi="Calibri"/>
                <w:b w:val="false"/>
                <w:bCs w:val="false"/>
                <w:i w:val="false"/>
                <w:iCs w:val="false"/>
                <w:strike w:val="false"/>
                <w:color w:val="1A1A2E"/>
                <w:sz w:val="22"/>
                <w:szCs w:val="22"/>
              </w:rPr>
              <w:t xml:space="preserve"> (Tier 1 — Standard)</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Minimum Engagement</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10 hours ($1,500)</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Scope</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Technology roadmap development, vendor evaluation and selection, digital transformation strategy, IT budget planning, architecture review, and organizational technology assessment.</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Deliverables</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Strategy Document, Technology Roadmap, Vendor Comparison Matrix</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Ideal Client</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Growing companies without a CTO, organizations planning major technology investments</w:t>
            </w:r>
          </w:p>
        </w:tc>
      </w:tr>
    </w:tbl>
    <w:p>
      <w:pPr>
        <w:spacing w:after="200" w:before="0"/>
      </w:pPr>
    </w:p>
    <w:p>
      <w:pPr>
        <w:pStyle w:val="Heading2"/>
        <w:spacing w:after="120" w:before="360" w:line="312" w:lineRule="auto"/>
      </w:pPr>
      <w:r>
        <w:rPr>
          <w:rFonts w:ascii="Calibri" w:cs="Calibri" w:eastAsia="Calibri" w:hAnsi="Calibri"/>
          <w:color w:val="0F3460"/>
          <w:sz w:val="36"/>
          <w:szCs w:val="36"/>
        </w:rPr>
        <w:t xml:space="preserve">2.7 Technical Training &amp; Workshops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Detail</w:t>
            </w:r>
          </w:p>
        </w:tc>
        <w:tc>
          <w:tcPr>
            <w:tcW w:type="pct" w:w="85%"/>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Description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Rate</w:t>
            </w:r>
          </w:p>
        </w:tc>
        <w:tc>
          <w:tcPr>
            <w:tcW w:type="pct" w:w="85%"/>
            <w:tcMar>
              <w:top w:type="dxa" w:w="90"/>
              <w:left w:type="dxa" w:w="120"/>
              <w:bottom w:type="dxa" w:w="90"/>
              <w:right w:type="dxa" w:w="120"/>
            </w:tcMar>
          </w:tcPr>
          <w:p>
            <w:r>
              <w:rPr>
                <w:rFonts w:ascii="Calibri" w:cs="Calibri" w:eastAsia="Calibri" w:hAnsi="Calibri"/>
                <w:b/>
                <w:bCs/>
                <w:i w:val="false"/>
                <w:iCs w:val="false"/>
                <w:strike w:val="false"/>
                <w:color w:val="E94560"/>
                <w:sz w:val="22"/>
                <w:szCs w:val="22"/>
              </w:rPr>
              <w:t xml:space="preserve">$150/hr</w:t>
            </w:r>
            <w:r>
              <w:rPr>
                <w:rFonts w:ascii="Calibri" w:cs="Calibri" w:eastAsia="Calibri" w:hAnsi="Calibri"/>
                <w:b w:val="false"/>
                <w:bCs w:val="false"/>
                <w:i w:val="false"/>
                <w:iCs w:val="false"/>
                <w:strike w:val="false"/>
                <w:color w:val="1A1A2E"/>
                <w:sz w:val="22"/>
                <w:szCs w:val="22"/>
              </w:rPr>
              <w:t xml:space="preserve"> (Tier 1 — Standard)</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Minimum Engagement</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8 hours ($1,200)</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Scope</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Custom training programs on cybersecurity awareness, AI/ML fundamentals, cloud computing, secure software development, and DevOps practices. Tailored to audience level (executive, technical, end-user).</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Deliverables</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Training Materials (slides &amp; handouts), Lab Exercises, Assessment Rubric, Completion Certificates</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Ideal Client</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Educational institutions, corporate teams needing upskilling, compliance-driven training needs</w:t>
            </w:r>
          </w:p>
        </w:tc>
      </w:tr>
    </w:tbl>
    <w:p>
      <w:pPr>
        <w:spacing w:after="200" w:before="0"/>
      </w:pPr>
    </w:p>
    <w:p>
      <w:pPr>
        <w:pStyle w:val="Heading2"/>
        <w:spacing w:after="120" w:before="360" w:line="312" w:lineRule="auto"/>
      </w:pPr>
      <w:r>
        <w:rPr>
          <w:rFonts w:ascii="Calibri" w:cs="Calibri" w:eastAsia="Calibri" w:hAnsi="Calibri"/>
          <w:color w:val="0F3460"/>
          <w:sz w:val="36"/>
          <w:szCs w:val="36"/>
        </w:rPr>
        <w:t xml:space="preserve">2.8 Incident Response &amp; Recovery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Detail</w:t>
            </w:r>
          </w:p>
        </w:tc>
        <w:tc>
          <w:tcPr>
            <w:tcW w:type="pct" w:w="84%"/>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Description</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Rate</w:t>
            </w:r>
          </w:p>
        </w:tc>
        <w:tc>
          <w:tcPr>
            <w:tcW w:type="pct" w:w="84%"/>
            <w:tcMar>
              <w:top w:type="dxa" w:w="90"/>
              <w:left w:type="dxa" w:w="120"/>
              <w:bottom w:type="dxa" w:w="90"/>
              <w:right w:type="dxa" w:w="120"/>
            </w:tcMar>
          </w:tcPr>
          <w:p>
            <w:r>
              <w:rPr>
                <w:rFonts w:ascii="Calibri" w:cs="Calibri" w:eastAsia="Calibri" w:hAnsi="Calibri"/>
                <w:b/>
                <w:bCs/>
                <w:i w:val="false"/>
                <w:iCs w:val="false"/>
                <w:strike w:val="false"/>
                <w:color w:val="E94560"/>
                <w:sz w:val="22"/>
                <w:szCs w:val="22"/>
              </w:rPr>
              <w:t xml:space="preserve">$275/hr</w:t>
            </w:r>
            <w:r>
              <w:rPr>
                <w:rFonts w:ascii="Calibri" w:cs="Calibri" w:eastAsia="Calibri" w:hAnsi="Calibri"/>
                <w:b w:val="false"/>
                <w:bCs w:val="false"/>
                <w:i w:val="false"/>
                <w:iCs w:val="false"/>
                <w:strike w:val="false"/>
                <w:color w:val="1A1A2E"/>
                <w:sz w:val="22"/>
                <w:szCs w:val="22"/>
              </w:rPr>
              <w:t xml:space="preserve"> (Tier 3 — Emergency)</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Minimum Engagement</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8 hours ($2,200)</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Scope</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Emergency investigation, containment, eradication, and recovery operations. Includes forensic analysis, root cause determination, evidence preservation, and post-incident hardening.</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Deliverables</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Incident Report, Timeline Analysis, Indicators of Compromise (IOC) Documentation, Hardening Recommendations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Ideal Client</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Any organization experiencing an active breach, ransomware event, or suspected compromise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F3460" w:sz="6"/>
              <w:left w:val="single" w:color="0F3460" w:sz="6"/>
              <w:bottom w:val="single" w:color="0F3460" w:sz="6"/>
              <w:right w:val="single" w:color="0F3460" w:sz="6"/>
            </w:tcBorders>
            <w:shd w:fill="FCE8E8"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F3460"/>
                <w:sz w:val="22"/>
                <w:szCs w:val="22"/>
              </w:rPr>
              <w:t xml:space="preserve">Emergency Response SLA</w:t>
            </w:r>
          </w:p>
          <w:p>
            <w:pPr>
              <w:spacing w:after="120" w:line="360" w:lineRule="auto"/>
            </w:pPr>
            <w:r>
              <w:rPr>
                <w:rFonts w:ascii="Calibri" w:cs="Calibri" w:eastAsia="Calibri" w:hAnsi="Calibri"/>
                <w:b w:val="false"/>
                <w:bCs w:val="false"/>
                <w:i w:val="false"/>
                <w:iCs w:val="false"/>
                <w:strike w:val="false"/>
                <w:color w:val="1A1A2E"/>
                <w:sz w:val="22"/>
                <w:szCs w:val="22"/>
              </w:rPr>
              <w:t xml:space="preserve">Incident Response engagements are initiated within </w:t>
            </w:r>
            <w:r>
              <w:rPr>
                <w:rFonts w:ascii="Calibri" w:cs="Calibri" w:eastAsia="Calibri" w:hAnsi="Calibri"/>
                <w:b/>
                <w:bCs/>
                <w:i w:val="false"/>
                <w:iCs w:val="false"/>
                <w:strike w:val="false"/>
                <w:color w:val="1A1A2E"/>
                <w:sz w:val="22"/>
                <w:szCs w:val="22"/>
              </w:rPr>
              <w:t xml:space="preserve">2 hours</w:t>
            </w:r>
            <w:r>
              <w:rPr>
                <w:rFonts w:ascii="Calibri" w:cs="Calibri" w:eastAsia="Calibri" w:hAnsi="Calibri"/>
                <w:b w:val="false"/>
                <w:bCs w:val="false"/>
                <w:i w:val="false"/>
                <w:iCs w:val="false"/>
                <w:strike w:val="false"/>
                <w:color w:val="1A1A2E"/>
                <w:sz w:val="22"/>
                <w:szCs w:val="22"/>
              </w:rPr>
              <w:t xml:space="preserve"> of contact for active incidents. After-hours and weekend availability included at the Tier 3 rate. A 4-hour retainer block is required upfront.</w:t>
            </w:r>
          </w:p>
        </w:tc>
      </w:tr>
    </w:tbl>
    <w:p>
      <w:pPr>
        <w:spacing w:after="240" w:before="0"/>
      </w:pPr>
    </w:p>
    <w:p>
      <w:pPr>
        <w:pBdr>
          <w:bottom w:val="single" w:color="0F3460" w:sz="6"/>
        </w:pBdr>
        <w:spacing w:after="240" w:before="240"/>
      </w:pPr>
    </w:p>
    <w:p>
      <w:pPr>
        <w:pStyle w:val="Heading1"/>
        <w:spacing w:after="120" w:before="480" w:line="312" w:lineRule="auto"/>
      </w:pPr>
      <w:r>
        <w:rPr>
          <w:rFonts w:ascii="Calibri" w:cs="Calibri" w:eastAsia="Calibri" w:hAnsi="Calibri"/>
          <w:color w:val="0F3460"/>
          <w:sz w:val="48"/>
          <w:szCs w:val="48"/>
        </w:rPr>
        <w:t xml:space="preserve">3. Pricing &amp; Rate Card</w:t>
      </w:r>
    </w:p>
    <w:p>
      <w:pPr>
        <w:spacing w:after="120" w:before="60" w:line="360" w:lineRule="auto"/>
      </w:pPr>
      <w:r>
        <w:rPr>
          <w:rFonts w:ascii="Calibri" w:cs="Calibri" w:eastAsia="Calibri" w:hAnsi="Calibri"/>
          <w:b w:val="false"/>
          <w:bCs w:val="false"/>
          <w:i w:val="false"/>
          <w:iCs w:val="false"/>
          <w:strike w:val="false"/>
          <w:color w:val="1A1A2E"/>
          <w:sz w:val="22"/>
          <w:szCs w:val="22"/>
        </w:rPr>
        <w:t xml:space="preserve">All pricing follows a transparent, tiered structure based on specialization level and engagement urgency. Volume discounts and retainer agreements are available to incentivize long-term partnerships.</w:t>
      </w:r>
    </w:p>
    <w:p>
      <w:pPr>
        <w:pStyle w:val="Heading2"/>
        <w:spacing w:after="120" w:before="360" w:line="312" w:lineRule="auto"/>
      </w:pPr>
      <w:r>
        <w:rPr>
          <w:rFonts w:ascii="Calibri" w:cs="Calibri" w:eastAsia="Calibri" w:hAnsi="Calibri"/>
          <w:color w:val="0F3460"/>
          <w:sz w:val="36"/>
          <w:szCs w:val="36"/>
        </w:rPr>
        <w:t xml:space="preserve">3.1 Rate Tiers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8%"/>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Tier</w:t>
            </w:r>
          </w:p>
        </w:tc>
        <w:tc>
          <w:tcPr>
            <w:tcW w:type="pct" w:w="12%"/>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Rate</w:t>
            </w:r>
          </w:p>
        </w:tc>
        <w:tc>
          <w:tcPr>
            <w:tcW w:type="pct" w:w="12%"/>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Floor Rate</w:t>
            </w:r>
          </w:p>
        </w:tc>
        <w:tc>
          <w:tcPr>
            <w:tcW w:type="pct" w:w="58%"/>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Services Included</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Tier 1 — Standard</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E94560"/>
                <w:sz w:val="22"/>
                <w:szCs w:val="22"/>
              </w:rPr>
              <w:t xml:space="preserve">$150/hr</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$120/hr</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Full-Stack Web Development, IT Consulting &amp; Strategy, Technical Training &amp; Workshops</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Tier 2 — Specialized</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E94560"/>
                <w:sz w:val="22"/>
                <w:szCs w:val="22"/>
              </w:rPr>
              <w:t xml:space="preserve">$200/hr</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$160/hr</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Cybersecurity Audit, Penetration Testing, AI/ML Solution Development, Cloud Infrastructure &amp; DevOps</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Tier 3 — Emergency</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E94560"/>
                <w:sz w:val="22"/>
                <w:szCs w:val="22"/>
              </w:rPr>
              <w:t xml:space="preserve">$275/hr</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$220/hr</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Incident Response &amp; Recovery, After-Hours Work, Weekend Engagements</w:t>
            </w:r>
          </w:p>
        </w:tc>
      </w:tr>
    </w:tbl>
    <w:p>
      <w:pPr>
        <w:spacing w:after="200" w:before="0"/>
      </w:pPr>
    </w:p>
    <w:p>
      <w:pPr>
        <w:pStyle w:val="Heading2"/>
        <w:spacing w:after="120" w:before="360" w:line="312" w:lineRule="auto"/>
      </w:pPr>
      <w:r>
        <w:rPr>
          <w:rFonts w:ascii="Calibri" w:cs="Calibri" w:eastAsia="Calibri" w:hAnsi="Calibri"/>
          <w:color w:val="0F3460"/>
          <w:sz w:val="36"/>
          <w:szCs w:val="36"/>
        </w:rPr>
        <w:t xml:space="preserve">3.2 Rate Modifiers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Modifier</w:t>
            </w:r>
          </w:p>
        </w:tc>
        <w:tc>
          <w:tcPr>
            <w:tcW w:type="pct" w:w="12%"/>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Adjustment</w:t>
            </w:r>
          </w:p>
        </w:tc>
        <w:tc>
          <w:tcPr>
            <w:tcW w:type="pct" w:w="63%"/>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Conditions</w:t>
            </w:r>
          </w:p>
        </w:tc>
      </w:tr>
      <w:tr>
        <w:trPr>
          <w:tblHeader w:val="false"/>
        </w:trPr>
        <w:tc>
          <w:tcPr>
            <w:tcW w:type="pct" w:w="2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Rush Premium</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E94560"/>
                <w:sz w:val="22"/>
                <w:szCs w:val="22"/>
              </w:rPr>
              <w:t xml:space="preserve">+50%</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Delivery timeline compressed by &gt;50% from standard estimate</w:t>
            </w:r>
          </w:p>
        </w:tc>
      </w:tr>
      <w:tr>
        <w:trPr>
          <w:tblHeader w:val="false"/>
        </w:trPr>
        <w:tc>
          <w:tcPr>
            <w:tcW w:type="pct" w:w="2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Retainer Discount</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F3460"/>
                <w:sz w:val="22"/>
                <w:szCs w:val="22"/>
              </w:rPr>
              <w:t xml:space="preserve">−15%</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Monthly retainer agreement with guaranteed minimum hours</w:t>
            </w:r>
          </w:p>
        </w:tc>
      </w:tr>
      <w:tr>
        <w:trPr>
          <w:tblHeader w:val="false"/>
        </w:trPr>
        <w:tc>
          <w:tcPr>
            <w:tcW w:type="pct" w:w="2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Volume — 50 hrs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F3460"/>
                <w:sz w:val="22"/>
                <w:szCs w:val="22"/>
              </w:rPr>
              <w:t xml:space="preserve">−5%</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Single engagement of 50+ hours</w:t>
            </w:r>
          </w:p>
        </w:tc>
      </w:tr>
      <w:tr>
        <w:trPr>
          <w:tblHeader w:val="false"/>
        </w:trPr>
        <w:tc>
          <w:tcPr>
            <w:tcW w:type="pct" w:w="2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Volume — 100 hrs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F3460"/>
                <w:sz w:val="22"/>
                <w:szCs w:val="22"/>
              </w:rPr>
              <w:t xml:space="preserve">−10%</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Single engagement of 100+ hours</w:t>
            </w:r>
          </w:p>
        </w:tc>
      </w:tr>
      <w:tr>
        <w:trPr>
          <w:tblHeader w:val="false"/>
        </w:trPr>
        <w:tc>
          <w:tcPr>
            <w:tcW w:type="pct" w:w="2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Volume — 200 hrs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F3460"/>
                <w:sz w:val="22"/>
                <w:szCs w:val="22"/>
              </w:rPr>
              <w:t xml:space="preserve">−15%</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Single engagement of 200+ hours</w:t>
            </w:r>
          </w:p>
        </w:tc>
      </w:tr>
      <w:tr>
        <w:trPr>
          <w:tblHeader w:val="false"/>
        </w:trPr>
        <w:tc>
          <w:tcPr>
            <w:tcW w:type="pct" w:w="2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Nonprofit Discount</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F3460"/>
                <w:sz w:val="22"/>
                <w:szCs w:val="22"/>
              </w:rPr>
              <w:t xml:space="preserve">−20%</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Registered 501(c)(3) organizations with proof of status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F3460" w:sz="6"/>
              <w:left w:val="single" w:color="0F3460" w:sz="6"/>
              <w:bottom w:val="single" w:color="0F3460" w:sz="6"/>
              <w:right w:val="single" w:color="0F3460"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F3460"/>
                <w:sz w:val="22"/>
                <w:szCs w:val="22"/>
              </w:rPr>
              <w:t xml:space="preserve">Floor Rate Policy</w:t>
            </w:r>
          </w:p>
          <w:p>
            <w:pPr>
              <w:spacing w:after="120" w:line="360" w:lineRule="auto"/>
            </w:pPr>
            <w:r>
              <w:rPr>
                <w:rFonts w:ascii="Calibri" w:cs="Calibri" w:eastAsia="Calibri" w:hAnsi="Calibri"/>
                <w:b w:val="false"/>
                <w:bCs w:val="false"/>
                <w:i w:val="false"/>
                <w:iCs w:val="false"/>
                <w:strike w:val="false"/>
                <w:color w:val="1A1A2E"/>
                <w:sz w:val="22"/>
                <w:szCs w:val="22"/>
              </w:rPr>
              <w:t xml:space="preserve">No combination of discounts may reduce the effective rate below the floor: </w:t>
            </w:r>
            <w:r>
              <w:rPr>
                <w:rFonts w:ascii="Calibri" w:cs="Calibri" w:eastAsia="Calibri" w:hAnsi="Calibri"/>
                <w:b/>
                <w:bCs/>
                <w:i w:val="false"/>
                <w:iCs w:val="false"/>
                <w:strike w:val="false"/>
                <w:color w:val="1A1A2E"/>
                <w:sz w:val="22"/>
                <w:szCs w:val="22"/>
              </w:rPr>
              <w:t xml:space="preserve">Tier 1: $120/hr</w:t>
            </w:r>
            <w:r>
              <w:rPr>
                <w:rFonts w:ascii="Calibri" w:cs="Calibri" w:eastAsia="Calibri" w:hAnsi="Calibri"/>
                <w:b w:val="false"/>
                <w:bCs w:val="false"/>
                <w:i w:val="false"/>
                <w:iCs w:val="false"/>
                <w:strike w:val="false"/>
                <w:color w:val="1A1A2E"/>
                <w:sz w:val="22"/>
                <w:szCs w:val="22"/>
              </w:rPr>
              <w:t xml:space="preserve"> | </w:t>
            </w:r>
            <w:r>
              <w:rPr>
                <w:rFonts w:ascii="Calibri" w:cs="Calibri" w:eastAsia="Calibri" w:hAnsi="Calibri"/>
                <w:b/>
                <w:bCs/>
                <w:i w:val="false"/>
                <w:iCs w:val="false"/>
                <w:strike w:val="false"/>
                <w:color w:val="1A1A2E"/>
                <w:sz w:val="22"/>
                <w:szCs w:val="22"/>
              </w:rPr>
              <w:t xml:space="preserve">Tier 2: $160/hr</w:t>
            </w:r>
            <w:r>
              <w:rPr>
                <w:rFonts w:ascii="Calibri" w:cs="Calibri" w:eastAsia="Calibri" w:hAnsi="Calibri"/>
                <w:b w:val="false"/>
                <w:bCs w:val="false"/>
                <w:i w:val="false"/>
                <w:iCs w:val="false"/>
                <w:strike w:val="false"/>
                <w:color w:val="1A1A2E"/>
                <w:sz w:val="22"/>
                <w:szCs w:val="22"/>
              </w:rPr>
              <w:t xml:space="preserve"> | </w:t>
            </w:r>
            <w:r>
              <w:rPr>
                <w:rFonts w:ascii="Calibri" w:cs="Calibri" w:eastAsia="Calibri" w:hAnsi="Calibri"/>
                <w:b/>
                <w:bCs/>
                <w:i w:val="false"/>
                <w:iCs w:val="false"/>
                <w:strike w:val="false"/>
                <w:color w:val="1A1A2E"/>
                <w:sz w:val="22"/>
                <w:szCs w:val="22"/>
              </w:rPr>
              <w:t xml:space="preserve">Tier 3: $220/hr</w:t>
            </w:r>
            <w:r>
              <w:rPr>
                <w:rFonts w:ascii="Calibri" w:cs="Calibri" w:eastAsia="Calibri" w:hAnsi="Calibri"/>
                <w:b w:val="false"/>
                <w:bCs w:val="false"/>
                <w:i w:val="false"/>
                <w:iCs w:val="false"/>
                <w:strike w:val="false"/>
                <w:color w:val="1A1A2E"/>
                <w:sz w:val="22"/>
                <w:szCs w:val="22"/>
              </w:rPr>
              <w:t xml:space="preserve">. Only one discount category (volume OR retainer OR nonprofit) applies per engagement — they do not stack.</w:t>
            </w:r>
          </w:p>
        </w:tc>
      </w:tr>
    </w:tbl>
    <w:p>
      <w:pPr>
        <w:spacing w:after="240" w:before="0"/>
      </w:pPr>
    </w:p>
    <w:p>
      <w:pPr>
        <w:pStyle w:val="Heading2"/>
        <w:spacing w:after="120" w:before="360" w:line="312" w:lineRule="auto"/>
      </w:pPr>
      <w:r>
        <w:rPr>
          <w:rFonts w:ascii="Calibri" w:cs="Calibri" w:eastAsia="Calibri" w:hAnsi="Calibri"/>
          <w:color w:val="0F3460"/>
          <w:sz w:val="36"/>
          <w:szCs w:val="36"/>
        </w:rPr>
        <w:t xml:space="preserve">3.3 Payment Terms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Client Type</w:t>
            </w:r>
          </w:p>
        </w:tc>
        <w:tc>
          <w:tcPr>
            <w:tcW w:type="pct" w:w="18%"/>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Terms</w:t>
            </w:r>
          </w:p>
        </w:tc>
        <w:tc>
          <w:tcPr>
            <w:tcW w:type="pct" w:w="57%"/>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Structure</w:t>
            </w:r>
          </w:p>
        </w:tc>
      </w:tr>
      <w:tr>
        <w:trPr>
          <w:tblHeader w:val="false"/>
        </w:trPr>
        <w:tc>
          <w:tcPr>
            <w:tcW w:type="pct" w:w="2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New Clients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50/50 Split</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50% upfront deposit, 50% upon final delivery</w:t>
            </w:r>
          </w:p>
        </w:tc>
      </w:tr>
      <w:tr>
        <w:trPr>
          <w:tblHeader w:val="false"/>
        </w:trPr>
        <w:tc>
          <w:tcPr>
            <w:tcW w:type="pct" w:w="2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Established Clients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Net 30</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Invoice upon milestone completion, due within 30 days</w:t>
            </w:r>
          </w:p>
        </w:tc>
      </w:tr>
      <w:tr>
        <w:trPr>
          <w:tblHeader w:val="false"/>
        </w:trPr>
        <w:tc>
          <w:tcPr>
            <w:tcW w:type="pct" w:w="2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Retainer Clients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Net 15</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Monthly invoice at period close, due within 15 days</w:t>
            </w:r>
          </w:p>
        </w:tc>
      </w:tr>
    </w:tbl>
    <w:p>
      <w:pPr>
        <w:spacing w:after="200" w:before="0"/>
      </w:pPr>
    </w:p>
    <w:p>
      <w:pPr>
        <w:spacing w:after="120" w:before="60" w:line="360" w:lineRule="auto"/>
      </w:pPr>
      <w:r>
        <w:rPr>
          <w:rFonts w:ascii="Calibri" w:cs="Calibri" w:eastAsia="Calibri" w:hAnsi="Calibri"/>
          <w:b/>
          <w:bCs/>
          <w:i w:val="false"/>
          <w:iCs w:val="false"/>
          <w:strike w:val="false"/>
          <w:color w:val="1A1A2E"/>
          <w:sz w:val="22"/>
          <w:szCs w:val="22"/>
        </w:rPr>
        <w:t xml:space="preserve">Late Payment Policy:</w:t>
      </w:r>
      <w:r>
        <w:rPr>
          <w:rFonts w:ascii="Calibri" w:cs="Calibri" w:eastAsia="Calibri" w:hAnsi="Calibri"/>
          <w:b w:val="false"/>
          <w:bCs w:val="false"/>
          <w:i w:val="false"/>
          <w:iCs w:val="false"/>
          <w:strike w:val="false"/>
          <w:color w:val="1A1A2E"/>
          <w:sz w:val="22"/>
          <w:szCs w:val="22"/>
        </w:rPr>
        <w:t xml:space="preserve"> A 1.5% monthly finance charge applies to balances overdue by more than 15 days. Work pauses after 45 days past due until the balance is resolved.</w:t>
      </w:r>
    </w:p>
    <w:p>
      <w:pPr>
        <w:pBdr>
          <w:bottom w:val="single" w:color="0F3460" w:sz="6"/>
        </w:pBdr>
        <w:spacing w:after="240" w:before="240"/>
      </w:pPr>
    </w:p>
    <w:p>
      <w:pPr>
        <w:pStyle w:val="Heading1"/>
        <w:spacing w:after="120" w:before="480" w:line="312" w:lineRule="auto"/>
      </w:pPr>
      <w:r>
        <w:rPr>
          <w:rFonts w:ascii="Calibri" w:cs="Calibri" w:eastAsia="Calibri" w:hAnsi="Calibri"/>
          <w:color w:val="0F3460"/>
          <w:sz w:val="48"/>
          <w:szCs w:val="48"/>
        </w:rPr>
        <w:t xml:space="preserve">4. Client Lifecycle Workflow</w:t>
      </w:r>
    </w:p>
    <w:p>
      <w:pPr>
        <w:spacing w:after="120" w:before="60" w:line="360" w:lineRule="auto"/>
      </w:pPr>
      <w:r>
        <w:rPr>
          <w:rFonts w:ascii="Calibri" w:cs="Calibri" w:eastAsia="Calibri" w:hAnsi="Calibri"/>
          <w:b w:val="false"/>
          <w:bCs w:val="false"/>
          <w:i w:val="false"/>
          <w:iCs w:val="false"/>
          <w:strike w:val="false"/>
          <w:color w:val="1A1A2E"/>
          <w:sz w:val="22"/>
          <w:szCs w:val="22"/>
        </w:rPr>
        <w:t xml:space="preserve">Every client engagement follows a structured nine-phase lifecycle from initial lead capture through post-project relationship management. This workflow ensures consistency, accountability, and a premium client experience at every touchpoint.</w:t>
      </w:r>
    </w:p>
    <w:p>
      <w:pPr>
        <w:spacing w:after="80" w:before="200"/>
        <w:jc w:val="center"/>
      </w:pPr>
      <w:r>
        <w:drawing>
          <wp:inline distT="0" distB="0" distL="0" distR="0">
            <wp:extent cx="45148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14850" cy="2771775"/>
                    </a:xfrm>
                    <a:prstGeom prst="rect">
                      <a:avLst/>
                    </a:prstGeom>
                  </pic:spPr>
                </pic:pic>
              </a:graphicData>
            </a:graphic>
          </wp:inline>
        </w:drawing>
      </w:r>
    </w:p>
    <w:p>
      <w:pPr>
        <w:spacing w:after="200"/>
        <w:jc w:val="center"/>
      </w:pPr>
      <w:r>
        <w:rPr>
          <w:i/>
          <w:iCs/>
          <w:color w:val="6B7280"/>
          <w:sz w:val="20"/>
          <w:szCs w:val="20"/>
        </w:rPr>
        <w:t xml:space="preserve">End-to-end client lifecycle — from first contact to lasting partnership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F3460" w:color="auto" w:val="clear"/>
            <w:tcMar>
              <w:top w:type="dxa" w:w="90"/>
              <w:left w:type="dxa" w:w="180"/>
              <w:bottom w:type="dxa" w:w="90"/>
              <w:right w:type="dxa" w:w="180"/>
            </w:tcMar>
          </w:tcPr>
          <w:p>
            <w:pPr>
              <w:spacing w:after="120" w:line="408" w:lineRule="auto"/>
            </w:pPr>
            <w:r>
              <w:t xml:space="preserve">Phase 1: LEAD CAPTURE</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Element</w:t>
            </w:r>
          </w:p>
        </w:tc>
        <w:tc>
          <w:tcPr>
            <w:tcW w:type="pct" w:w="84%"/>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Detail</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Lead Sources</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Website contact form, LinkedIn inbound, client referrals, conference networking, local business network (Monroe, LA)</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CRM Entry</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All leads entered within 1 hour of receipt with source attribution, contact info, and initial notes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Automation</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Auto-enrollment in Lead Nurture email sequence; Slack notification to #leads channel</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Response SLA</w:t>
            </w:r>
          </w:p>
        </w:tc>
        <w:tc>
          <w:tcPr>
            <w:tcW w:type="pct" w:w="84%"/>
            <w:tcMar>
              <w:top w:type="dxa" w:w="90"/>
              <w:left w:type="dxa" w:w="120"/>
              <w:bottom w:type="dxa" w:w="90"/>
              <w:right w:type="dxa" w:w="120"/>
            </w:tcMar>
          </w:tcPr>
          <w:p>
            <w:r>
              <w:rPr>
                <w:rFonts w:ascii="Calibri" w:cs="Calibri" w:eastAsia="Calibri" w:hAnsi="Calibri"/>
                <w:b/>
                <w:bCs/>
                <w:i w:val="false"/>
                <w:iCs w:val="false"/>
                <w:strike w:val="false"/>
                <w:color w:val="E94560"/>
                <w:sz w:val="22"/>
                <w:szCs w:val="22"/>
              </w:rPr>
              <w:t xml:space="preserve">Within 4 hours</w:t>
            </w:r>
            <w:r>
              <w:rPr>
                <w:rFonts w:ascii="Calibri" w:cs="Calibri" w:eastAsia="Calibri" w:hAnsi="Calibri"/>
                <w:b w:val="false"/>
                <w:bCs w:val="false"/>
                <w:i w:val="false"/>
                <w:iCs w:val="false"/>
                <w:strike w:val="false"/>
                <w:color w:val="1A1A2E"/>
                <w:sz w:val="22"/>
                <w:szCs w:val="22"/>
              </w:rPr>
              <w:t xml:space="preserve"> during business hours; next business morning for after-hours leads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F3460" w:color="auto" w:val="clear"/>
            <w:tcMar>
              <w:top w:type="dxa" w:w="90"/>
              <w:left w:type="dxa" w:w="180"/>
              <w:bottom w:type="dxa" w:w="90"/>
              <w:right w:type="dxa" w:w="180"/>
            </w:tcMar>
          </w:tcPr>
          <w:p>
            <w:pPr>
              <w:spacing w:after="120" w:line="408" w:lineRule="auto"/>
            </w:pPr>
            <w:r>
              <w:t xml:space="preserve">Phase 2: DISCOVERY</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Discovery Call:</w:t>
      </w:r>
      <w:r>
        <w:rPr>
          <w:rFonts w:ascii="Calibri" w:cs="Calibri" w:eastAsia="Calibri" w:hAnsi="Calibri"/>
          <w:b w:val="false"/>
          <w:bCs w:val="false"/>
          <w:i w:val="false"/>
          <w:iCs w:val="false"/>
          <w:strike w:val="false"/>
          <w:color w:val="1A1A2E"/>
          <w:sz w:val="22"/>
          <w:szCs w:val="22"/>
        </w:rPr>
        <w:t xml:space="preserve"> 30-minute structured call scheduled within 7 days of lead capture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Needs Assessment:</w:t>
      </w:r>
      <w:r>
        <w:rPr>
          <w:rFonts w:ascii="Calibri" w:cs="Calibri" w:eastAsia="Calibri" w:hAnsi="Calibri"/>
          <w:b w:val="false"/>
          <w:bCs w:val="false"/>
          <w:i w:val="false"/>
          <w:iCs w:val="false"/>
          <w:strike w:val="false"/>
          <w:color w:val="1A1A2E"/>
          <w:sz w:val="22"/>
          <w:szCs w:val="22"/>
        </w:rPr>
        <w:t xml:space="preserve"> Document pain points, current state, desired outcomes, budget range, timeline, and decision-making process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Qualify/Disqualify:</w:t>
      </w:r>
      <w:r>
        <w:rPr>
          <w:rFonts w:ascii="Calibri" w:cs="Calibri" w:eastAsia="Calibri" w:hAnsi="Calibri"/>
          <w:b w:val="false"/>
          <w:bCs w:val="false"/>
          <w:i w:val="false"/>
          <w:iCs w:val="false"/>
          <w:strike w:val="false"/>
          <w:color w:val="1A1A2E"/>
          <w:sz w:val="22"/>
          <w:szCs w:val="22"/>
        </w:rPr>
        <w:t xml:space="preserve"> Evaluate fit against target market criteria, minimum engagement thresholds, and scope alignment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Deal Value Estimate:</w:t>
      </w:r>
      <w:r>
        <w:rPr>
          <w:rFonts w:ascii="Calibri" w:cs="Calibri" w:eastAsia="Calibri" w:hAnsi="Calibri"/>
          <w:b w:val="false"/>
          <w:bCs w:val="false"/>
          <w:i w:val="false"/>
          <w:iCs w:val="false"/>
          <w:strike w:val="false"/>
          <w:color w:val="1A1A2E"/>
          <w:sz w:val="22"/>
          <w:szCs w:val="22"/>
        </w:rPr>
        <w:t xml:space="preserve"> Calculate estimated engagement value and assign pipeline probability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F3460" w:color="auto" w:val="clear"/>
            <w:tcMar>
              <w:top w:type="dxa" w:w="90"/>
              <w:left w:type="dxa" w:w="180"/>
              <w:bottom w:type="dxa" w:w="90"/>
              <w:right w:type="dxa" w:w="180"/>
            </w:tcMar>
          </w:tcPr>
          <w:p>
            <w:pPr>
              <w:spacing w:after="120" w:line="408" w:lineRule="auto"/>
            </w:pPr>
            <w:r>
              <w:t xml:space="preserve">Phase 3: PROPOSAL</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Generation:</w:t>
      </w:r>
      <w:r>
        <w:rPr>
          <w:rFonts w:ascii="Calibri" w:cs="Calibri" w:eastAsia="Calibri" w:hAnsi="Calibri"/>
          <w:b w:val="false"/>
          <w:bCs w:val="false"/>
          <w:i w:val="false"/>
          <w:iCs w:val="false"/>
          <w:strike w:val="false"/>
          <w:color w:val="1A1A2E"/>
          <w:sz w:val="22"/>
          <w:szCs w:val="22"/>
        </w:rPr>
        <w:t xml:space="preserve"> Produce branded proposal from template within </w:t>
      </w:r>
      <w:r>
        <w:rPr>
          <w:rFonts w:ascii="Calibri" w:cs="Calibri" w:eastAsia="Calibri" w:hAnsi="Calibri"/>
          <w:b/>
          <w:bCs/>
          <w:i w:val="false"/>
          <w:iCs w:val="false"/>
          <w:strike w:val="false"/>
          <w:color w:val="1A1A2E"/>
          <w:sz w:val="22"/>
          <w:szCs w:val="22"/>
        </w:rPr>
        <w:t xml:space="preserve">3 business days</w:t>
      </w:r>
      <w:r>
        <w:rPr>
          <w:rFonts w:ascii="Calibri" w:cs="Calibri" w:eastAsia="Calibri" w:hAnsi="Calibri"/>
          <w:b w:val="false"/>
          <w:bCs w:val="false"/>
          <w:i w:val="false"/>
          <w:iCs w:val="false"/>
          <w:strike w:val="false"/>
          <w:color w:val="1A1A2E"/>
          <w:sz w:val="22"/>
          <w:szCs w:val="22"/>
        </w:rPr>
        <w:t xml:space="preserve"> of discovery call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Contents:</w:t>
      </w:r>
      <w:r>
        <w:rPr>
          <w:rFonts w:ascii="Calibri" w:cs="Calibri" w:eastAsia="Calibri" w:hAnsi="Calibri"/>
          <w:b w:val="false"/>
          <w:bCs w:val="false"/>
          <w:i w:val="false"/>
          <w:iCs w:val="false"/>
          <w:strike w:val="false"/>
          <w:color w:val="1A1A2E"/>
          <w:sz w:val="22"/>
          <w:szCs w:val="22"/>
        </w:rPr>
        <w:t xml:space="preserve"> Executive Summary, Scope of Work, Project Timeline, Investment Summary, "Why Edward Guy Consulting" section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Automation:</w:t>
      </w:r>
      <w:r>
        <w:rPr>
          <w:rFonts w:ascii="Calibri" w:cs="Calibri" w:eastAsia="Calibri" w:hAnsi="Calibri"/>
          <w:b w:val="false"/>
          <w:bCs w:val="false"/>
          <w:i w:val="false"/>
          <w:iCs w:val="false"/>
          <w:strike w:val="false"/>
          <w:color w:val="1A1A2E"/>
          <w:sz w:val="22"/>
          <w:szCs w:val="22"/>
        </w:rPr>
        <w:t xml:space="preserve"> Auto-enroll prospect in Post-Proposal Follow-Up email sequence upon send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CRM Update:</w:t>
      </w:r>
      <w:r>
        <w:rPr>
          <w:rFonts w:ascii="Calibri" w:cs="Calibri" w:eastAsia="Calibri" w:hAnsi="Calibri"/>
          <w:b w:val="false"/>
          <w:bCs w:val="false"/>
          <w:i w:val="false"/>
          <w:iCs w:val="false"/>
          <w:strike w:val="false"/>
          <w:color w:val="1A1A2E"/>
          <w:sz w:val="22"/>
          <w:szCs w:val="22"/>
        </w:rPr>
        <w:t xml:space="preserve"> Advance pipeline stage to "proposal_sent" with send timestamp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F3460" w:color="auto" w:val="clear"/>
            <w:tcMar>
              <w:top w:type="dxa" w:w="90"/>
              <w:left w:type="dxa" w:w="180"/>
              <w:bottom w:type="dxa" w:w="90"/>
              <w:right w:type="dxa" w:w="180"/>
            </w:tcMar>
          </w:tcPr>
          <w:p>
            <w:pPr>
              <w:spacing w:after="120" w:line="408" w:lineRule="auto"/>
            </w:pPr>
            <w:r>
              <w:t xml:space="preserve">Phase 4: NEGOTIATION</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2E"/>
          <w:sz w:val="22"/>
          <w:szCs w:val="22"/>
        </w:rPr>
        <w:t xml:space="preserve">Address client questions or concerns within </w:t>
      </w:r>
      <w:r>
        <w:rPr>
          <w:rFonts w:ascii="Calibri" w:cs="Calibri" w:eastAsia="Calibri" w:hAnsi="Calibri"/>
          <w:b/>
          <w:bCs/>
          <w:i w:val="false"/>
          <w:iCs w:val="false"/>
          <w:strike w:val="false"/>
          <w:color w:val="1A1A2E"/>
          <w:sz w:val="22"/>
          <w:szCs w:val="22"/>
        </w:rPr>
        <w:t xml:space="preserve">24 hours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2E"/>
          <w:sz w:val="22"/>
          <w:szCs w:val="22"/>
        </w:rPr>
        <w:t xml:space="preserve">Any scope or pricing adjustments documented as proposal amendments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Hard Rule:</w:t>
      </w:r>
      <w:r>
        <w:rPr>
          <w:rFonts w:ascii="Calibri" w:cs="Calibri" w:eastAsia="Calibri" w:hAnsi="Calibri"/>
          <w:b w:val="false"/>
          <w:bCs w:val="false"/>
          <w:i w:val="false"/>
          <w:iCs w:val="false"/>
          <w:strike w:val="false"/>
          <w:color w:val="1A1A2E"/>
          <w:sz w:val="22"/>
          <w:szCs w:val="22"/>
        </w:rPr>
        <w:t xml:space="preserve"> Never discount more than 15% without a corresponding scope reduction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2E"/>
          <w:sz w:val="22"/>
          <w:szCs w:val="22"/>
        </w:rPr>
        <w:t xml:space="preserve">All negotiation notes logged in CRM for audit trail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F3460" w:color="auto" w:val="clear"/>
            <w:tcMar>
              <w:top w:type="dxa" w:w="90"/>
              <w:left w:type="dxa" w:w="180"/>
              <w:bottom w:type="dxa" w:w="90"/>
              <w:right w:type="dxa" w:w="180"/>
            </w:tcMar>
          </w:tcPr>
          <w:p>
            <w:pPr>
              <w:spacing w:after="120" w:line="408" w:lineRule="auto"/>
            </w:pPr>
            <w:r>
              <w:t xml:space="preserve">Phase 5: CLOSING</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2E"/>
          <w:sz w:val="22"/>
          <w:szCs w:val="22"/>
        </w:rPr>
        <w:t xml:space="preserve">Generate document package: Master Service Agreement (MSA) + Statement of Work (SOW) + Mutual NDA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2E"/>
          <w:sz w:val="22"/>
          <w:szCs w:val="22"/>
        </w:rPr>
        <w:t xml:space="preserve">Collect electronic signatures via DocuSign or equivalent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2E"/>
          <w:sz w:val="22"/>
          <w:szCs w:val="22"/>
        </w:rPr>
        <w:t xml:space="preserve">Advance CRM to </w:t>
      </w:r>
      <w:r>
        <w:rPr>
          <w:rFonts w:ascii="Calibri" w:cs="Calibri" w:eastAsia="Calibri" w:hAnsi="Calibri"/>
          <w:b/>
          <w:bCs/>
          <w:i w:val="false"/>
          <w:iCs w:val="false"/>
          <w:strike w:val="false"/>
          <w:color w:val="1A1A2E"/>
          <w:sz w:val="22"/>
          <w:szCs w:val="22"/>
        </w:rPr>
        <w:t xml:space="preserve">contract_signed</w:t>
      </w:r>
      <w:r>
        <w:rPr>
          <w:rFonts w:ascii="Calibri" w:cs="Calibri" w:eastAsia="Calibri" w:hAnsi="Calibri"/>
          <w:b w:val="false"/>
          <w:bCs w:val="false"/>
          <w:i w:val="false"/>
          <w:iCs w:val="false"/>
          <w:strike w:val="false"/>
          <w:color w:val="1A1A2E"/>
          <w:sz w:val="22"/>
          <w:szCs w:val="22"/>
        </w:rPr>
        <w:t xml:space="preserve"> stage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2E"/>
          <w:sz w:val="22"/>
          <w:szCs w:val="22"/>
        </w:rPr>
        <w:t xml:space="preserve">Auto-convert lead record to active client record in database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2E"/>
          <w:sz w:val="22"/>
          <w:szCs w:val="22"/>
        </w:rPr>
        <w:t xml:space="preserve">Trigger onboarding automation sequence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F3460" w:color="auto" w:val="clear"/>
            <w:tcMar>
              <w:top w:type="dxa" w:w="90"/>
              <w:left w:type="dxa" w:w="180"/>
              <w:bottom w:type="dxa" w:w="90"/>
              <w:right w:type="dxa" w:w="180"/>
            </w:tcMar>
          </w:tcPr>
          <w:p>
            <w:pPr>
              <w:spacing w:after="120" w:line="408" w:lineRule="auto"/>
            </w:pPr>
            <w:r>
              <w:t xml:space="preserve">Phase 6: ONBOARDING</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Welcome Email:</w:t>
      </w:r>
      <w:r>
        <w:rPr>
          <w:rFonts w:ascii="Calibri" w:cs="Calibri" w:eastAsia="Calibri" w:hAnsi="Calibri"/>
          <w:b w:val="false"/>
          <w:bCs w:val="false"/>
          <w:i w:val="false"/>
          <w:iCs w:val="false"/>
          <w:strike w:val="false"/>
          <w:color w:val="1A1A2E"/>
          <w:sz w:val="22"/>
          <w:szCs w:val="22"/>
        </w:rPr>
        <w:t xml:space="preserve"> Sent within 1 hour of contract signature — includes next steps, key contacts, and timeline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Onboarding Questionnaire:</w:t>
      </w:r>
      <w:r>
        <w:rPr>
          <w:rFonts w:ascii="Calibri" w:cs="Calibri" w:eastAsia="Calibri" w:hAnsi="Calibri"/>
          <w:b w:val="false"/>
          <w:bCs w:val="false"/>
          <w:i w:val="false"/>
          <w:iCs w:val="false"/>
          <w:strike w:val="false"/>
          <w:color w:val="1A1A2E"/>
          <w:sz w:val="22"/>
          <w:szCs w:val="22"/>
        </w:rPr>
        <w:t xml:space="preserve"> Technical environment details, access requirements, stakeholder contacts, communication preferences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Kickoff Meeting:</w:t>
      </w:r>
      <w:r>
        <w:rPr>
          <w:rFonts w:ascii="Calibri" w:cs="Calibri" w:eastAsia="Calibri" w:hAnsi="Calibri"/>
          <w:b w:val="false"/>
          <w:bCs w:val="false"/>
          <w:i w:val="false"/>
          <w:iCs w:val="false"/>
          <w:strike w:val="false"/>
          <w:color w:val="1A1A2E"/>
          <w:sz w:val="22"/>
          <w:szCs w:val="22"/>
        </w:rPr>
        <w:t xml:space="preserve"> Scheduled within 5 business days — agenda includes scope review, milestones, communication cadence, risk discussion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Environment Setup:</w:t>
      </w:r>
      <w:r>
        <w:rPr>
          <w:rFonts w:ascii="Calibri" w:cs="Calibri" w:eastAsia="Calibri" w:hAnsi="Calibri"/>
          <w:b w:val="false"/>
          <w:bCs w:val="false"/>
          <w:i w:val="false"/>
          <w:iCs w:val="false"/>
          <w:strike w:val="false"/>
          <w:color w:val="1A1A2E"/>
          <w:sz w:val="22"/>
          <w:szCs w:val="22"/>
        </w:rPr>
        <w:t xml:space="preserve"> Project management workspace, shared drive, communication channels (Slack/Teams), time-tracking activation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F3460" w:color="auto" w:val="clear"/>
            <w:tcMar>
              <w:top w:type="dxa" w:w="90"/>
              <w:left w:type="dxa" w:w="180"/>
              <w:bottom w:type="dxa" w:w="90"/>
              <w:right w:type="dxa" w:w="180"/>
            </w:tcMar>
          </w:tcPr>
          <w:p>
            <w:pPr>
              <w:spacing w:after="120" w:line="408" w:lineRule="auto"/>
            </w:pPr>
            <w:r>
              <w:t xml:space="preserve">Phase 7: DELIVERY</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Execution Model:</w:t>
      </w:r>
      <w:r>
        <w:rPr>
          <w:rFonts w:ascii="Calibri" w:cs="Calibri" w:eastAsia="Calibri" w:hAnsi="Calibri"/>
          <w:b w:val="false"/>
          <w:bCs w:val="false"/>
          <w:i w:val="false"/>
          <w:iCs w:val="false"/>
          <w:strike w:val="false"/>
          <w:color w:val="1A1A2E"/>
          <w:sz w:val="22"/>
          <w:szCs w:val="22"/>
        </w:rPr>
        <w:t xml:space="preserve"> Sprint-based delivery in 1–2 week cycles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Status Reports:</w:t>
      </w:r>
      <w:r>
        <w:rPr>
          <w:rFonts w:ascii="Calibri" w:cs="Calibri" w:eastAsia="Calibri" w:hAnsi="Calibri"/>
          <w:b w:val="false"/>
          <w:bCs w:val="false"/>
          <w:i w:val="false"/>
          <w:iCs w:val="false"/>
          <w:strike w:val="false"/>
          <w:color w:val="1A1A2E"/>
          <w:sz w:val="22"/>
          <w:szCs w:val="22"/>
        </w:rPr>
        <w:t xml:space="preserve"> Weekly written status report every Friday by 5:00 PM CT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Milestone Reviews:</w:t>
      </w:r>
      <w:r>
        <w:rPr>
          <w:rFonts w:ascii="Calibri" w:cs="Calibri" w:eastAsia="Calibri" w:hAnsi="Calibri"/>
          <w:b w:val="false"/>
          <w:bCs w:val="false"/>
          <w:i w:val="false"/>
          <w:iCs w:val="false"/>
          <w:strike w:val="false"/>
          <w:color w:val="1A1A2E"/>
          <w:sz w:val="22"/>
          <w:szCs w:val="22"/>
        </w:rPr>
        <w:t xml:space="preserve"> Formal review meeting at each milestone gate — requires client sign-off to proceed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Change Requests:</w:t>
      </w:r>
      <w:r>
        <w:rPr>
          <w:rFonts w:ascii="Calibri" w:cs="Calibri" w:eastAsia="Calibri" w:hAnsi="Calibri"/>
          <w:b w:val="false"/>
          <w:bCs w:val="false"/>
          <w:i w:val="false"/>
          <w:iCs w:val="false"/>
          <w:strike w:val="false"/>
          <w:color w:val="1A1A2E"/>
          <w:sz w:val="22"/>
          <w:szCs w:val="22"/>
        </w:rPr>
        <w:t xml:space="preserve"> All scope changes documented via formal Change Request process with impact analysis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Time Logging:</w:t>
      </w:r>
      <w:r>
        <w:rPr>
          <w:rFonts w:ascii="Calibri" w:cs="Calibri" w:eastAsia="Calibri" w:hAnsi="Calibri"/>
          <w:b w:val="false"/>
          <w:bCs w:val="false"/>
          <w:i w:val="false"/>
          <w:iCs w:val="false"/>
          <w:strike w:val="false"/>
          <w:color w:val="1A1A2E"/>
          <w:sz w:val="22"/>
          <w:szCs w:val="22"/>
        </w:rPr>
        <w:t xml:space="preserve"> Daily time entries with task descriptions; client-visible time log updated weekly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F3460" w:color="auto" w:val="clear"/>
            <w:tcMar>
              <w:top w:type="dxa" w:w="90"/>
              <w:left w:type="dxa" w:w="180"/>
              <w:bottom w:type="dxa" w:w="90"/>
              <w:right w:type="dxa" w:w="180"/>
            </w:tcMar>
          </w:tcPr>
          <w:p>
            <w:pPr>
              <w:spacing w:after="120" w:line="408" w:lineRule="auto"/>
            </w:pPr>
            <w:r>
              <w:t xml:space="preserve">Phase 8: COMPLETION</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2E"/>
          <w:sz w:val="22"/>
          <w:szCs w:val="22"/>
        </w:rPr>
        <w:t xml:space="preserve">Final deliverables packaged and transferred to client (code, documents, credentials)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2E"/>
          <w:sz w:val="22"/>
          <w:szCs w:val="22"/>
        </w:rPr>
        <w:t xml:space="preserve">Complete technical documentation and knowledge transfer sessions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2E"/>
          <w:sz w:val="22"/>
          <w:szCs w:val="22"/>
        </w:rPr>
        <w:t xml:space="preserve">Project retrospective meeting: what went well, lessons learned, improvement areas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2E"/>
          <w:sz w:val="22"/>
          <w:szCs w:val="22"/>
        </w:rPr>
        <w:t xml:space="preserve">Final invoice issued; CRM stage advanced to </w:t>
      </w:r>
      <w:r>
        <w:rPr>
          <w:rFonts w:ascii="Calibri" w:cs="Calibri" w:eastAsia="Calibri" w:hAnsi="Calibri"/>
          <w:b/>
          <w:bCs/>
          <w:i w:val="false"/>
          <w:iCs w:val="false"/>
          <w:strike w:val="false"/>
          <w:color w:val="1A1A2E"/>
          <w:sz w:val="22"/>
          <w:szCs w:val="22"/>
        </w:rPr>
        <w:t xml:space="preserve">project_complete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F3460" w:color="auto" w:val="clear"/>
            <w:tcMar>
              <w:top w:type="dxa" w:w="90"/>
              <w:left w:type="dxa" w:w="180"/>
              <w:bottom w:type="dxa" w:w="90"/>
              <w:right w:type="dxa" w:w="180"/>
            </w:tcMar>
          </w:tcPr>
          <w:p>
            <w:pPr>
              <w:spacing w:after="120" w:line="408" w:lineRule="auto"/>
            </w:pPr>
            <w:r>
              <w:t xml:space="preserve">Phase 9: POST-PROJECT</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8%"/>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Timing</w:t>
            </w:r>
          </w:p>
        </w:tc>
        <w:tc>
          <w:tcPr>
            <w:tcW w:type="pct" w:w="82%"/>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Action</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Day 1</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Thank-you email with project summary and final deliverable links</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Day 7</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Client feedback request (satisfaction survey + NPS)</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Day 14</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Testimonial request (if feedback score ≥ 8/10)</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Day 30</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Check-in call — relationship maintenance + referral request</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Day 45</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Case study draft shared for client approval (if applicable)</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Quarterly</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Alumni newsletter + relevant insights sharing</w:t>
            </w:r>
          </w:p>
        </w:tc>
      </w:tr>
    </w:tbl>
    <w:p>
      <w:pPr>
        <w:spacing w:after="200" w:before="0"/>
      </w:pPr>
    </w:p>
    <w:p>
      <w:pPr>
        <w:pBdr>
          <w:bottom w:val="single" w:color="0F3460" w:sz="6"/>
        </w:pBdr>
        <w:spacing w:after="240" w:before="240"/>
      </w:pPr>
    </w:p>
    <w:p>
      <w:pPr>
        <w:pStyle w:val="Heading1"/>
        <w:spacing w:after="120" w:before="480" w:line="312" w:lineRule="auto"/>
      </w:pPr>
      <w:r>
        <w:rPr>
          <w:rFonts w:ascii="Calibri" w:cs="Calibri" w:eastAsia="Calibri" w:hAnsi="Calibri"/>
          <w:color w:val="0F3460"/>
          <w:sz w:val="48"/>
          <w:szCs w:val="48"/>
        </w:rPr>
        <w:t xml:space="preserve">5. Email Automation Sequences</w:t>
      </w:r>
    </w:p>
    <w:p>
      <w:pPr>
        <w:spacing w:after="120" w:before="60" w:line="360" w:lineRule="auto"/>
      </w:pPr>
      <w:r>
        <w:rPr>
          <w:rFonts w:ascii="Calibri" w:cs="Calibri" w:eastAsia="Calibri" w:hAnsi="Calibri"/>
          <w:b w:val="false"/>
          <w:bCs w:val="false"/>
          <w:i w:val="false"/>
          <w:iCs w:val="false"/>
          <w:strike w:val="false"/>
          <w:color w:val="1A1A2E"/>
          <w:sz w:val="22"/>
          <w:szCs w:val="22"/>
        </w:rPr>
        <w:t xml:space="preserve">Four automated email sequences drive consistent engagement across the client lifecycle. Each sequence is templated, personalized with merge fields, and triggered by CRM stage transitions.</w:t>
      </w:r>
    </w:p>
    <w:p>
      <w:pPr>
        <w:pStyle w:val="Heading2"/>
        <w:spacing w:after="120" w:before="360" w:line="312" w:lineRule="auto"/>
      </w:pPr>
      <w:r>
        <w:rPr>
          <w:rFonts w:ascii="Calibri" w:cs="Calibri" w:eastAsia="Calibri" w:hAnsi="Calibri"/>
          <w:color w:val="0F3460"/>
          <w:sz w:val="36"/>
          <w:szCs w:val="36"/>
        </w:rPr>
        <w:t xml:space="preserve">5.1 Lead Nurture Sequence</w:t>
      </w:r>
    </w:p>
    <w:p>
      <w:pPr>
        <w:spacing w:after="120" w:before="60" w:line="360" w:lineRule="auto"/>
      </w:pPr>
      <w:r>
        <w:rPr>
          <w:rFonts w:ascii="Calibri" w:cs="Calibri" w:eastAsia="Calibri" w:hAnsi="Calibri"/>
          <w:b/>
          <w:bCs/>
          <w:i w:val="false"/>
          <w:iCs w:val="false"/>
          <w:strike w:val="false"/>
          <w:color w:val="1A1A2E"/>
          <w:sz w:val="22"/>
          <w:szCs w:val="22"/>
        </w:rPr>
        <w:t xml:space="preserve">Trigger:</w:t>
      </w:r>
      <w:r>
        <w:rPr>
          <w:rFonts w:ascii="Calibri" w:cs="Calibri" w:eastAsia="Calibri" w:hAnsi="Calibri"/>
          <w:b w:val="false"/>
          <w:bCs w:val="false"/>
          <w:i w:val="false"/>
          <w:iCs w:val="false"/>
          <w:strike w:val="false"/>
          <w:color w:val="1A1A2E"/>
          <w:sz w:val="22"/>
          <w:szCs w:val="22"/>
        </w:rPr>
        <w:t xml:space="preserve"> New lead enters CRM  |  </w:t>
      </w:r>
      <w:r>
        <w:rPr>
          <w:rFonts w:ascii="Calibri" w:cs="Calibri" w:eastAsia="Calibri" w:hAnsi="Calibri"/>
          <w:b/>
          <w:bCs/>
          <w:i w:val="false"/>
          <w:iCs w:val="false"/>
          <w:strike w:val="false"/>
          <w:color w:val="1A1A2E"/>
          <w:sz w:val="22"/>
          <w:szCs w:val="22"/>
        </w:rPr>
        <w:t xml:space="preserve">Duration:</w:t>
      </w:r>
      <w:r>
        <w:rPr>
          <w:rFonts w:ascii="Calibri" w:cs="Calibri" w:eastAsia="Calibri" w:hAnsi="Calibri"/>
          <w:b w:val="false"/>
          <w:bCs w:val="false"/>
          <w:i w:val="false"/>
          <w:iCs w:val="false"/>
          <w:strike w:val="false"/>
          <w:color w:val="1A1A2E"/>
          <w:sz w:val="22"/>
          <w:szCs w:val="22"/>
        </w:rPr>
        <w:t xml:space="preserve"> 5 emails over 21 days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Email</w:t>
            </w:r>
          </w:p>
        </w:tc>
        <w:tc>
          <w:tcPr>
            <w:tcW w:type="pct" w:w="11%"/>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Day</w:t>
            </w:r>
          </w:p>
        </w:tc>
        <w:tc>
          <w:tcPr>
            <w:tcW w:type="pct" w:w="31%"/>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Subject Line</w:t>
            </w:r>
          </w:p>
        </w:tc>
        <w:tc>
          <w:tcPr>
            <w:tcW w:type="pct" w:w="50%"/>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Purpose</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1</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Day 0</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"Welcome — Here's How We Help"</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Introduction to Edward Guy Consulting, capabilities overview, link to service catalog</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2</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Day 3</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"The Security Gap Most Companies Miss"</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Value proposition — highlight common pain points and how we address them</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3</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Day 7</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"How [Industry] Saved $X with Better Security"</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Case study showcase — social proof with measurable outcomes</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4</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Day 14</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"Let's Talk About Your Needs — Free 30-Min Call"</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Discovery call invitation with direct calendar booking link</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5</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Day 21</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"Still Interested? Here's What We Can Do"</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Final follow-up — summarize value, include contact options, soft close</w:t>
            </w:r>
          </w:p>
        </w:tc>
      </w:tr>
    </w:tbl>
    <w:p>
      <w:pPr>
        <w:spacing w:after="200" w:before="0"/>
      </w:pPr>
    </w:p>
    <w:p>
      <w:pPr>
        <w:pStyle w:val="Heading2"/>
        <w:spacing w:after="120" w:before="360" w:line="312" w:lineRule="auto"/>
      </w:pPr>
      <w:r>
        <w:rPr>
          <w:rFonts w:ascii="Calibri" w:cs="Calibri" w:eastAsia="Calibri" w:hAnsi="Calibri"/>
          <w:color w:val="0F3460"/>
          <w:sz w:val="36"/>
          <w:szCs w:val="36"/>
        </w:rPr>
        <w:t xml:space="preserve">5.2 Post-Proposal Follow-Up Sequence</w:t>
      </w:r>
    </w:p>
    <w:p>
      <w:pPr>
        <w:spacing w:after="120" w:before="60" w:line="360" w:lineRule="auto"/>
      </w:pPr>
      <w:r>
        <w:rPr>
          <w:rFonts w:ascii="Calibri" w:cs="Calibri" w:eastAsia="Calibri" w:hAnsi="Calibri"/>
          <w:b/>
          <w:bCs/>
          <w:i w:val="false"/>
          <w:iCs w:val="false"/>
          <w:strike w:val="false"/>
          <w:color w:val="1A1A2E"/>
          <w:sz w:val="22"/>
          <w:szCs w:val="22"/>
        </w:rPr>
        <w:t xml:space="preserve">Trigger:</w:t>
      </w:r>
      <w:r>
        <w:rPr>
          <w:rFonts w:ascii="Calibri" w:cs="Calibri" w:eastAsia="Calibri" w:hAnsi="Calibri"/>
          <w:b w:val="false"/>
          <w:bCs w:val="false"/>
          <w:i w:val="false"/>
          <w:iCs w:val="false"/>
          <w:strike w:val="false"/>
          <w:color w:val="1A1A2E"/>
          <w:sz w:val="22"/>
          <w:szCs w:val="22"/>
        </w:rPr>
        <w:t xml:space="preserve"> Proposal sent  |  </w:t>
      </w:r>
      <w:r>
        <w:rPr>
          <w:rFonts w:ascii="Calibri" w:cs="Calibri" w:eastAsia="Calibri" w:hAnsi="Calibri"/>
          <w:b/>
          <w:bCs/>
          <w:i w:val="false"/>
          <w:iCs w:val="false"/>
          <w:strike w:val="false"/>
          <w:color w:val="1A1A2E"/>
          <w:sz w:val="22"/>
          <w:szCs w:val="22"/>
        </w:rPr>
        <w:t xml:space="preserve">Duration:</w:t>
      </w:r>
      <w:r>
        <w:rPr>
          <w:rFonts w:ascii="Calibri" w:cs="Calibri" w:eastAsia="Calibri" w:hAnsi="Calibri"/>
          <w:b w:val="false"/>
          <w:bCs w:val="false"/>
          <w:i w:val="false"/>
          <w:iCs w:val="false"/>
          <w:strike w:val="false"/>
          <w:color w:val="1A1A2E"/>
          <w:sz w:val="22"/>
          <w:szCs w:val="22"/>
        </w:rPr>
        <w:t xml:space="preserve"> 3 emails over 10 days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Email</w:t>
            </w:r>
          </w:p>
        </w:tc>
        <w:tc>
          <w:tcPr>
            <w:tcW w:type="pct" w:w="11%"/>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Day</w:t>
            </w:r>
          </w:p>
        </w:tc>
        <w:tc>
          <w:tcPr>
            <w:tcW w:type="pct" w:w="30%"/>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Subject Line</w:t>
            </w:r>
          </w:p>
        </w:tc>
        <w:tc>
          <w:tcPr>
            <w:tcW w:type="pct" w:w="50%"/>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Purpose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1</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Day 3</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"Any Questions About the Proposal?"</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Gentle check-in, offer to walk through the proposal on a call</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2</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Day 7</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"Quick Insight: [Relevant Industry Tip]"</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Value-add content — demonstrate ongoing expertise without hard selling</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3</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Day 10</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"Ready to Move Forward?"</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Decision prompt — clear next steps, timeline sensitivity, availability note</w:t>
            </w:r>
          </w:p>
        </w:tc>
      </w:tr>
    </w:tbl>
    <w:p>
      <w:pPr>
        <w:spacing w:after="200" w:before="0"/>
      </w:pPr>
    </w:p>
    <w:p>
      <w:pPr>
        <w:pStyle w:val="Heading2"/>
        <w:spacing w:after="120" w:before="360" w:line="312" w:lineRule="auto"/>
      </w:pPr>
      <w:r>
        <w:rPr>
          <w:rFonts w:ascii="Calibri" w:cs="Calibri" w:eastAsia="Calibri" w:hAnsi="Calibri"/>
          <w:color w:val="0F3460"/>
          <w:sz w:val="36"/>
          <w:szCs w:val="36"/>
        </w:rPr>
        <w:t xml:space="preserve">5.3 Client Onboarding Sequence</w:t>
      </w:r>
    </w:p>
    <w:p>
      <w:pPr>
        <w:spacing w:after="120" w:before="60" w:line="360" w:lineRule="auto"/>
      </w:pPr>
      <w:r>
        <w:rPr>
          <w:rFonts w:ascii="Calibri" w:cs="Calibri" w:eastAsia="Calibri" w:hAnsi="Calibri"/>
          <w:b/>
          <w:bCs/>
          <w:i w:val="false"/>
          <w:iCs w:val="false"/>
          <w:strike w:val="false"/>
          <w:color w:val="1A1A2E"/>
          <w:sz w:val="22"/>
          <w:szCs w:val="22"/>
        </w:rPr>
        <w:t xml:space="preserve">Trigger:</w:t>
      </w:r>
      <w:r>
        <w:rPr>
          <w:rFonts w:ascii="Calibri" w:cs="Calibri" w:eastAsia="Calibri" w:hAnsi="Calibri"/>
          <w:b w:val="false"/>
          <w:bCs w:val="false"/>
          <w:i w:val="false"/>
          <w:iCs w:val="false"/>
          <w:strike w:val="false"/>
          <w:color w:val="1A1A2E"/>
          <w:sz w:val="22"/>
          <w:szCs w:val="22"/>
        </w:rPr>
        <w:t xml:space="preserve"> Contract signed  |  </w:t>
      </w:r>
      <w:r>
        <w:rPr>
          <w:rFonts w:ascii="Calibri" w:cs="Calibri" w:eastAsia="Calibri" w:hAnsi="Calibri"/>
          <w:b/>
          <w:bCs/>
          <w:i w:val="false"/>
          <w:iCs w:val="false"/>
          <w:strike w:val="false"/>
          <w:color w:val="1A1A2E"/>
          <w:sz w:val="22"/>
          <w:szCs w:val="22"/>
        </w:rPr>
        <w:t xml:space="preserve">Duration:</w:t>
      </w:r>
      <w:r>
        <w:rPr>
          <w:rFonts w:ascii="Calibri" w:cs="Calibri" w:eastAsia="Calibri" w:hAnsi="Calibri"/>
          <w:b w:val="false"/>
          <w:bCs w:val="false"/>
          <w:i w:val="false"/>
          <w:iCs w:val="false"/>
          <w:strike w:val="false"/>
          <w:color w:val="1A1A2E"/>
          <w:sz w:val="22"/>
          <w:szCs w:val="22"/>
        </w:rPr>
        <w:t xml:space="preserve"> 3 emails over 3 days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Email</w:t>
            </w:r>
          </w:p>
        </w:tc>
        <w:tc>
          <w:tcPr>
            <w:tcW w:type="pct" w:w="11%"/>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Day</w:t>
            </w:r>
          </w:p>
        </w:tc>
        <w:tc>
          <w:tcPr>
            <w:tcW w:type="pct" w:w="32%"/>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Subject Line</w:t>
            </w:r>
          </w:p>
        </w:tc>
        <w:tc>
          <w:tcPr>
            <w:tcW w:type="pct" w:w="48%"/>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Purpose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1</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Day 0</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"Welcome Aboard — Let's Get Started!"</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Welcome message, project overview, team introductions, what to expect</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2</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Day 1</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"Quick Setup: Your Onboarding Questionnaire"</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Link to onboarding questionnaire — technical environment, access, preferences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3</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Day 3</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"Kickoff Meeting — Agenda &amp; Calendar Invite"</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Kickoff meeting details, agenda preview, preparation checklist for client</w:t>
            </w:r>
          </w:p>
        </w:tc>
      </w:tr>
    </w:tbl>
    <w:p>
      <w:pPr>
        <w:spacing w:after="200" w:before="0"/>
      </w:pPr>
    </w:p>
    <w:p>
      <w:pPr>
        <w:pStyle w:val="Heading2"/>
        <w:spacing w:after="120" w:before="360" w:line="312" w:lineRule="auto"/>
      </w:pPr>
      <w:r>
        <w:rPr>
          <w:rFonts w:ascii="Calibri" w:cs="Calibri" w:eastAsia="Calibri" w:hAnsi="Calibri"/>
          <w:color w:val="0F3460"/>
          <w:sz w:val="36"/>
          <w:szCs w:val="36"/>
        </w:rPr>
        <w:t xml:space="preserve">5.4 Project Completion &amp; Upsell Sequence</w:t>
      </w:r>
    </w:p>
    <w:p>
      <w:pPr>
        <w:spacing w:after="120" w:before="60" w:line="360" w:lineRule="auto"/>
      </w:pPr>
      <w:r>
        <w:rPr>
          <w:rFonts w:ascii="Calibri" w:cs="Calibri" w:eastAsia="Calibri" w:hAnsi="Calibri"/>
          <w:b/>
          <w:bCs/>
          <w:i w:val="false"/>
          <w:iCs w:val="false"/>
          <w:strike w:val="false"/>
          <w:color w:val="1A1A2E"/>
          <w:sz w:val="22"/>
          <w:szCs w:val="22"/>
        </w:rPr>
        <w:t xml:space="preserve">Trigger:</w:t>
      </w:r>
      <w:r>
        <w:rPr>
          <w:rFonts w:ascii="Calibri" w:cs="Calibri" w:eastAsia="Calibri" w:hAnsi="Calibri"/>
          <w:b w:val="false"/>
          <w:bCs w:val="false"/>
          <w:i w:val="false"/>
          <w:iCs w:val="false"/>
          <w:strike w:val="false"/>
          <w:color w:val="1A1A2E"/>
          <w:sz w:val="22"/>
          <w:szCs w:val="22"/>
        </w:rPr>
        <w:t xml:space="preserve"> Project marked complete  |  </w:t>
      </w:r>
      <w:r>
        <w:rPr>
          <w:rFonts w:ascii="Calibri" w:cs="Calibri" w:eastAsia="Calibri" w:hAnsi="Calibri"/>
          <w:b/>
          <w:bCs/>
          <w:i w:val="false"/>
          <w:iCs w:val="false"/>
          <w:strike w:val="false"/>
          <w:color w:val="1A1A2E"/>
          <w:sz w:val="22"/>
          <w:szCs w:val="22"/>
        </w:rPr>
        <w:t xml:space="preserve">Duration:</w:t>
      </w:r>
      <w:r>
        <w:rPr>
          <w:rFonts w:ascii="Calibri" w:cs="Calibri" w:eastAsia="Calibri" w:hAnsi="Calibri"/>
          <w:b w:val="false"/>
          <w:bCs w:val="false"/>
          <w:i w:val="false"/>
          <w:iCs w:val="false"/>
          <w:strike w:val="false"/>
          <w:color w:val="1A1A2E"/>
          <w:sz w:val="22"/>
          <w:szCs w:val="22"/>
        </w:rPr>
        <w:t xml:space="preserve"> 3 emails over 30 days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Email</w:t>
            </w:r>
          </w:p>
        </w:tc>
        <w:tc>
          <w:tcPr>
            <w:tcW w:type="pct" w:w="11%"/>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Day</w:t>
            </w:r>
          </w:p>
        </w:tc>
        <w:tc>
          <w:tcPr>
            <w:tcW w:type="pct" w:w="31%"/>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Subject Line</w:t>
            </w:r>
          </w:p>
        </w:tc>
        <w:tc>
          <w:tcPr>
            <w:tcW w:type="pct" w:w="49%"/>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Purpose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1</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Day 1</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"Thank You — Project Wrap-Up Summary"</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Thank-you, final deliverable links, key outcomes recap</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2</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Day 7</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"How Did We Do? Quick Feedback (2 min)"</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Satisfaction survey link, NPS question, testimonial opt-in</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3</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Day 30</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"Checking In — What's Next for [Company]?"</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Relationship maintenance, introduce complementary services, referral request</w:t>
            </w:r>
          </w:p>
        </w:tc>
      </w:tr>
    </w:tbl>
    <w:p>
      <w:pPr>
        <w:spacing w:after="200" w:before="0"/>
      </w:pPr>
    </w:p>
    <w:p>
      <w:pPr>
        <w:pBdr>
          <w:bottom w:val="single" w:color="0F3460" w:sz="6"/>
        </w:pBdr>
        <w:spacing w:after="240" w:before="240"/>
      </w:pPr>
    </w:p>
    <w:p>
      <w:pPr>
        <w:pStyle w:val="Heading1"/>
        <w:spacing w:after="120" w:before="480" w:line="312" w:lineRule="auto"/>
      </w:pPr>
      <w:r>
        <w:rPr>
          <w:rFonts w:ascii="Calibri" w:cs="Calibri" w:eastAsia="Calibri" w:hAnsi="Calibri"/>
          <w:color w:val="0F3460"/>
          <w:sz w:val="48"/>
          <w:szCs w:val="48"/>
        </w:rPr>
        <w:t xml:space="preserve">6. Template Library</w:t>
      </w:r>
    </w:p>
    <w:p>
      <w:pPr>
        <w:spacing w:after="120" w:before="60" w:line="360" w:lineRule="auto"/>
      </w:pPr>
      <w:r>
        <w:rPr>
          <w:rFonts w:ascii="Calibri" w:cs="Calibri" w:eastAsia="Calibri" w:hAnsi="Calibri"/>
          <w:b w:val="false"/>
          <w:bCs w:val="false"/>
          <w:i w:val="false"/>
          <w:iCs w:val="false"/>
          <w:strike w:val="false"/>
          <w:color w:val="1A1A2E"/>
          <w:sz w:val="22"/>
          <w:szCs w:val="22"/>
        </w:rPr>
        <w:t xml:space="preserve">The suite includes a complete library of branded, professionally designed templates for every stage of the client lifecycle. All templates use Jinja2 rendering with dynamic merge fields and are output as HTML for conversion to PDF or DOCX.</w:t>
      </w:r>
    </w:p>
    <w:p>
      <w:pPr>
        <w:pStyle w:val="Heading2"/>
        <w:spacing w:after="120" w:before="360" w:line="312" w:lineRule="auto"/>
      </w:pPr>
      <w:r>
        <w:rPr>
          <w:rFonts w:ascii="Calibri" w:cs="Calibri" w:eastAsia="Calibri" w:hAnsi="Calibri"/>
          <w:color w:val="0F3460"/>
          <w:sz w:val="36"/>
          <w:szCs w:val="36"/>
        </w:rPr>
        <w:t xml:space="preserve">6.1 Legal &amp; Business Templates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0%"/>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Template</w:t>
            </w:r>
          </w:p>
        </w:tc>
        <w:tc>
          <w:tcPr>
            <w:tcW w:type="pct" w:w="22%"/>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Sections</w:t>
            </w:r>
          </w:p>
        </w:tc>
        <w:tc>
          <w:tcPr>
            <w:tcW w:type="pct" w:w="58%"/>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Key Features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Proposal Template</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6 sections with branded cover page</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Cover Page, Executive Summary, Scope of Work, Timeline, Investment, Why Us — auto-populated with client/project data</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Master Service Agreement (MSA)</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12 articles</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Louisiana governing law, intellectual property provisions, liability limitations, termination clauses, dispute resolution</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Statement of Work (SOW)</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5 sections</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Project Description, Deliverables, Timeline, Milestone Payment Schedule, Acceptance Criteria</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Mutual NDA</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8 sections</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2-year term, 3-year confidentiality survival period, mutual obligations, carve-outs for public information</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Invoice Template</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Branded layout</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Auto-numbered (INV-YYYY-NNN), line items with hours/rate, payment info, terms, running balance</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Project Status Report</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4 sections</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KPI summary cards, milestone tracking table, risk register, next steps action items</w:t>
            </w:r>
          </w:p>
        </w:tc>
      </w:tr>
    </w:tbl>
    <w:p>
      <w:pPr>
        <w:spacing w:after="200" w:before="0"/>
      </w:pPr>
    </w:p>
    <w:p>
      <w:pPr>
        <w:pStyle w:val="Heading2"/>
        <w:spacing w:after="120" w:before="360" w:line="312" w:lineRule="auto"/>
      </w:pPr>
      <w:r>
        <w:rPr>
          <w:rFonts w:ascii="Calibri" w:cs="Calibri" w:eastAsia="Calibri" w:hAnsi="Calibri"/>
          <w:color w:val="0F3460"/>
          <w:sz w:val="36"/>
          <w:szCs w:val="36"/>
        </w:rPr>
        <w:t xml:space="preserve">6.2 Email Templates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Sequence</w:t>
            </w:r>
          </w:p>
        </w:tc>
        <w:tc>
          <w:tcPr>
            <w:tcW w:type="pct" w:w="22%"/>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Count</w:t>
            </w:r>
          </w:p>
        </w:tc>
        <w:tc>
          <w:tcPr>
            <w:tcW w:type="pct" w:w="55%"/>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Templates</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Lead Nurture</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5 templates</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welcome, value_prop, case_study, discovery_invite, final_followup</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Post-Proposal</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3 templates</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proposal_checkin, value_add, decision_prompt</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Onboarding</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3 templates</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welcome_aboard, questionnaire, kickoff_invite</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Completion/Upsell</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3 templates</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thank_you, feedback_request, checkin_upsell</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Total Email Templates</w:t>
            </w:r>
          </w:p>
        </w:tc>
        <w:tc>
          <w:tcPr>
            <w:tcW w:type="pct" w:w="22%"/>
            <w:gridSpan w:val="2"/>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14 branded templates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F3460" w:sz="6"/>
              <w:left w:val="single" w:color="0F3460" w:sz="6"/>
              <w:bottom w:val="single" w:color="0F3460" w:sz="6"/>
              <w:right w:val="single" w:color="0F3460" w:sz="6"/>
            </w:tcBorders>
            <w:shd w:fill="E8F4F8"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F3460"/>
                <w:sz w:val="22"/>
                <w:szCs w:val="22"/>
              </w:rPr>
              <w:t xml:space="preserve">Template Customization</w:t>
            </w:r>
          </w:p>
          <w:p>
            <w:pPr>
              <w:spacing w:after="120" w:line="360" w:lineRule="auto"/>
            </w:pPr>
            <w:r>
              <w:rPr>
                <w:rFonts w:ascii="Calibri" w:cs="Calibri" w:eastAsia="Calibri" w:hAnsi="Calibri"/>
                <w:b w:val="false"/>
                <w:bCs w:val="false"/>
                <w:i w:val="false"/>
                <w:iCs w:val="false"/>
                <w:strike w:val="false"/>
                <w:color w:val="1A1A2E"/>
                <w:sz w:val="22"/>
                <w:szCs w:val="22"/>
              </w:rPr>
              <w:t xml:space="preserve">All templates support dynamic merge fields: </w:t>
            </w:r>
            <w:r>
              <w:rPr>
                <w:rFonts w:ascii="Calibri" w:cs="Calibri" w:eastAsia="Calibri" w:hAnsi="Calibri"/>
                <w:b/>
                <w:bCs/>
                <w:i w:val="false"/>
                <w:iCs w:val="false"/>
                <w:strike w:val="false"/>
                <w:color w:val="1A1A2E"/>
                <w:sz w:val="22"/>
                <w:szCs w:val="22"/>
              </w:rPr>
              <w:t xml:space="preserve">{{client.name}}</w:t>
            </w:r>
            <w:r>
              <w:rPr>
                <w:rFonts w:ascii="Calibri" w:cs="Calibri" w:eastAsia="Calibri" w:hAnsi="Calibri"/>
                <w:b w:val="false"/>
                <w:bCs w:val="false"/>
                <w:i w:val="false"/>
                <w:iCs w:val="false"/>
                <w:strike w:val="false"/>
                <w:color w:val="1A1A2E"/>
                <w:sz w:val="22"/>
                <w:szCs w:val="22"/>
              </w:rPr>
              <w:t xml:space="preserve">, </w:t>
            </w:r>
            <w:r>
              <w:rPr>
                <w:rFonts w:ascii="Calibri" w:cs="Calibri" w:eastAsia="Calibri" w:hAnsi="Calibri"/>
                <w:b/>
                <w:bCs/>
                <w:i w:val="false"/>
                <w:iCs w:val="false"/>
                <w:strike w:val="false"/>
                <w:color w:val="1A1A2E"/>
                <w:sz w:val="22"/>
                <w:szCs w:val="22"/>
              </w:rPr>
              <w:t xml:space="preserve">{{project.title}}</w:t>
            </w:r>
            <w:r>
              <w:rPr>
                <w:rFonts w:ascii="Calibri" w:cs="Calibri" w:eastAsia="Calibri" w:hAnsi="Calibri"/>
                <w:b w:val="false"/>
                <w:bCs w:val="false"/>
                <w:i w:val="false"/>
                <w:iCs w:val="false"/>
                <w:strike w:val="false"/>
                <w:color w:val="1A1A2E"/>
                <w:sz w:val="22"/>
                <w:szCs w:val="22"/>
              </w:rPr>
              <w:t xml:space="preserve">, </w:t>
            </w:r>
            <w:r>
              <w:rPr>
                <w:rFonts w:ascii="Calibri" w:cs="Calibri" w:eastAsia="Calibri" w:hAnsi="Calibri"/>
                <w:b/>
                <w:bCs/>
                <w:i w:val="false"/>
                <w:iCs w:val="false"/>
                <w:strike w:val="false"/>
                <w:color w:val="1A1A2E"/>
                <w:sz w:val="22"/>
                <w:szCs w:val="22"/>
              </w:rPr>
              <w:t xml:space="preserve">{{consultant.name}}</w:t>
            </w:r>
            <w:r>
              <w:rPr>
                <w:rFonts w:ascii="Calibri" w:cs="Calibri" w:eastAsia="Calibri" w:hAnsi="Calibri"/>
                <w:b w:val="false"/>
                <w:bCs w:val="false"/>
                <w:i w:val="false"/>
                <w:iCs w:val="false"/>
                <w:strike w:val="false"/>
                <w:color w:val="1A1A2E"/>
                <w:sz w:val="22"/>
                <w:szCs w:val="22"/>
              </w:rPr>
              <w:t xml:space="preserve">, </w:t>
            </w:r>
            <w:r>
              <w:rPr>
                <w:rFonts w:ascii="Calibri" w:cs="Calibri" w:eastAsia="Calibri" w:hAnsi="Calibri"/>
                <w:b/>
                <w:bCs/>
                <w:i w:val="false"/>
                <w:iCs w:val="false"/>
                <w:strike w:val="false"/>
                <w:color w:val="1A1A2E"/>
                <w:sz w:val="22"/>
                <w:szCs w:val="22"/>
              </w:rPr>
              <w:t xml:space="preserve">{{dates.*}}</w:t>
            </w:r>
            <w:r>
              <w:rPr>
                <w:rFonts w:ascii="Calibri" w:cs="Calibri" w:eastAsia="Calibri" w:hAnsi="Calibri"/>
                <w:b w:val="false"/>
                <w:bCs w:val="false"/>
                <w:i w:val="false"/>
                <w:iCs w:val="false"/>
                <w:strike w:val="false"/>
                <w:color w:val="1A1A2E"/>
                <w:sz w:val="22"/>
                <w:szCs w:val="22"/>
              </w:rPr>
              <w:t xml:space="preserve">, and </w:t>
            </w:r>
            <w:r>
              <w:rPr>
                <w:rFonts w:ascii="Calibri" w:cs="Calibri" w:eastAsia="Calibri" w:hAnsi="Calibri"/>
                <w:b/>
                <w:bCs/>
                <w:i w:val="false"/>
                <w:iCs w:val="false"/>
                <w:strike w:val="false"/>
                <w:color w:val="1A1A2E"/>
                <w:sz w:val="22"/>
                <w:szCs w:val="22"/>
              </w:rPr>
              <w:t xml:space="preserve">{{pricing.*}}</w:t>
            </w:r>
            <w:r>
              <w:rPr>
                <w:rFonts w:ascii="Calibri" w:cs="Calibri" w:eastAsia="Calibri" w:hAnsi="Calibri"/>
                <w:b w:val="false"/>
                <w:bCs w:val="false"/>
                <w:i w:val="false"/>
                <w:iCs w:val="false"/>
                <w:strike w:val="false"/>
                <w:color w:val="1A1A2E"/>
                <w:sz w:val="22"/>
                <w:szCs w:val="22"/>
              </w:rPr>
              <w:t xml:space="preserve">. Templates render via Jinja2 and export as branded HTML, PDF, or DOCX.</w:t>
            </w:r>
          </w:p>
        </w:tc>
      </w:tr>
    </w:tbl>
    <w:p>
      <w:pPr>
        <w:spacing w:after="240" w:before="0"/>
      </w:pPr>
    </w:p>
    <w:p>
      <w:pPr>
        <w:pBdr>
          <w:bottom w:val="single" w:color="0F3460" w:sz="6"/>
        </w:pBdr>
        <w:spacing w:after="240" w:before="240"/>
      </w:pPr>
    </w:p>
    <w:p>
      <w:pPr>
        <w:pStyle w:val="Heading1"/>
        <w:spacing w:after="120" w:before="480" w:line="312" w:lineRule="auto"/>
      </w:pPr>
      <w:r>
        <w:rPr>
          <w:rFonts w:ascii="Calibri" w:cs="Calibri" w:eastAsia="Calibri" w:hAnsi="Calibri"/>
          <w:color w:val="0F3460"/>
          <w:sz w:val="48"/>
          <w:szCs w:val="48"/>
        </w:rPr>
        <w:t xml:space="preserve">7. Technology &amp; Tools</w:t>
      </w:r>
    </w:p>
    <w:p>
      <w:pPr>
        <w:spacing w:after="120" w:before="60" w:line="360" w:lineRule="auto"/>
      </w:pPr>
      <w:r>
        <w:rPr>
          <w:rFonts w:ascii="Calibri" w:cs="Calibri" w:eastAsia="Calibri" w:hAnsi="Calibri"/>
          <w:b w:val="false"/>
          <w:bCs w:val="false"/>
          <w:i w:val="false"/>
          <w:iCs w:val="false"/>
          <w:strike w:val="false"/>
          <w:color w:val="1A1A2E"/>
          <w:sz w:val="22"/>
          <w:szCs w:val="22"/>
        </w:rPr>
        <w:t xml:space="preserve">The Freelance IT Suite is built as a Python-based CLI application designed for deployment on Replit or any Python 3.11+ environment. The architecture prioritizes simplicity, portability, and extensibility.</w:t>
      </w:r>
    </w:p>
    <w:p>
      <w:pPr>
        <w:pStyle w:val="Heading2"/>
        <w:spacing w:after="120" w:before="360" w:line="312" w:lineRule="auto"/>
      </w:pPr>
      <w:r>
        <w:rPr>
          <w:rFonts w:ascii="Calibri" w:cs="Calibri" w:eastAsia="Calibri" w:hAnsi="Calibri"/>
          <w:color w:val="0F3460"/>
          <w:sz w:val="36"/>
          <w:szCs w:val="36"/>
        </w:rPr>
        <w:t xml:space="preserve">7.1 Technology Stack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2%"/>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Component</w:t>
            </w:r>
          </w:p>
        </w:tc>
        <w:tc>
          <w:tcPr>
            <w:tcW w:type="pct" w:w="31%"/>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Technology</w:t>
            </w:r>
          </w:p>
        </w:tc>
        <w:tc>
          <w:tcPr>
            <w:tcW w:type="pct" w:w="47%"/>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Purpose</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Runtime</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Python 3.11+</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Core application language</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CLI Framework</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Click</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Command-line interface with subcommands and argument parsing</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Database (Local)</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SQLite</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Development and single-user deployments</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Database (Production)</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PostgreSQL</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Multi-user, production-grade persistence</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Template Engine</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Jinja2</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HTML rendering for proposals, invoices, emails, and reports</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Email Delivery</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SMTP / SendGrid</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Transactional email sending with template support</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Invoicing</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HTML generation + Stripe (optional)</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Invoice rendering and optional online payment processing</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Health Monitoring</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httpx</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Endpoint health checks and uptime monitoring</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Backup</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Compressed SQLite exports</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Automated backups with configurable retention policies</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Testing</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pytest</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Unit and integration tests with fixtures</w:t>
            </w:r>
          </w:p>
        </w:tc>
      </w:tr>
    </w:tbl>
    <w:p>
      <w:pPr>
        <w:spacing w:after="200" w:before="0"/>
      </w:pPr>
    </w:p>
    <w:p>
      <w:pPr>
        <w:pStyle w:val="Heading2"/>
        <w:spacing w:after="120" w:before="360" w:line="312" w:lineRule="auto"/>
      </w:pPr>
      <w:r>
        <w:rPr>
          <w:rFonts w:ascii="Calibri" w:cs="Calibri" w:eastAsia="Calibri" w:hAnsi="Calibri"/>
          <w:color w:val="0F3460"/>
          <w:sz w:val="36"/>
          <w:szCs w:val="36"/>
        </w:rPr>
        <w:t xml:space="preserve">7.2 Integrations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4%"/>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Integration</w:t>
            </w:r>
          </w:p>
        </w:tc>
        <w:tc>
          <w:tcPr>
            <w:tcW w:type="pct" w:w="18%"/>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Method</w:t>
            </w:r>
          </w:p>
        </w:tc>
        <w:tc>
          <w:tcPr>
            <w:tcW w:type="pct" w:w="58%"/>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Use Case</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Google Calendar</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API</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Discovery call scheduling, kickoff meeting booking, milestone reminders</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Google Drive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API</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Deliverable storage, shared client folders, template management</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Microsoft 365 / Outlook</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Graph API</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Email integration, calendar sync for enterprise clients</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Slack</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Webhooks</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Lead notifications, project alerts, daily digest</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Stripe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API (optional)</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Online invoice payment, payment status tracking</w:t>
            </w:r>
          </w:p>
        </w:tc>
      </w:tr>
    </w:tbl>
    <w:p>
      <w:pPr>
        <w:spacing w:after="200" w:before="0"/>
      </w:pPr>
    </w:p>
    <w:p>
      <w:pPr>
        <w:pBdr>
          <w:bottom w:val="single" w:color="0F3460" w:sz="6"/>
        </w:pBdr>
        <w:spacing w:after="240" w:before="240"/>
      </w:pPr>
    </w:p>
    <w:p>
      <w:pPr>
        <w:pStyle w:val="Heading1"/>
        <w:spacing w:after="120" w:before="480" w:line="312" w:lineRule="auto"/>
      </w:pPr>
      <w:r>
        <w:rPr>
          <w:rFonts w:ascii="Calibri" w:cs="Calibri" w:eastAsia="Calibri" w:hAnsi="Calibri"/>
          <w:color w:val="0F3460"/>
          <w:sz w:val="48"/>
          <w:szCs w:val="48"/>
        </w:rPr>
        <w:t xml:space="preserve">8. Client Kit Checklists</w:t>
      </w:r>
    </w:p>
    <w:p>
      <w:pPr>
        <w:spacing w:after="120" w:before="60" w:line="360" w:lineRule="auto"/>
      </w:pPr>
      <w:r>
        <w:rPr>
          <w:rFonts w:ascii="Calibri" w:cs="Calibri" w:eastAsia="Calibri" w:hAnsi="Calibri"/>
          <w:b w:val="false"/>
          <w:bCs w:val="false"/>
          <w:i w:val="false"/>
          <w:iCs w:val="false"/>
          <w:strike w:val="false"/>
          <w:color w:val="1A1A2E"/>
          <w:sz w:val="22"/>
          <w:szCs w:val="22"/>
        </w:rPr>
        <w:t xml:space="preserve">Three operational checklists ensure no step is missed during client onboarding, project offboarding, or feedback collection. Each checklist is designed to be used as a living document tracked in the CRM.</w:t>
      </w:r>
    </w:p>
    <w:p>
      <w:pPr>
        <w:pStyle w:val="Heading2"/>
        <w:spacing w:after="120" w:before="360" w:line="312" w:lineRule="auto"/>
      </w:pPr>
      <w:r>
        <w:rPr>
          <w:rFonts w:ascii="Calibri" w:cs="Calibri" w:eastAsia="Calibri" w:hAnsi="Calibri"/>
          <w:color w:val="0F3460"/>
          <w:sz w:val="36"/>
          <w:szCs w:val="36"/>
        </w:rPr>
        <w:t xml:space="preserve">8.1 Client Onboarding Checklist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w:t>
            </w:r>
          </w:p>
        </w:tc>
        <w:tc>
          <w:tcPr>
            <w:tcW w:type="pct" w:w="19%"/>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Phase</w:t>
            </w:r>
          </w:p>
        </w:tc>
        <w:tc>
          <w:tcPr>
            <w:tcW w:type="pct" w:w="72%"/>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Task</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Pre-Kickoff</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Contract package fully executed (MSA + SOW + NDA)</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Pre-Kickoff</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Initial deposit received and confirmed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Pre-Kickoff</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Welcome email sent with project overview</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Pre-Kickoff</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Onboarding questionnaire sent and completed by client</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Pre-Kickoff</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Client contact list documented (primary, technical, billing)</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Kickoff</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Kickoff meeting scheduled and calendar invite sent</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Kickoff</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Scope, milestones, and deliverables reviewed with client</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Kickoff</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Communication cadence agreed (weekly calls, async updates)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Kickoff</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Risk register initialized with known risks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Kickoff</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Escalation path defined (client-side and consultant-side)</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Setup</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Project management workspace created (tasks, boards)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Setup</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Shared Google Drive / OneDrive folder created and shared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Setup</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Communication channel established (Slack channel or Teams group)</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Setup</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Access credentials and VPN / environment access provisioned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Setup</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Time-tracking project activated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Ongoing</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First weekly status report template configured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Ongoing</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Invoice schedule documented and shared with client</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Ongoing</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Change request process communicated to client stakeholders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Ongoing</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First sprint/iteration planned and communicated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Ongoing</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CRM record updated to "active_project" status</w:t>
            </w:r>
          </w:p>
        </w:tc>
      </w:tr>
    </w:tbl>
    <w:p>
      <w:pPr>
        <w:spacing w:after="200" w:before="0"/>
      </w:pPr>
    </w:p>
    <w:p>
      <w:pPr>
        <w:pStyle w:val="Heading2"/>
        <w:spacing w:after="120" w:before="360" w:line="312" w:lineRule="auto"/>
      </w:pPr>
      <w:r>
        <w:rPr>
          <w:rFonts w:ascii="Calibri" w:cs="Calibri" w:eastAsia="Calibri" w:hAnsi="Calibri"/>
          <w:color w:val="0F3460"/>
          <w:sz w:val="36"/>
          <w:szCs w:val="36"/>
        </w:rPr>
        <w:t xml:space="preserve">8.2 Client Offboarding Checklist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w:t>
            </w:r>
          </w:p>
        </w:tc>
        <w:tc>
          <w:tcPr>
            <w:tcW w:type="pct" w:w="24%"/>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Phase</w:t>
            </w:r>
          </w:p>
        </w:tc>
        <w:tc>
          <w:tcPr>
            <w:tcW w:type="pct" w:w="67%"/>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Task</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2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Project Closure</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All deliverables reviewed and accepted by client (sign-off obtained)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2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Project Closure</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Final quality review completed against SOW requirements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2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Project Closure</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All code committed, merged, and tagged with release version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2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Project Closure</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Final time log reconciled and approved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2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Project Closure</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Final invoice generated and sent</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2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Knowledge Transfer</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Technical documentation delivered (architecture, setup, maintenance)</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2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Knowledge Transfer</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Knowledge transfer session(s) conducted with client team</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2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Knowledge Transfer</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Credentials and access inventory transferred to client</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2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Knowledge Transfer</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Runbook / operational guide reviewed with client operations team</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2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Knowledge Transfer</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Training sessions completed (if applicable)</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2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Administrative</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All client access credentials revoked from consultant systems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2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Administrative</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Client data securely archived per retention policy</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2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Administrative</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Project retrospective meeting held and notes documented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2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Administrative</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CRM record updated to "project_complete" with final metrics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2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Administrative</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Project profitability analysis completed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2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Relationship</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Thank-you email sent with project summary</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2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Relationship</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Feedback survey sent (Day 7)</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2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Relationship</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Testimonial request sent (if NPS ≥ 8)</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2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Relationship</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30-day check-in call scheduled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c>
          <w:tcPr>
            <w:tcW w:type="pct" w:w="2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Relationship</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Client added to alumni newsletter and referral program</w:t>
            </w:r>
          </w:p>
        </w:tc>
      </w:tr>
    </w:tbl>
    <w:p>
      <w:pPr>
        <w:spacing w:after="200" w:before="0"/>
      </w:pPr>
    </w:p>
    <w:p>
      <w:pPr>
        <w:pStyle w:val="Heading2"/>
        <w:spacing w:after="120" w:before="360" w:line="312" w:lineRule="auto"/>
      </w:pPr>
      <w:r>
        <w:rPr>
          <w:rFonts w:ascii="Calibri" w:cs="Calibri" w:eastAsia="Calibri" w:hAnsi="Calibri"/>
          <w:color w:val="0F3460"/>
          <w:sz w:val="36"/>
          <w:szCs w:val="36"/>
        </w:rPr>
        <w:t xml:space="preserve">8.3 Client Feedback Form</w:t>
      </w:r>
    </w:p>
    <w:p>
      <w:pPr>
        <w:spacing w:after="120" w:before="60" w:line="360" w:lineRule="auto"/>
      </w:pPr>
      <w:r>
        <w:rPr>
          <w:rFonts w:ascii="Calibri" w:cs="Calibri" w:eastAsia="Calibri" w:hAnsi="Calibri"/>
          <w:b/>
          <w:bCs/>
          <w:i w:val="false"/>
          <w:iCs w:val="false"/>
          <w:strike w:val="false"/>
          <w:color w:val="1A1A2E"/>
          <w:sz w:val="22"/>
          <w:szCs w:val="22"/>
        </w:rPr>
        <w:t xml:space="preserve">Section A — Satisfaction Ratings</w:t>
      </w:r>
      <w:r>
        <w:rPr>
          <w:rFonts w:ascii="Calibri" w:cs="Calibri" w:eastAsia="Calibri" w:hAnsi="Calibri"/>
          <w:b w:val="false"/>
          <w:bCs w:val="false"/>
          <w:i w:val="false"/>
          <w:iCs w:val="false"/>
          <w:strike w:val="false"/>
          <w:color w:val="1A1A2E"/>
          <w:sz w:val="22"/>
          <w:szCs w:val="22"/>
        </w:rPr>
        <w:t xml:space="preserve"> (Scale: 1–10)</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71%"/>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Category</w:t>
            </w:r>
          </w:p>
        </w:tc>
        <w:tc>
          <w:tcPr>
            <w:tcW w:type="pct" w:w="14%"/>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Rating (1–10)</w:t>
            </w:r>
          </w:p>
        </w:tc>
        <w:tc>
          <w:tcPr>
            <w:tcW w:type="pct" w:w="15%"/>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Weight</w:t>
            </w:r>
          </w:p>
        </w:tc>
      </w:tr>
      <w:tr>
        <w:trPr>
          <w:tblHeader w:val="false"/>
        </w:trPr>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Overall Satisfaction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___</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20%</w:t>
            </w:r>
          </w:p>
        </w:tc>
      </w:tr>
      <w:tr>
        <w:trPr>
          <w:tblHeader w:val="false"/>
        </w:trPr>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Quality of Deliverables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___</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20%</w:t>
            </w:r>
          </w:p>
        </w:tc>
      </w:tr>
      <w:tr>
        <w:trPr>
          <w:tblHeader w:val="false"/>
        </w:trPr>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Communication &amp; Responsiveness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___</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15%</w:t>
            </w:r>
          </w:p>
        </w:tc>
      </w:tr>
      <w:tr>
        <w:trPr>
          <w:tblHeader w:val="false"/>
        </w:trPr>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Technical Expertise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___</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15%</w:t>
            </w:r>
          </w:p>
        </w:tc>
      </w:tr>
      <w:tr>
        <w:trPr>
          <w:tblHeader w:val="false"/>
        </w:trPr>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Adherence to Timeline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___</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10%</w:t>
            </w:r>
          </w:p>
        </w:tc>
      </w:tr>
      <w:tr>
        <w:trPr>
          <w:tblHeader w:val="false"/>
        </w:trPr>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Value for Investment</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___</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10%</w:t>
            </w:r>
          </w:p>
        </w:tc>
      </w:tr>
      <w:tr>
        <w:trPr>
          <w:tblHeader w:val="false"/>
        </w:trPr>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Likelihood to Recommend (NPS)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___</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10%</w:t>
            </w:r>
          </w:p>
        </w:tc>
      </w:tr>
    </w:tbl>
    <w:p>
      <w:pPr>
        <w:spacing w:after="200" w:before="0"/>
      </w:pPr>
    </w:p>
    <w:p>
      <w:pPr>
        <w:spacing w:after="120" w:before="60" w:line="360" w:lineRule="auto"/>
      </w:pPr>
      <w:r>
        <w:rPr>
          <w:rFonts w:ascii="Calibri" w:cs="Calibri" w:eastAsia="Calibri" w:hAnsi="Calibri"/>
          <w:b/>
          <w:bCs/>
          <w:i w:val="false"/>
          <w:iCs w:val="false"/>
          <w:strike w:val="false"/>
          <w:color w:val="1A1A2E"/>
          <w:sz w:val="22"/>
          <w:szCs w:val="22"/>
        </w:rPr>
        <w:t xml:space="preserve">Section B — Open-Ended Questions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2E"/>
          <w:sz w:val="22"/>
          <w:szCs w:val="22"/>
        </w:rPr>
        <w:t xml:space="preserve">What was the most valuable aspect of our engagement?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2E"/>
          <w:sz w:val="22"/>
          <w:szCs w:val="22"/>
        </w:rPr>
        <w:t xml:space="preserve">What could we have done differently or better?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2E"/>
          <w:sz w:val="22"/>
          <w:szCs w:val="22"/>
        </w:rPr>
        <w:t xml:space="preserve">Were there any unmet expectations? If so, please describe.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2E"/>
          <w:sz w:val="22"/>
          <w:szCs w:val="22"/>
        </w:rPr>
        <w:t xml:space="preserve">Would you engage Edward Guy Consulting for future projects? Why or why not?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2E"/>
          <w:sz w:val="22"/>
          <w:szCs w:val="22"/>
        </w:rPr>
        <w:t xml:space="preserve">Is there anything else you'd like to share about your experience?</w:t>
      </w:r>
    </w:p>
    <w:p>
      <w:pPr>
        <w:spacing w:after="120" w:before="60" w:line="360" w:lineRule="auto"/>
      </w:pPr>
      <w:r>
        <w:rPr>
          <w:rFonts w:ascii="Calibri" w:cs="Calibri" w:eastAsia="Calibri" w:hAnsi="Calibri"/>
          <w:b/>
          <w:bCs/>
          <w:i w:val="false"/>
          <w:iCs w:val="false"/>
          <w:strike w:val="false"/>
          <w:color w:val="1A1A2E"/>
          <w:sz w:val="22"/>
          <w:szCs w:val="22"/>
        </w:rPr>
        <w:t xml:space="preserve">Section C — Testimonial</w:t>
      </w:r>
    </w:p>
    <w:p>
      <w:pPr>
        <w:spacing w:after="120" w:before="60" w:line="360" w:lineRule="auto"/>
      </w:pPr>
      <w:r>
        <w:rPr>
          <w:rFonts w:ascii="Calibri" w:cs="Calibri" w:eastAsia="Calibri" w:hAnsi="Calibri"/>
          <w:b w:val="false"/>
          <w:bCs w:val="false"/>
          <w:i/>
          <w:iCs/>
          <w:strike w:val="false"/>
          <w:color w:val="1A1A2E"/>
          <w:sz w:val="22"/>
          <w:szCs w:val="22"/>
        </w:rPr>
        <w:t xml:space="preserve">"We would be honored if you'd share a brief testimonial we can use on our website and proposals (with your permission). Please write 2–3 sentences about your experience:"</w:t>
      </w:r>
    </w:p>
    <w:p>
      <w:pPr>
        <w:spacing w:after="120" w:before="60" w:line="360" w:lineRule="auto"/>
      </w:pPr>
      <w:r>
        <w:rPr>
          <w:rFonts w:ascii="Calibri" w:cs="Calibri" w:eastAsia="Calibri" w:hAnsi="Calibri"/>
          <w:b w:val="false"/>
          <w:bCs w:val="false"/>
          <w:i w:val="false"/>
          <w:iCs w:val="false"/>
          <w:strike w:val="false"/>
          <w:color w:val="1A1A2E"/>
          <w:sz w:val="22"/>
          <w:szCs w:val="22"/>
        </w:rPr>
        <w:t xml:space="preserve">______________________________________________________________________________________________</w:t>
      </w:r>
    </w:p>
    <w:p>
      <w:pPr>
        <w:spacing w:after="120" w:before="60" w:line="360" w:lineRule="auto"/>
      </w:pPr>
      <w:r>
        <w:rPr>
          <w:rFonts w:ascii="Calibri" w:cs="Calibri" w:eastAsia="Calibri" w:hAnsi="Calibri"/>
          <w:b w:val="false"/>
          <w:bCs w:val="false"/>
          <w:i w:val="false"/>
          <w:iCs w:val="false"/>
          <w:strike w:val="false"/>
          <w:color w:val="1A1A2E"/>
          <w:sz w:val="22"/>
          <w:szCs w:val="22"/>
        </w:rPr>
        <w:t xml:space="preserve">______________________________________________________________________________________________</w:t>
      </w:r>
    </w:p>
    <w:p>
      <w:pPr>
        <w:pBdr>
          <w:bottom w:val="single" w:color="0F3460" w:sz="6"/>
        </w:pBdr>
        <w:spacing w:after="240" w:before="240"/>
      </w:pPr>
    </w:p>
    <w:p>
      <w:pPr>
        <w:pStyle w:val="Heading1"/>
        <w:spacing w:after="120" w:before="480" w:line="312" w:lineRule="auto"/>
      </w:pPr>
      <w:r>
        <w:rPr>
          <w:rFonts w:ascii="Calibri" w:cs="Calibri" w:eastAsia="Calibri" w:hAnsi="Calibri"/>
          <w:color w:val="0F3460"/>
          <w:sz w:val="48"/>
          <w:szCs w:val="48"/>
        </w:rPr>
        <w:t xml:space="preserve">9. Standard Operating Procedures</w:t>
      </w:r>
    </w:p>
    <w:p>
      <w:pPr>
        <w:spacing w:after="120" w:before="60" w:line="360" w:lineRule="auto"/>
      </w:pPr>
      <w:r>
        <w:rPr>
          <w:rFonts w:ascii="Calibri" w:cs="Calibri" w:eastAsia="Calibri" w:hAnsi="Calibri"/>
          <w:b w:val="false"/>
          <w:bCs w:val="false"/>
          <w:i w:val="false"/>
          <w:iCs w:val="false"/>
          <w:strike w:val="false"/>
          <w:color w:val="1A1A2E"/>
          <w:sz w:val="22"/>
          <w:szCs w:val="22"/>
        </w:rPr>
        <w:t xml:space="preserve">Three core SOPs govern daily operations across lead management, project delivery, and financial operations. Each SOP defines responsibilities, timelines, quality gates, and escalation paths.</w:t>
      </w:r>
    </w:p>
    <w:p>
      <w:pPr>
        <w:pStyle w:val="Heading2"/>
        <w:spacing w:after="120" w:before="360" w:line="312" w:lineRule="auto"/>
      </w:pPr>
      <w:r>
        <w:rPr>
          <w:rFonts w:ascii="Calibri" w:cs="Calibri" w:eastAsia="Calibri" w:hAnsi="Calibri"/>
          <w:color w:val="0F3460"/>
          <w:sz w:val="36"/>
          <w:szCs w:val="36"/>
        </w:rPr>
        <w:t xml:space="preserve">9.1 SOP: Lead Management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F3460" w:sz="6"/>
              <w:left w:val="single" w:color="0F3460" w:sz="6"/>
              <w:bottom w:val="single" w:color="0F3460" w:sz="6"/>
              <w:right w:val="single" w:color="0F3460" w:sz="6"/>
            </w:tcBorders>
            <w:shd w:fill="E8F4F8"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F3460"/>
                <w:sz w:val="22"/>
                <w:szCs w:val="22"/>
              </w:rPr>
              <w:t xml:space="preserve">Purpose</w:t>
            </w:r>
          </w:p>
          <w:p>
            <w:pPr>
              <w:spacing w:after="120" w:line="360" w:lineRule="auto"/>
            </w:pPr>
            <w:r>
              <w:rPr>
                <w:rFonts w:ascii="Calibri" w:cs="Calibri" w:eastAsia="Calibri" w:hAnsi="Calibri"/>
                <w:b w:val="false"/>
                <w:bCs w:val="false"/>
                <w:i w:val="false"/>
                <w:iCs w:val="false"/>
                <w:strike w:val="false"/>
                <w:color w:val="1A1A2E"/>
                <w:sz w:val="22"/>
                <w:szCs w:val="22"/>
              </w:rPr>
              <w:t xml:space="preserve">Ensure every lead is captured, qualified, and progressed through the pipeline within defined SLAs to maximize conversion rate and maintain a professional first impression.</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3%"/>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Component</w:t>
            </w:r>
          </w:p>
        </w:tc>
        <w:tc>
          <w:tcPr>
            <w:tcW w:type="pct" w:w="77%"/>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Standard</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Initial Response Time</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Within 4 business hours of lead receipt</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CRM Entry</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Within 1 hour — includes source, contact info, initial notes</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Discovery Call Scheduling</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Within 7 calendar days of initial contact</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Qualification Criteria</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Budget ≥ engagement minimum, timeline ≥ 2 weeks, scope aligns with service catalog, decision-maker engaged</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Disqualification Handling</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Polite decline email with referral to alternative resources if applicable</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Pipeline Stages</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lead_new → contacted → discovery_scheduled → discovery_complete → proposal_sent → negotiation → contract_signed → lost</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Stale Lead Threshold</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No activity for 30 days — trigger re-engagement or archive</w:t>
            </w:r>
          </w:p>
        </w:tc>
      </w:tr>
    </w:tbl>
    <w:p>
      <w:pPr>
        <w:spacing w:after="200" w:before="0"/>
      </w:pPr>
    </w:p>
    <w:p>
      <w:pPr>
        <w:pStyle w:val="Heading2"/>
        <w:spacing w:after="120" w:before="360" w:line="312" w:lineRule="auto"/>
      </w:pPr>
      <w:r>
        <w:rPr>
          <w:rFonts w:ascii="Calibri" w:cs="Calibri" w:eastAsia="Calibri" w:hAnsi="Calibri"/>
          <w:color w:val="0F3460"/>
          <w:sz w:val="36"/>
          <w:szCs w:val="36"/>
        </w:rPr>
        <w:t xml:space="preserve">9.2 SOP: Project Delivery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F3460" w:sz="6"/>
              <w:left w:val="single" w:color="0F3460" w:sz="6"/>
              <w:bottom w:val="single" w:color="0F3460" w:sz="6"/>
              <w:right w:val="single" w:color="0F3460" w:sz="6"/>
            </w:tcBorders>
            <w:shd w:fill="E8F4F8"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F3460"/>
                <w:sz w:val="22"/>
                <w:szCs w:val="22"/>
              </w:rPr>
              <w:t xml:space="preserve">Purpose</w:t>
            </w:r>
          </w:p>
          <w:p>
            <w:pPr>
              <w:spacing w:after="120" w:line="360" w:lineRule="auto"/>
            </w:pPr>
            <w:r>
              <w:rPr>
                <w:rFonts w:ascii="Calibri" w:cs="Calibri" w:eastAsia="Calibri" w:hAnsi="Calibri"/>
                <w:b w:val="false"/>
                <w:bCs w:val="false"/>
                <w:i w:val="false"/>
                <w:iCs w:val="false"/>
                <w:strike w:val="false"/>
                <w:color w:val="1A1A2E"/>
                <w:sz w:val="22"/>
                <w:szCs w:val="22"/>
              </w:rPr>
              <w:t xml:space="preserve">Deliver every engagement on time, on budget, and exceeding quality expectations through a structured five-phase lifecycle with clear quality gates.</w:t>
            </w:r>
          </w:p>
        </w:tc>
      </w:tr>
    </w:tbl>
    <w:p>
      <w:pPr>
        <w:spacing w:after="240" w:before="0"/>
      </w:pPr>
    </w:p>
    <w:p>
      <w:pPr>
        <w:spacing w:after="120" w:before="60" w:line="360" w:lineRule="auto"/>
      </w:pPr>
      <w:r>
        <w:rPr>
          <w:rFonts w:ascii="Calibri" w:cs="Calibri" w:eastAsia="Calibri" w:hAnsi="Calibri"/>
          <w:b/>
          <w:bCs/>
          <w:i w:val="false"/>
          <w:iCs w:val="false"/>
          <w:strike w:val="false"/>
          <w:color w:val="1A1A2E"/>
          <w:sz w:val="22"/>
          <w:szCs w:val="22"/>
        </w:rPr>
        <w:t xml:space="preserve">Five-Phase Delivery Lifecycle: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5%"/>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Phase</w:t>
            </w:r>
          </w:p>
        </w:tc>
        <w:tc>
          <w:tcPr>
            <w:tcW w:type="pct" w:w="51%"/>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Activities</w:t>
            </w:r>
          </w:p>
        </w:tc>
        <w:tc>
          <w:tcPr>
            <w:tcW w:type="pct" w:w="34%"/>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Quality Gate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1. Initiation</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Kickoff meeting, scope confirmation, environment setup, sprint planning</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Client sign-off on project plan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2. Planning</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Detailed task breakdown, resource allocation, risk assessment, timeline finalization</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Approved project schedule and risk register</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3. Execution</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Sprint-based work, daily time logging, weekly status reports, milestone deliveries</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Milestone acceptance sign-off at each gate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4. Review</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Quality assurance, client UAT, defect resolution, documentation finalization</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All deliverables accepted, zero critical defects</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5. Closure</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Knowledge transfer, final documentation, retrospective, archival</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Project retrospective complete, final invoice paid</w:t>
            </w:r>
          </w:p>
        </w:tc>
      </w:tr>
    </w:tbl>
    <w:p>
      <w:pPr>
        <w:spacing w:after="200" w:before="0"/>
      </w:pPr>
    </w:p>
    <w:p>
      <w:pPr>
        <w:spacing w:after="120" w:before="60" w:line="360" w:lineRule="auto"/>
      </w:pPr>
      <w:r>
        <w:rPr>
          <w:rFonts w:ascii="Calibri" w:cs="Calibri" w:eastAsia="Calibri" w:hAnsi="Calibri"/>
          <w:b/>
          <w:bCs/>
          <w:i w:val="false"/>
          <w:iCs w:val="false"/>
          <w:strike w:val="false"/>
          <w:color w:val="1A1A2E"/>
          <w:sz w:val="22"/>
          <w:szCs w:val="22"/>
        </w:rPr>
        <w:t xml:space="preserve">Communication Standards: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2E"/>
          <w:sz w:val="22"/>
          <w:szCs w:val="22"/>
        </w:rPr>
        <w:t xml:space="preserve">Weekly status report delivered every Friday by 5:00 PM CT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2E"/>
          <w:sz w:val="22"/>
          <w:szCs w:val="22"/>
        </w:rPr>
        <w:t xml:space="preserve">Client emails responded to within 4 business hours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2E"/>
          <w:sz w:val="22"/>
          <w:szCs w:val="22"/>
        </w:rPr>
        <w:t xml:space="preserve">Urgent issues escalated via phone/Slack within 1 hour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2E"/>
          <w:sz w:val="22"/>
          <w:szCs w:val="22"/>
        </w:rPr>
        <w:t xml:space="preserve">All scope changes require a formal Change Request with impact analysis</w:t>
      </w:r>
    </w:p>
    <w:p>
      <w:pPr>
        <w:pStyle w:val="Heading2"/>
        <w:spacing w:after="120" w:before="360" w:line="312" w:lineRule="auto"/>
      </w:pPr>
      <w:r>
        <w:rPr>
          <w:rFonts w:ascii="Calibri" w:cs="Calibri" w:eastAsia="Calibri" w:hAnsi="Calibri"/>
          <w:color w:val="0F3460"/>
          <w:sz w:val="36"/>
          <w:szCs w:val="36"/>
        </w:rPr>
        <w:t xml:space="preserve">9.3 SOP: Invoicing &amp; Collections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F3460" w:sz="6"/>
              <w:left w:val="single" w:color="0F3460" w:sz="6"/>
              <w:bottom w:val="single" w:color="0F3460" w:sz="6"/>
              <w:right w:val="single" w:color="0F3460" w:sz="6"/>
            </w:tcBorders>
            <w:shd w:fill="E8F4F8"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F3460"/>
                <w:sz w:val="22"/>
                <w:szCs w:val="22"/>
              </w:rPr>
              <w:t xml:space="preserve">Purpose</w:t>
            </w:r>
          </w:p>
          <w:p>
            <w:pPr>
              <w:spacing w:after="120" w:line="360" w:lineRule="auto"/>
            </w:pPr>
            <w:r>
              <w:rPr>
                <w:rFonts w:ascii="Calibri" w:cs="Calibri" w:eastAsia="Calibri" w:hAnsi="Calibri"/>
                <w:b w:val="false"/>
                <w:bCs w:val="false"/>
                <w:i w:val="false"/>
                <w:iCs w:val="false"/>
                <w:strike w:val="false"/>
                <w:color w:val="1A1A2E"/>
                <w:sz w:val="22"/>
                <w:szCs w:val="22"/>
              </w:rPr>
              <w:t xml:space="preserve">Maintain healthy cash flow through timely, accurate invoicing and a structured collections process that preserves client relationships.</w:t>
            </w:r>
          </w:p>
        </w:tc>
      </w:tr>
    </w:tbl>
    <w:p>
      <w:pPr>
        <w:spacing w:after="240" w:before="0"/>
      </w:pPr>
    </w:p>
    <w:p>
      <w:pPr>
        <w:spacing w:after="120" w:before="60" w:line="360" w:lineRule="auto"/>
      </w:pPr>
      <w:r>
        <w:rPr>
          <w:rFonts w:ascii="Calibri" w:cs="Calibri" w:eastAsia="Calibri" w:hAnsi="Calibri"/>
          <w:b/>
          <w:bCs/>
          <w:i w:val="false"/>
          <w:iCs w:val="false"/>
          <w:strike w:val="false"/>
          <w:color w:val="1A1A2E"/>
          <w:sz w:val="22"/>
          <w:szCs w:val="22"/>
        </w:rPr>
        <w:t xml:space="preserve">Invoice Generation Workflow:</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2E"/>
          <w:sz w:val="22"/>
          <w:szCs w:val="22"/>
        </w:rPr>
        <w:t xml:space="preserve">Time entries reviewed and reconciled at milestone completion (or monthly for retainers)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2E"/>
          <w:sz w:val="22"/>
          <w:szCs w:val="22"/>
        </w:rPr>
        <w:t xml:space="preserve">Invoice generated via CLI: </w:t>
      </w:r>
      <w:r>
        <w:rPr>
          <w:rFonts w:ascii="Calibri" w:cs="Calibri" w:eastAsia="Calibri" w:hAnsi="Calibri"/>
          <w:b/>
          <w:bCs/>
          <w:i w:val="false"/>
          <w:iCs w:val="false"/>
          <w:strike w:val="false"/>
          <w:color w:val="1A1A2E"/>
          <w:sz w:val="22"/>
          <w:szCs w:val="22"/>
        </w:rPr>
        <w:t xml:space="preserve">egc invoice generate --client [ID] --period [dates]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2E"/>
          <w:sz w:val="22"/>
          <w:szCs w:val="22"/>
        </w:rPr>
        <w:t xml:space="preserve">Invoice reviewed for accuracy — line items, rates, discounts, totals verified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2E"/>
          <w:sz w:val="22"/>
          <w:szCs w:val="22"/>
        </w:rPr>
        <w:t xml:space="preserve">Invoice sent via email with PDF attachment and payment instructions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2E"/>
          <w:sz w:val="22"/>
          <w:szCs w:val="22"/>
        </w:rPr>
        <w:t xml:space="preserve">CRM updated with invoice number, amount, and due date</w:t>
      </w:r>
    </w:p>
    <w:p>
      <w:pPr>
        <w:spacing w:after="120" w:before="60" w:line="360" w:lineRule="auto"/>
      </w:pPr>
      <w:r>
        <w:rPr>
          <w:rFonts w:ascii="Calibri" w:cs="Calibri" w:eastAsia="Calibri" w:hAnsi="Calibri"/>
          <w:b/>
          <w:bCs/>
          <w:i w:val="false"/>
          <w:iCs w:val="false"/>
          <w:strike w:val="false"/>
          <w:color w:val="1A1A2E"/>
          <w:sz w:val="22"/>
          <w:szCs w:val="22"/>
        </w:rPr>
        <w:t xml:space="preserve">Collections Escalation Timeline: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Day</w:t>
            </w:r>
          </w:p>
        </w:tc>
        <w:tc>
          <w:tcPr>
            <w:tcW w:type="pct" w:w="52%"/>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Action</w:t>
            </w:r>
          </w:p>
        </w:tc>
        <w:tc>
          <w:tcPr>
            <w:tcW w:type="pct" w:w="32%"/>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Method</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Due Date</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Invoice due — payment expected</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Day +3</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Friendly payment reminder</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Email (automated)</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Day +10</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Second reminder — request confirmation</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Email + phone call</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Day +15</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Finance charge notice (1.5%/month begins)</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Formal email</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Day +30</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Formal past-due notice — payment plan offer</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Certified letter + email</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Day +45</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Work suspension notice — all active work paused</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Formal written notice</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Day +60</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Final demand — 15-day cure period</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Certified letter</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Day +75</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Refer to collections or legal counsel</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Per MSA dispute provisions</w:t>
            </w:r>
          </w:p>
        </w:tc>
      </w:tr>
    </w:tbl>
    <w:p>
      <w:pPr>
        <w:spacing w:after="200" w:before="0"/>
      </w:pPr>
    </w:p>
    <w:p>
      <w:pPr>
        <w:pBdr>
          <w:bottom w:val="single" w:color="0F3460" w:sz="6"/>
        </w:pBdr>
        <w:spacing w:after="240" w:before="240"/>
      </w:pPr>
    </w:p>
    <w:p>
      <w:pPr>
        <w:pStyle w:val="Heading1"/>
        <w:spacing w:after="120" w:before="480" w:line="312" w:lineRule="auto"/>
      </w:pPr>
      <w:r>
        <w:rPr>
          <w:rFonts w:ascii="Calibri" w:cs="Calibri" w:eastAsia="Calibri" w:hAnsi="Calibri"/>
          <w:color w:val="0F3460"/>
          <w:sz w:val="48"/>
          <w:szCs w:val="48"/>
        </w:rPr>
        <w:t xml:space="preserve">10. Suite Architecture &amp; File Map</w:t>
      </w:r>
    </w:p>
    <w:p>
      <w:pPr>
        <w:spacing w:after="120" w:before="60" w:line="360" w:lineRule="auto"/>
      </w:pPr>
      <w:r>
        <w:rPr>
          <w:rFonts w:ascii="Calibri" w:cs="Calibri" w:eastAsia="Calibri" w:hAnsi="Calibri"/>
          <w:b w:val="false"/>
          <w:bCs w:val="false"/>
          <w:i w:val="false"/>
          <w:iCs w:val="false"/>
          <w:strike w:val="false"/>
          <w:color w:val="1A1A2E"/>
          <w:sz w:val="22"/>
          <w:szCs w:val="22"/>
        </w:rPr>
        <w:t xml:space="preserve">The Freelance IT Suite is organized as a modular Python project with 84 files across clearly defined directories. The structure is Replit-ready and follows Python packaging best practices.</w:t>
      </w:r>
    </w:p>
    <w:p>
      <w:pPr>
        <w:spacing w:after="80" w:before="200"/>
        <w:jc w:val="center"/>
      </w:pPr>
      <w:r>
        <w:drawing>
          <wp:inline distT="0" distB="0" distL="0" distR="0">
            <wp:extent cx="451485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14850" cy="3000375"/>
                    </a:xfrm>
                    <a:prstGeom prst="rect">
                      <a:avLst/>
                    </a:prstGeom>
                  </pic:spPr>
                </pic:pic>
              </a:graphicData>
            </a:graphic>
          </wp:inline>
        </w:drawing>
      </w:r>
    </w:p>
    <w:p>
      <w:pPr>
        <w:spacing w:after="200"/>
        <w:jc w:val="center"/>
      </w:pPr>
      <w:r>
        <w:rPr>
          <w:i/>
          <w:iCs/>
          <w:color w:val="6B7280"/>
          <w:sz w:val="20"/>
          <w:szCs w:val="20"/>
        </w:rPr>
        <w:t xml:space="preserve">Intelligent suite architecture — modular, extensible, production-ready</w:t>
      </w:r>
    </w:p>
    <w:p>
      <w:pPr>
        <w:pStyle w:val="Heading2"/>
        <w:spacing w:after="120" w:before="360" w:line="312" w:lineRule="auto"/>
      </w:pPr>
      <w:r>
        <w:rPr>
          <w:rFonts w:ascii="Calibri" w:cs="Calibri" w:eastAsia="Calibri" w:hAnsi="Calibri"/>
          <w:color w:val="0F3460"/>
          <w:sz w:val="36"/>
          <w:szCs w:val="36"/>
        </w:rPr>
        <w:t xml:space="preserve">10.1 Root Directory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5%"/>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File/Folder</w:t>
            </w:r>
          </w:p>
        </w:tc>
        <w:tc>
          <w:tcPr>
            <w:tcW w:type="pct" w:w="75%"/>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Description</w:t>
            </w:r>
          </w:p>
        </w:tc>
      </w:tr>
      <w:tr>
        <w:trPr>
          <w:tblHeader w:val="false"/>
        </w:trPr>
        <w:tc>
          <w:tcPr>
            <w:tcW w:type="pct" w:w="2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main.py</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Application entry point — Click CLI root command group</w:t>
            </w:r>
          </w:p>
        </w:tc>
      </w:tr>
      <w:tr>
        <w:trPr>
          <w:tblHeader w:val="false"/>
        </w:trPr>
        <w:tc>
          <w:tcPr>
            <w:tcW w:type="pct" w:w="2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pyproject.toml</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Project metadata, dependencies, and build configuration</w:t>
            </w:r>
          </w:p>
        </w:tc>
      </w:tr>
      <w:tr>
        <w:trPr>
          <w:tblHeader w:val="false"/>
        </w:trPr>
        <w:tc>
          <w:tcPr>
            <w:tcW w:type="pct" w:w="2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requirements.txt</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Pinned Python dependencies for reproducible installs</w:t>
            </w:r>
          </w:p>
        </w:tc>
      </w:tr>
      <w:tr>
        <w:trPr>
          <w:tblHeader w:val="false"/>
        </w:trPr>
        <w:tc>
          <w:tcPr>
            <w:tcW w:type="pct" w:w="2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.replit</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Replit configuration — run command, language, environment</w:t>
            </w:r>
          </w:p>
        </w:tc>
      </w:tr>
      <w:tr>
        <w:trPr>
          <w:tblHeader w:val="false"/>
        </w:trPr>
        <w:tc>
          <w:tcPr>
            <w:tcW w:type="pct" w:w="2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replit.nix</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Nix package definitions for Replit environment</w:t>
            </w:r>
          </w:p>
        </w:tc>
      </w:tr>
      <w:tr>
        <w:trPr>
          <w:tblHeader w:val="false"/>
        </w:trPr>
        <w:tc>
          <w:tcPr>
            <w:tcW w:type="pct" w:w="2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.env.example</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Environment variable template (API keys, DB connection, SMTP)</w:t>
            </w:r>
          </w:p>
        </w:tc>
      </w:tr>
      <w:tr>
        <w:trPr>
          <w:tblHeader w:val="false"/>
        </w:trPr>
        <w:tc>
          <w:tcPr>
            <w:tcW w:type="pct" w:w="25%"/>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README.md</w:t>
            </w:r>
          </w:p>
        </w:tc>
        <w:tc>
          <w:tcPr>
            <w:tcW w:type="pct" w:w="75%"/>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Project overview, setup instructions, usage guide</w:t>
            </w:r>
          </w:p>
        </w:tc>
      </w:tr>
    </w:tbl>
    <w:p>
      <w:pPr>
        <w:spacing w:after="200" w:before="0"/>
      </w:pPr>
    </w:p>
    <w:p>
      <w:pPr>
        <w:pStyle w:val="Heading2"/>
        <w:spacing w:after="120" w:before="360" w:line="312" w:lineRule="auto"/>
      </w:pPr>
      <w:r>
        <w:rPr>
          <w:rFonts w:ascii="Calibri" w:cs="Calibri" w:eastAsia="Calibri" w:hAnsi="Calibri"/>
          <w:color w:val="0F3460"/>
          <w:sz w:val="36"/>
          <w:szCs w:val="36"/>
        </w:rPr>
        <w:t xml:space="preserve">10.2 Core Modules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3%"/>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Path</w:t>
            </w:r>
          </w:p>
        </w:tc>
        <w:tc>
          <w:tcPr>
            <w:tcW w:type="pct" w:w="77%"/>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Description</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src/config/</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Configuration management — settings.py, constants.py, brand.py</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src/database/</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Database layer — models.py, connection.py, migrations/, seed_data.py</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src/crm/</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CRM engine — leads.py, clients.py, pipeline.py, contacts.py</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src/proposals/</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Proposal generation — generator.py, renderer.py, pricing.py</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src/contracts/</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Legal documents — msa.py, sow.py, nda.py, generator.py</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src/invoicing/</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Invoice system — generator.py, numbering.py, tracker.py, stripe_integration.py</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src/email/</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Email engine — sender.py, sequences.py, scheduler.py, smtp_config.py</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src/reporting/</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Status reports — status_report.py, kpi_calculator.py, renderer.py</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src/monitoring/</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Health checks — health_checker.py, uptime.py, alerts.py</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src/backup/</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Backup system — backup_manager.py, restore.py, retention.py</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src/integrations/</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Third-party — google_calendar.py, google_drive.py, outlook.py, slack.py</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src/utils/</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Utilities — helpers.py, validators.py, formatters.py, logger.py</w:t>
            </w:r>
          </w:p>
        </w:tc>
      </w:tr>
    </w:tbl>
    <w:p>
      <w:pPr>
        <w:spacing w:after="200" w:before="0"/>
      </w:pPr>
    </w:p>
    <w:p>
      <w:pPr>
        <w:pStyle w:val="Heading2"/>
        <w:spacing w:after="120" w:before="360" w:line="312" w:lineRule="auto"/>
      </w:pPr>
      <w:r>
        <w:rPr>
          <w:rFonts w:ascii="Calibri" w:cs="Calibri" w:eastAsia="Calibri" w:hAnsi="Calibri"/>
          <w:color w:val="0F3460"/>
          <w:sz w:val="36"/>
          <w:szCs w:val="36"/>
        </w:rPr>
        <w:t xml:space="preserve">10.3 Templates Directory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4%"/>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Path</w:t>
            </w:r>
          </w:p>
        </w:tc>
        <w:tc>
          <w:tcPr>
            <w:tcW w:type="pct" w:w="76%"/>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Description</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templates/proposals/</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proposal_template.html — 6-section branded proposal with cover page</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templates/contracts/</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msa_template.html, sow_template.html, nda_template.html</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templates/invoices/</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invoice_template.html — branded, auto-numbered invoice layout</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templates/reports/</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status_report_template.html — KPI cards, milestones, risks</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templates/emails/</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14 email templates organized by sequence (nurture/, proposal/, onboarding/, completion/)</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templates/base/</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base_layout.html, brand_header.html, brand_footer.html — shared components</w:t>
            </w:r>
          </w:p>
        </w:tc>
      </w:tr>
    </w:tbl>
    <w:p>
      <w:pPr>
        <w:spacing w:after="200" w:before="0"/>
      </w:pPr>
    </w:p>
    <w:p>
      <w:pPr>
        <w:pStyle w:val="Heading2"/>
        <w:spacing w:after="120" w:before="360" w:line="312" w:lineRule="auto"/>
      </w:pPr>
      <w:r>
        <w:rPr>
          <w:rFonts w:ascii="Calibri" w:cs="Calibri" w:eastAsia="Calibri" w:hAnsi="Calibri"/>
          <w:color w:val="0F3460"/>
          <w:sz w:val="36"/>
          <w:szCs w:val="36"/>
        </w:rPr>
        <w:t xml:space="preserve">10.4 Tests &amp; Data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4%"/>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Path</w:t>
            </w:r>
          </w:p>
        </w:tc>
        <w:tc>
          <w:tcPr>
            <w:tcW w:type="pct" w:w="86%"/>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Description</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tests/</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pytest suite — test_crm.py, test_proposals.py, test_invoicing.py, test_email.py, conftest.py (fixtures)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data/</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egc_suite.db (SQLite), backups/, exports/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docs/</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PLAYBOOK.md, API_REFERENCE.md, CHANGELOG.md, CONTRIBUTING.md</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scripts/</w:t>
            </w:r>
          </w:p>
        </w:tc>
        <w:tc>
          <w:tcPr>
            <w:tcW w:type="pct" w:w="86%"/>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setup.sh, seed_demo_data.py, run_migrations.py, backup_cron.sh</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F3460" w:sz="6"/>
              <w:left w:val="single" w:color="0F3460" w:sz="6"/>
              <w:bottom w:val="single" w:color="0F3460" w:sz="6"/>
              <w:right w:val="single" w:color="0F3460"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F3460"/>
                <w:sz w:val="22"/>
                <w:szCs w:val="22"/>
              </w:rPr>
              <w:t xml:space="preserve">File Count Summary</w:t>
            </w:r>
          </w:p>
          <w:p>
            <w:pPr>
              <w:spacing w:after="120" w:line="360" w:lineRule="auto"/>
            </w:pPr>
            <w:r>
              <w:rPr>
                <w:rFonts w:ascii="Calibri" w:cs="Calibri" w:eastAsia="Calibri" w:hAnsi="Calibri"/>
                <w:b/>
                <w:bCs/>
                <w:i w:val="false"/>
                <w:iCs w:val="false"/>
                <w:strike w:val="false"/>
                <w:color w:val="1A1A2E"/>
                <w:sz w:val="22"/>
                <w:szCs w:val="22"/>
              </w:rPr>
              <w:t xml:space="preserve">Total: 84 files</w:t>
            </w:r>
            <w:r>
              <w:rPr>
                <w:rFonts w:ascii="Calibri" w:cs="Calibri" w:eastAsia="Calibri" w:hAnsi="Calibri"/>
                <w:b w:val="false"/>
                <w:bCs w:val="false"/>
                <w:i w:val="false"/>
                <w:iCs w:val="false"/>
                <w:strike w:val="false"/>
                <w:color w:val="1A1A2E"/>
                <w:sz w:val="22"/>
                <w:szCs w:val="22"/>
              </w:rPr>
              <w:t xml:space="preserve"> — 7 root files, 12 core modules (~36 source files), 22 templates, 8 test files, 6 data/doc files, 5 scripts. The suite is designed to be cloned and operational within 5 minutes on Replit with </w:t>
            </w:r>
            <w:r>
              <w:rPr>
                <w:rFonts w:ascii="Calibri" w:cs="Calibri" w:eastAsia="Calibri" w:hAnsi="Calibri"/>
                <w:b/>
                <w:bCs/>
                <w:i w:val="false"/>
                <w:iCs w:val="false"/>
                <w:strike w:val="false"/>
                <w:color w:val="1A1A2E"/>
                <w:sz w:val="22"/>
                <w:szCs w:val="22"/>
              </w:rPr>
              <w:t xml:space="preserve">python main.py --help</w:t>
            </w:r>
            <w:r>
              <w:rPr>
                <w:rFonts w:ascii="Calibri" w:cs="Calibri" w:eastAsia="Calibri" w:hAnsi="Calibri"/>
                <w:b w:val="false"/>
                <w:bCs w:val="false"/>
                <w:i w:val="false"/>
                <w:iCs w:val="false"/>
                <w:strike w:val="false"/>
                <w:color w:val="1A1A2E"/>
                <w:sz w:val="22"/>
                <w:szCs w:val="22"/>
              </w:rPr>
              <w:t xml:space="preserve">.</w:t>
            </w:r>
          </w:p>
        </w:tc>
      </w:tr>
    </w:tbl>
    <w:p>
      <w:pPr>
        <w:spacing w:after="240" w:before="0"/>
      </w:pPr>
    </w:p>
    <w:p>
      <w:pPr>
        <w:pBdr>
          <w:bottom w:val="single" w:color="0F3460" w:sz="6"/>
        </w:pBdr>
        <w:spacing w:after="240" w:before="240"/>
      </w:pPr>
    </w:p>
    <w:p>
      <w:pPr>
        <w:pStyle w:val="Heading1"/>
        <w:spacing w:after="120" w:before="480" w:line="312" w:lineRule="auto"/>
      </w:pPr>
      <w:r>
        <w:rPr>
          <w:rFonts w:ascii="Calibri" w:cs="Calibri" w:eastAsia="Calibri" w:hAnsi="Calibri"/>
          <w:color w:val="0F3460"/>
          <w:sz w:val="48"/>
          <w:szCs w:val="48"/>
        </w:rPr>
        <w:t xml:space="preserve">Document Control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2%"/>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Field</w:t>
            </w:r>
          </w:p>
        </w:tc>
        <w:tc>
          <w:tcPr>
            <w:tcW w:type="pct" w:w="68%"/>
            <w:shd w:fill="0F3460"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Value</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Document Title</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Freelance IT Suite — Master Playbook</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Organization</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Edward Guy Consulting</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Author</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Edward Guy</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Version</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1.0</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Date</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April 23, 2026</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Classification</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Internal — Confidential</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Location</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Monroe, Louisiana</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1A1A2E"/>
                <w:sz w:val="22"/>
                <w:szCs w:val="22"/>
              </w:rPr>
              <w:t xml:space="preserve">Next Review</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1A1A2E"/>
                <w:sz w:val="22"/>
                <w:szCs w:val="22"/>
              </w:rPr>
              <w:t xml:space="preserve">October 23, 2026 (6-month cycle)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F3460" w:sz="24"/>
              <w:bottom w:val="nil" w:color="FFFFFF" w:sz="0"/>
              <w:right w:val="nil" w:color="FFFFFF" w:sz="0"/>
            </w:tcBorders>
            <w:shd w:fill="FFFFFF" w:color="auto" w:val="clear"/>
            <w:tcMar>
              <w:top w:type="dxa" w:w="120"/>
              <w:left w:type="dxa" w:w="240"/>
              <w:bottom w:type="dxa" w:w="120"/>
              <w:right w:type="dxa" w:w="240"/>
            </w:tcMar>
          </w:tcPr>
          <w:p>
            <w:pPr>
              <w:spacing w:after="120" w:line="360" w:lineRule="auto"/>
            </w:pPr>
            <w:r>
              <w:rPr>
                <w:rFonts w:ascii="Calibri" w:cs="Calibri" w:eastAsia="Calibri" w:hAnsi="Calibri"/>
                <w:b w:val="false"/>
                <w:bCs w:val="false"/>
                <w:i w:val="false"/>
                <w:iCs w:val="false"/>
                <w:strike w:val="false"/>
                <w:color w:val="1A1A2E"/>
                <w:sz w:val="22"/>
                <w:szCs w:val="22"/>
              </w:rPr>
              <w:t xml:space="preserve">"Cybersecurity &amp; AI Solutions That Scale"</w:t>
            </w:r>
          </w:p>
          <w:p>
            <w:pPr>
              <w:spacing w:after="120" w:line="360" w:lineRule="auto"/>
            </w:pPr>
            <w:r>
              <w:rPr>
                <w:rFonts w:ascii="Calibri" w:cs="Calibri" w:eastAsia="Calibri" w:hAnsi="Calibri"/>
                <w:b w:val="false"/>
                <w:bCs w:val="false"/>
                <w:i w:val="false"/>
                <w:iCs w:val="false"/>
                <w:strike w:val="false"/>
                <w:color w:val="666666"/>
                <w:sz w:val="22"/>
                <w:szCs w:val="22"/>
              </w:rPr>
              <w:t xml:space="preserve">Edward Guy Consulting — Monroe, LA | This document is the single-source-of-truth operating manual for all business operations. Unauthorized distribution is prohibited.</w:t>
            </w:r>
          </w:p>
        </w:tc>
      </w:tr>
    </w:tbl>
    <w:p>
      <w:pPr>
        <w:spacing w:after="240" w:before="0"/>
      </w:pPr>
    </w:p>
    <w:p>
      <w:pPr>
        <w:pBdr>
          <w:bottom w:val="single" w:color="000000" w:sz="6"/>
        </w:pBdr>
        <w:spacing w:after="240" w:before="240"/>
      </w:pPr>
    </w:p>
    <w:p>
      <w:pPr>
        <w:spacing w:after="120" w:before="60" w:line="360" w:lineRule="auto"/>
      </w:pPr>
      <w:r>
        <w:rPr>
          <w:rFonts w:ascii="Calibri" w:cs="Calibri" w:eastAsia="Calibri" w:hAnsi="Calibri"/>
          <w:b/>
          <w:bCs/>
          <w:i w:val="false"/>
          <w:iCs w:val="false"/>
          <w:strike w:val="false"/>
          <w:color w:val="1A1A2E"/>
          <w:sz w:val="22"/>
          <w:szCs w:val="22"/>
        </w:rPr>
        <w:t xml:space="preserve">Edward Guy</w:t>
      </w:r>
    </w:p>
    <w:p>
      <w:pPr>
        <w:spacing w:after="120" w:before="60" w:line="360" w:lineRule="auto"/>
      </w:pPr>
      <w:r>
        <w:rPr>
          <w:rFonts w:ascii="Calibri" w:cs="Calibri" w:eastAsia="Calibri" w:hAnsi="Calibri"/>
          <w:b w:val="false"/>
          <w:bCs w:val="false"/>
          <w:i w:val="false"/>
          <w:iCs w:val="false"/>
          <w:strike w:val="false"/>
          <w:color w:val="666666"/>
          <w:sz w:val="22"/>
          <w:szCs w:val="22"/>
        </w:rPr>
        <w:t xml:space="preserve">Founder &amp; Principal Consultant</w:t>
      </w:r>
    </w:p>
    <w:p>
      <w:pPr>
        <w:spacing w:after="120" w:before="60" w:line="360" w:lineRule="auto"/>
      </w:pPr>
      <w:r>
        <w:rPr>
          <w:rFonts w:ascii="Calibri" w:cs="Calibri" w:eastAsia="Calibri" w:hAnsi="Calibri"/>
          <w:b w:val="false"/>
          <w:bCs w:val="false"/>
          <w:i w:val="false"/>
          <w:iCs w:val="false"/>
          <w:strike w:val="false"/>
          <w:color w:val="666666"/>
          <w:sz w:val="22"/>
          <w:szCs w:val="22"/>
        </w:rPr>
        <w:t xml:space="preserve">Edward Guy Consulting</w:t>
      </w:r>
    </w:p>
    <w:p>
      <w:pPr>
        <w:spacing w:after="120" w:before="60" w:line="360" w:lineRule="auto"/>
      </w:pPr>
      <w:r>
        <w:rPr>
          <w:rFonts w:ascii="Calibri" w:cs="Calibri" w:eastAsia="Calibri" w:hAnsi="Calibri"/>
          <w:b w:val="false"/>
          <w:bCs w:val="false"/>
          <w:i w:val="false"/>
          <w:iCs w:val="false"/>
          <w:strike w:val="false"/>
          <w:color w:val="666666"/>
          <w:sz w:val="22"/>
          <w:szCs w:val="22"/>
        </w:rPr>
        <w:t xml:space="preserve">April 23,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234b8381d95e04f10dfe2c3d3f70b5a14408b7e.png"/><Relationship Id="rId8" Type="http://schemas.openxmlformats.org/officeDocument/2006/relationships/image" Target="media/e277a7da679a326ccabfebbcbaa438fd857fb1a2.png"/><Relationship Id="rId9" Type="http://schemas.openxmlformats.org/officeDocument/2006/relationships/image" Target="media/f99cf4d01fdf2f9307bee95a5a2c4f6ff0a0f0ed.png"/><Relationship Id="rId10" Type="http://schemas.openxmlformats.org/officeDocument/2006/relationships/image" Target="media/f5af5a40f8199b5ef72dcfb5fbbd56ef6e07e78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NxSaAo6fJT1eCm8mGgRZt</dc:title>
  <dc:creator>Un-named</dc:creator>
  <dc:description>Generated document</dc:description>
  <cp:lastModifiedBy>Un-named</cp:lastModifiedBy>
  <cp:revision>1</cp:revision>
  <dcterms:created xsi:type="dcterms:W3CDTF">2026-04-25T04:16:03.641Z</dcterms:created>
  <dcterms:modified xsi:type="dcterms:W3CDTF">2026-04-25T04:16:03.641Z</dcterms:modified>
</cp:coreProperties>
</file>

<file path=docProps/custom.xml><?xml version="1.0" encoding="utf-8"?>
<Properties xmlns="http://schemas.openxmlformats.org/officeDocument/2006/custom-properties" xmlns:vt="http://schemas.openxmlformats.org/officeDocument/2006/docPropsVTypes"/>
</file>