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4"/>
          <w:szCs w:val="34"/>
        </w:rPr>
        <w:t xml:space="preserve">MEDISUN HEALTH GROUP</w:t>
      </w:r>
    </w:p>
    <w:p>
      <w:pPr>
        <w:spacing w:after="40"/>
      </w:pPr>
      <w:r>
        <w:rPr>
          <w:rFonts w:ascii="Calibri" w:cs="Calibri" w:eastAsia="Calibri" w:hAnsi="Calibri"/>
          <w:color w:val="5B6470"/>
          <w:sz w:val="20"/>
          <w:szCs w:val="20"/>
        </w:rPr>
        <w:t xml:space="preserve">Management Services Organization  •  South Florida &amp; Tampa Bay</w:t>
      </w:r>
    </w:p>
    <w:p>
      <w:pPr>
        <w:spacing w:after="40" w:before="220"/>
      </w:pPr>
      <w:r>
        <w:rPr>
          <w:rFonts w:ascii="Calibri" w:cs="Calibri" w:eastAsia="Calibri" w:hAnsi="Calibri"/>
          <w:b/>
          <w:bCs/>
          <w:color w:val="222222"/>
          <w:sz w:val="28"/>
          <w:szCs w:val="28"/>
        </w:rPr>
        <w:t xml:space="preserve">EXECUTIVE EMPLOYMENT AGREEMENT</w:t>
      </w:r>
    </w:p>
    <w:p>
      <w:pPr>
        <w:spacing w:after="260"/>
      </w:pPr>
      <w:r>
        <w:rPr>
          <w:rFonts w:ascii="Calibri" w:cs="Calibri" w:eastAsia="Calibri" w:hAnsi="Calibri"/>
          <w:color w:val="0F766E"/>
          <w:sz w:val="24"/>
          <w:szCs w:val="24"/>
        </w:rPr>
        <w:t xml:space="preserve">Senior Logistics &amp; Mobility Operations Supervisor</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2900"/>
        <w:gridCol w:w="7180"/>
      </w:tblGrid>
      <w:tr>
        <w:tc>
          <w:tcPr>
            <w:tcW w:type="dxa" w:w="2900"/>
            <w:tcMar>
              <w:top w:type="dxa" w:w="90"/>
              <w:left w:type="dxa" w:w="120"/>
              <w:bottom w:type="dxa" w:w="90"/>
              <w:right w:type="dxa" w:w="120"/>
            </w:tcMar>
          </w:tcPr>
          <w:p>
            <w:pPr>
              <w:spacing w:after="0" w:line="252"/>
            </w:pPr>
            <w:r>
              <w:rPr>
                <w:rFonts w:ascii="Calibri" w:cs="Calibri" w:eastAsia="Calibri" w:hAnsi="Calibri"/>
                <w:b/>
                <w:bCs/>
                <w:sz w:val="19"/>
                <w:szCs w:val="19"/>
              </w:rPr>
              <w:t xml:space="preserve">Employer ("Company")</w:t>
            </w:r>
          </w:p>
        </w:tc>
        <w:tc>
          <w:tcPr>
            <w:tcW w:type="dxa" w:w="71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[Medisun employing entity], LLC — a Medisun Health Group entity  •  confirm exact registered name with Sunbiz filing</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Enterprise</w:t>
            </w:r>
          </w:p>
        </w:tc>
        <w:tc>
          <w:tcPr>
            <w:tcW w:type="dxa" w:w="71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Medisun Health Group and its owned, managed, and affiliated entities (the "Enterprise")</w:t>
            </w:r>
          </w:p>
        </w:tc>
      </w:tr>
      <w:tr>
        <w:tc>
          <w:tcPr>
            <w:tcW w:type="dxa" w:w="2900"/>
            <w:tcMar>
              <w:top w:type="dxa" w:w="90"/>
              <w:left w:type="dxa" w:w="120"/>
              <w:bottom w:type="dxa" w:w="90"/>
              <w:right w:type="dxa" w:w="120"/>
            </w:tcMar>
          </w:tcPr>
          <w:p>
            <w:pPr>
              <w:spacing w:after="0" w:line="252"/>
            </w:pPr>
            <w:r>
              <w:rPr>
                <w:rFonts w:ascii="Calibri" w:cs="Calibri" w:eastAsia="Calibri" w:hAnsi="Calibri"/>
                <w:b/>
                <w:bCs/>
                <w:sz w:val="19"/>
                <w:szCs w:val="19"/>
              </w:rPr>
              <w:t xml:space="preserve">Executive</w:t>
            </w:r>
          </w:p>
        </w:tc>
        <w:tc>
          <w:tcPr>
            <w:tcW w:type="dxa" w:w="71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Joni ________________________________</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Effective Date</w:t>
            </w:r>
          </w:p>
        </w:tc>
        <w:tc>
          <w:tcPr>
            <w:tcW w:type="dxa" w:w="71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________________________________</w:t>
            </w:r>
          </w:p>
        </w:tc>
      </w:tr>
      <w:tr>
        <w:tc>
          <w:tcPr>
            <w:tcW w:type="dxa" w:w="2900"/>
            <w:tcMar>
              <w:top w:type="dxa" w:w="90"/>
              <w:left w:type="dxa" w:w="120"/>
              <w:bottom w:type="dxa" w:w="90"/>
              <w:right w:type="dxa" w:w="120"/>
            </w:tcMar>
          </w:tcPr>
          <w:p>
            <w:pPr>
              <w:spacing w:after="0" w:line="252"/>
            </w:pPr>
            <w:r>
              <w:rPr>
                <w:rFonts w:ascii="Calibri" w:cs="Calibri" w:eastAsia="Calibri" w:hAnsi="Calibri"/>
                <w:b/>
                <w:bCs/>
                <w:sz w:val="19"/>
                <w:szCs w:val="19"/>
              </w:rPr>
              <w:t xml:space="preserve">Primary Work Location</w:t>
            </w:r>
          </w:p>
        </w:tc>
        <w:tc>
          <w:tcPr>
            <w:tcW w:type="dxa" w:w="71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South Florida Region — Miami (hub), North Miami, Lauderhill; recurring travel to the Tampa Bay Region</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Service Footprint</w:t>
            </w:r>
          </w:p>
        </w:tc>
        <w:tc>
          <w:tcPr>
            <w:tcW w:type="dxa" w:w="71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Owned Sites: Miami, North Miami, Lauderhill  |  Affiliated Practices: Pinecrest, Tampa, Clearwater</w:t>
            </w:r>
          </w:p>
        </w:tc>
      </w:tr>
      <w:tr>
        <w:tc>
          <w:tcPr>
            <w:tcW w:type="dxa" w:w="2900"/>
            <w:tcMar>
              <w:top w:type="dxa" w:w="90"/>
              <w:left w:type="dxa" w:w="120"/>
              <w:bottom w:type="dxa" w:w="90"/>
              <w:right w:type="dxa" w:w="120"/>
            </w:tcMar>
          </w:tcPr>
          <w:p>
            <w:pPr>
              <w:spacing w:after="0" w:line="252"/>
            </w:pPr>
            <w:r>
              <w:rPr>
                <w:rFonts w:ascii="Calibri" w:cs="Calibri" w:eastAsia="Calibri" w:hAnsi="Calibri"/>
                <w:b/>
                <w:bCs/>
                <w:sz w:val="19"/>
                <w:szCs w:val="19"/>
              </w:rPr>
              <w:t xml:space="preserve">Classification</w:t>
            </w:r>
          </w:p>
        </w:tc>
        <w:tc>
          <w:tcPr>
            <w:tcW w:type="dxa" w:w="71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Executive / supervisory. Exempt status applies only if duties, salary basis, and salary level satisfy applicable law.</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Reports To</w:t>
            </w:r>
          </w:p>
        </w:tc>
        <w:tc>
          <w:tcPr>
            <w:tcW w:type="dxa" w:w="71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Chief Executive Officer / President / Chief Operating Officer or designee</w:t>
            </w:r>
          </w:p>
        </w:tc>
      </w:tr>
    </w:tbl>
    <w:p>
      <w:pPr>
        <w:spacing w:after="200"/>
      </w:pPr>
    </w:p>
    <w:tbl>
      <w:tblPr>
        <w:tblW w:type="dxa" w:w="10080"/>
        <w:tblBorders>
          <w:top w:val="single" w:color="0F766E" w:sz="2"/>
          <w:left w:val="single" w:color="0F766E" w:sz="18"/>
          <w:bottom w:val="single" w:color="0F766E" w:sz="2"/>
          <w:right w:val="single" w:color="0F766E"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0F766E"/>
                <w:sz w:val="19"/>
                <w:szCs w:val="19"/>
              </w:rPr>
              <w:t xml:space="preserve">Scope note — </w:t>
            </w:r>
            <w:r>
              <w:rPr>
                <w:rFonts w:ascii="Calibri" w:cs="Calibri" w:eastAsia="Calibri" w:hAnsi="Calibri"/>
                <w:sz w:val="19"/>
                <w:szCs w:val="19"/>
              </w:rPr>
              <w:t xml:space="preserve">This Agreement separates four distinct operating categories that carry different regulatory, billing, safety, and anti-inducement requirements: (i) ordinary patient transportation to Company-owned sites; (ii) transportation touching Affiliated Practices the Enterprise does not own; (iii) nonprofit / community-benefit social-support transportation; and (iv) pharmacy and medication logistics. A fifth category — licensed EMS / ambulance operations — is addressed on a conditional, future-state basis only.</w:t>
            </w:r>
          </w:p>
        </w:tc>
      </w:tr>
    </w:tbl>
    <w:p>
      <w:pPr>
        <w:spacing w:after="140"/>
      </w:pPr>
    </w:p>
    <w:tbl>
      <w:tblPr>
        <w:tblW w:type="dxa" w:w="10080"/>
        <w:tblBorders>
          <w:top w:val="single" w:color="1F3A5F" w:sz="2"/>
          <w:left w:val="single" w:color="1F3A5F" w:sz="18"/>
          <w:bottom w:val="single" w:color="1F3A5F" w:sz="2"/>
          <w:right w:val="single" w:color="1F3A5F"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1F3A5F"/>
                <w:sz w:val="19"/>
                <w:szCs w:val="19"/>
              </w:rPr>
              <w:t xml:space="preserve">Version — </w:t>
            </w:r>
            <w:r>
              <w:rPr>
                <w:rFonts w:ascii="Calibri" w:cs="Calibri" w:eastAsia="Calibri" w:hAnsi="Calibri"/>
                <w:sz w:val="19"/>
                <w:szCs w:val="19"/>
              </w:rPr>
              <w:t xml:space="preserve">v2.0, revised August 16, 2026. Supersedes the v1.0 draft prepared under the placeholder names "Medicine Health Group" and "Medicine 62, LLC." Florida-focused operational draft; final review by Florida employment counsel and health-care regulatory counsel is required before execution.</w:t>
            </w:r>
          </w:p>
        </w:tc>
      </w:tr>
    </w:tbl>
    <w:p>
      <w:r>
        <w:br w:type="page"/>
      </w:r>
    </w:p>
    <w:p>
      <w:pPr>
        <w:pStyle w:val="Heading1"/>
        <w:pBdr>
          <w:bottom w:val="single" w:color="C9D2DC" w:sz="6" w:space="6"/>
        </w:pBdr>
        <w:spacing w:after="160" w:before="320"/>
      </w:pPr>
      <w:r>
        <w:rPr>
          <w:rFonts w:ascii="Calibri" w:cs="Calibri" w:eastAsia="Calibri" w:hAnsi="Calibri"/>
          <w:b/>
          <w:bCs/>
          <w:color w:val="1F3A5F"/>
          <w:sz w:val="26"/>
          <w:szCs w:val="26"/>
        </w:rPr>
        <w:t xml:space="preserve">Index</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1100"/>
        <w:gridCol w:w="8980"/>
      </w:tblGrid>
      <w:tr>
        <w:trPr>
          <w:tblHeader/>
        </w:trPr>
        <w:tc>
          <w:tcPr>
            <w:tcW w:type="dxa" w:w="11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Section</w:t>
            </w:r>
          </w:p>
        </w:tc>
        <w:tc>
          <w:tcPr>
            <w:tcW w:type="dxa" w:w="89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Subject</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1</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Definitions</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2</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Appointment, Role &amp; Executive Standard</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3</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MSO Boundary: Corporate Practice, Fee-Splitting &amp; Clinical Authority</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4</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At-Will Employment; Term; Compensation</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5</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Multi-Site &amp; Regional Operating Structure</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6</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Chain of Command &amp; Enterprise Coordination</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7</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Core Fleet and Logistics Responsibilities</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8</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Patient Transportation Operations &amp; Transport Eligibility</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9</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Community Paramedicine &amp; Population Health Coordination</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10</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Transitional Care, Chronic Care, RPM/RTM Workflow Support</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11</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Driver Licensing, Vehicle Classification &amp; Motor Carrier Status</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12</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Future EMS / Ambulance / Event Medical Operations</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13</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Fleet Safety, Telematics &amp; Driver Improvement Program</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14</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Preventive Maintenance, Readiness &amp; Asset Lifecycle</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15</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Pharmacy and Medication Delivery Logistics</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16</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Accounting, Cost Centers, P&amp;L and Division Analytics</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17</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Compliance: Fraud &amp; Abuse, Patient Inducement, Privacy, Billing</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18</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Quality Management, Incident Review &amp; Corrective Action</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19</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Information Security, Confidentiality &amp; Records</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20</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Performance Management &amp; Executive KPIs</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21</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Employment Policies, Screening, Conduct &amp; Conflicts</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22</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Intellectual Property; Work Product; Data</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23</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Restrictive Covenants &amp; Non-Solicitation</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24</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Termination; Transition; Return of Property</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25</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Indemnification, Insurance &amp; Risk Allocation</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26</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Dispute Resolution; Governing Law; Miscellaneous</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Schedule 1</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Site &amp; Region Matrix; Transport Radius Matrix</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Exhibit A</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90-Day Executive Priority Plan</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Exhibit B</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Fleet &amp; Driver KPI Scorecard</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Exhibit C</w:t>
            </w:r>
          </w:p>
        </w:tc>
        <w:tc>
          <w:tcPr>
            <w:tcW w:type="dxa" w:w="89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Community Paramedic Operating Instructions</w:t>
            </w:r>
          </w:p>
        </w:tc>
      </w:tr>
      <w:tr>
        <w:tc>
          <w:tcPr>
            <w:tcW w:type="dxa" w:w="1100"/>
            <w:tcMar>
              <w:top w:type="dxa" w:w="90"/>
              <w:left w:type="dxa" w:w="120"/>
              <w:bottom w:type="dxa" w:w="90"/>
              <w:right w:type="dxa" w:w="120"/>
            </w:tcMar>
          </w:tcPr>
          <w:p>
            <w:pPr>
              <w:spacing w:after="0" w:line="252"/>
            </w:pPr>
            <w:r>
              <w:rPr>
                <w:rFonts w:ascii="Calibri" w:cs="Calibri" w:eastAsia="Calibri" w:hAnsi="Calibri"/>
                <w:sz w:val="19"/>
                <w:szCs w:val="19"/>
              </w:rPr>
              <w:t xml:space="preserve">Exhibit D</w:t>
            </w:r>
          </w:p>
        </w:tc>
        <w:tc>
          <w:tcPr>
            <w:tcW w:type="dxa" w:w="8980"/>
            <w:tcMar>
              <w:top w:type="dxa" w:w="90"/>
              <w:left w:type="dxa" w:w="120"/>
              <w:bottom w:type="dxa" w:w="90"/>
              <w:right w:type="dxa" w:w="120"/>
            </w:tcMar>
          </w:tcPr>
          <w:p>
            <w:pPr>
              <w:spacing w:after="0" w:line="252"/>
            </w:pPr>
            <w:r>
              <w:rPr>
                <w:rFonts w:ascii="Calibri" w:cs="Calibri" w:eastAsia="Calibri" w:hAnsi="Calibri"/>
                <w:sz w:val="19"/>
                <w:szCs w:val="19"/>
              </w:rPr>
              <w:t xml:space="preserve">Regulatory Reference Matrix</w:t>
            </w:r>
          </w:p>
        </w:tc>
      </w:tr>
      <w:tr>
        <w:tc>
          <w:tcPr>
            <w:tcW w:type="dxa" w:w="11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Exhibit E</w:t>
            </w:r>
          </w:p>
        </w:tc>
        <w:tc>
          <w:tcPr>
            <w:tcW w:type="dxa" w:w="8980"/>
            <w:shd w:fill="F2F5F8" w:color="auto" w:val="clear"/>
            <w:tcMar>
              <w:top w:type="dxa" w:w="90"/>
              <w:left w:type="dxa" w:w="120"/>
              <w:bottom w:type="dxa" w:w="90"/>
              <w:right w:type="dxa" w:w="120"/>
            </w:tcMar>
          </w:tcPr>
          <w:p>
            <w:r>
              <w:t>Enterprise Asset, Fleet, Facilities &amp; Readiness Program</w:t>
            </w:r>
          </w:p>
        </w:tc>
      </w:tr>
      <w:tr>
        <w:tc>
          <w:tcPr>
            <w:tcW w:type="dxa" w:w="1100"/>
          </w:tcPr>
          <w:p>
            <w:r>
              <w:t>Exhibit F</w:t>
            </w:r>
          </w:p>
        </w:tc>
        <w:tc>
          <w:tcPr>
            <w:tcW w:type="dxa" w:w="8980"/>
          </w:tcPr>
          <w:p>
            <w:r>
              <w:t>Signature Page</w:t>
            </w:r>
          </w:p>
        </w:tc>
      </w:tr>
    </w:tbl>
    <w:p>
      <w:r>
        <w:br w:type="page"/>
      </w:r>
    </w:p>
    <w:p>
      <w:pPr>
        <w:pStyle w:val="Heading1"/>
        <w:pBdr>
          <w:bottom w:val="single" w:color="C9D2DC" w:sz="6" w:space="6"/>
        </w:pBdr>
        <w:spacing w:after="160" w:before="320"/>
      </w:pPr>
      <w:r>
        <w:rPr>
          <w:rFonts w:ascii="Calibri" w:cs="Calibri" w:eastAsia="Calibri" w:hAnsi="Calibri"/>
          <w:b/>
          <w:bCs/>
          <w:color w:val="1F3A5F"/>
          <w:sz w:val="26"/>
          <w:szCs w:val="26"/>
        </w:rPr>
        <w:t xml:space="preserve">Executive Employment Agreement</w:t>
      </w:r>
    </w:p>
    <w:p>
      <w:pPr>
        <w:spacing w:after="140" w:line="264"/>
      </w:pPr>
      <w:r>
        <w:rPr>
          <w:rFonts w:ascii="Calibri" w:cs="Calibri" w:eastAsia="Calibri" w:hAnsi="Calibri"/>
          <w:sz w:val="21"/>
          <w:szCs w:val="21"/>
        </w:rPr>
        <w:t xml:space="preserve">This Executive Employment Agreement (the "</w:t>
      </w:r>
      <w:r>
        <w:rPr>
          <w:rFonts w:ascii="Calibri" w:cs="Calibri" w:eastAsia="Calibri" w:hAnsi="Calibri"/>
          <w:b/>
          <w:bCs/>
          <w:sz w:val="21"/>
          <w:szCs w:val="21"/>
        </w:rPr>
        <w:t xml:space="preserve">Agreement</w:t>
      </w:r>
      <w:r>
        <w:rPr>
          <w:rFonts w:ascii="Calibri" w:cs="Calibri" w:eastAsia="Calibri" w:hAnsi="Calibri"/>
          <w:sz w:val="21"/>
          <w:szCs w:val="21"/>
        </w:rPr>
        <w:t xml:space="preserve">") is entered into as of ________________________ (the "</w:t>
      </w:r>
      <w:r>
        <w:rPr>
          <w:rFonts w:ascii="Calibri" w:cs="Calibri" w:eastAsia="Calibri" w:hAnsi="Calibri"/>
          <w:b/>
          <w:bCs/>
          <w:sz w:val="21"/>
          <w:szCs w:val="21"/>
        </w:rPr>
        <w:t xml:space="preserve">Effective Date</w:t>
      </w:r>
      <w:r>
        <w:rPr>
          <w:rFonts w:ascii="Calibri" w:cs="Calibri" w:eastAsia="Calibri" w:hAnsi="Calibri"/>
          <w:sz w:val="21"/>
          <w:szCs w:val="21"/>
        </w:rPr>
        <w:t xml:space="preserve">") by and between </w:t>
      </w:r>
      <w:r>
        <w:rPr>
          <w:rFonts w:ascii="Calibri" w:cs="Calibri" w:eastAsia="Calibri" w:hAnsi="Calibri"/>
          <w:b/>
          <w:bCs/>
          <w:sz w:val="21"/>
          <w:szCs w:val="21"/>
        </w:rPr>
        <w:t xml:space="preserve">[Medisun employing entity], LLC</w:t>
      </w:r>
      <w:r>
        <w:rPr>
          <w:rFonts w:ascii="Calibri" w:cs="Calibri" w:eastAsia="Calibri" w:hAnsi="Calibri"/>
          <w:sz w:val="21"/>
          <w:szCs w:val="21"/>
        </w:rPr>
        <w:t xml:space="preserve">, a Florida limited liability company operating within the Medisun Health Group enterprise (the "</w:t>
      </w:r>
      <w:r>
        <w:rPr>
          <w:rFonts w:ascii="Calibri" w:cs="Calibri" w:eastAsia="Calibri" w:hAnsi="Calibri"/>
          <w:b/>
          <w:bCs/>
          <w:sz w:val="21"/>
          <w:szCs w:val="21"/>
        </w:rPr>
        <w:t xml:space="preserve">Company</w:t>
      </w:r>
      <w:r>
        <w:rPr>
          <w:rFonts w:ascii="Calibri" w:cs="Calibri" w:eastAsia="Calibri" w:hAnsi="Calibri"/>
          <w:sz w:val="21"/>
          <w:szCs w:val="21"/>
        </w:rPr>
        <w:t xml:space="preserve">"), and </w:t>
      </w:r>
      <w:r>
        <w:rPr>
          <w:rFonts w:ascii="Calibri" w:cs="Calibri" w:eastAsia="Calibri" w:hAnsi="Calibri"/>
          <w:b/>
          <w:bCs/>
          <w:sz w:val="21"/>
          <w:szCs w:val="21"/>
        </w:rPr>
        <w:t xml:space="preserve">Joni ________________________</w:t>
      </w:r>
      <w:r>
        <w:rPr>
          <w:rFonts w:ascii="Calibri" w:cs="Calibri" w:eastAsia="Calibri" w:hAnsi="Calibri"/>
          <w:sz w:val="21"/>
          <w:szCs w:val="21"/>
        </w:rPr>
        <w:t xml:space="preserve"> (the "</w:t>
      </w:r>
      <w:r>
        <w:rPr>
          <w:rFonts w:ascii="Calibri" w:cs="Calibri" w:eastAsia="Calibri" w:hAnsi="Calibri"/>
          <w:b/>
          <w:bCs/>
          <w:sz w:val="21"/>
          <w:szCs w:val="21"/>
        </w:rPr>
        <w:t xml:space="preserve">Executive</w:t>
      </w:r>
      <w:r>
        <w:rPr>
          <w:rFonts w:ascii="Calibri" w:cs="Calibri" w:eastAsia="Calibri" w:hAnsi="Calibri"/>
          <w:sz w:val="21"/>
          <w:szCs w:val="21"/>
        </w:rPr>
        <w:t xml:space="preserve">"). The Company and Executive may each be referred to as a "Party" and collectively as the "Parties."</w:t>
      </w:r>
    </w:p>
    <w:p>
      <w:pPr>
        <w:pStyle w:val="Heading2"/>
        <w:spacing w:after="100" w:before="220"/>
      </w:pPr>
      <w:r>
        <w:rPr>
          <w:rFonts w:ascii="Calibri" w:cs="Calibri" w:eastAsia="Calibri" w:hAnsi="Calibri"/>
          <w:b/>
          <w:bCs/>
          <w:color w:val="0F766E"/>
          <w:sz w:val="22"/>
          <w:szCs w:val="22"/>
        </w:rPr>
        <w:t xml:space="preserve">Recitals</w:t>
      </w:r>
    </w:p>
    <w:p>
      <w:pPr>
        <w:spacing w:after="140" w:line="264"/>
      </w:pPr>
      <w:r>
        <w:rPr>
          <w:rFonts w:ascii="Calibri" w:cs="Calibri" w:eastAsia="Calibri" w:hAnsi="Calibri"/>
          <w:b/>
          <w:bCs/>
          <w:sz w:val="21"/>
          <w:szCs w:val="21"/>
        </w:rPr>
        <w:t xml:space="preserve">A.</w:t>
      </w:r>
      <w:r>
        <w:rPr>
          <w:rFonts w:ascii="Calibri" w:cs="Calibri" w:eastAsia="Calibri" w:hAnsi="Calibri"/>
          <w:sz w:val="21"/>
          <w:szCs w:val="21"/>
        </w:rPr>
        <w:t xml:space="preserve"> Medisun Health Group operates as a management services organization ("</w:t>
      </w:r>
      <w:r>
        <w:rPr>
          <w:rFonts w:ascii="Calibri" w:cs="Calibri" w:eastAsia="Calibri" w:hAnsi="Calibri"/>
          <w:b/>
          <w:bCs/>
          <w:sz w:val="21"/>
          <w:szCs w:val="21"/>
        </w:rPr>
        <w:t xml:space="preserve">MSO</w:t>
      </w:r>
      <w:r>
        <w:rPr>
          <w:rFonts w:ascii="Calibri" w:cs="Calibri" w:eastAsia="Calibri" w:hAnsi="Calibri"/>
          <w:sz w:val="21"/>
          <w:szCs w:val="21"/>
        </w:rPr>
        <w:t xml:space="preserve">") and, directly or through affiliated entities, owns, manages, or supports primary-care, behavioral-health, population-health, transportation, medication-delivery, and related health-care functions under multiple reimbursement models, which may include full-risk arrangements, upside-only and shared-savings arrangements, Medicare Advantage, traditional Medicare, Medicaid and Medicaid managed care, commercial coverage, and fee-for-service programs.</w:t>
      </w:r>
    </w:p>
    <w:p>
      <w:pPr>
        <w:spacing w:after="140" w:line="264"/>
      </w:pPr>
      <w:r>
        <w:rPr>
          <w:rFonts w:ascii="Calibri" w:cs="Calibri" w:eastAsia="Calibri" w:hAnsi="Calibri"/>
          <w:b/>
          <w:bCs/>
          <w:sz w:val="21"/>
          <w:szCs w:val="21"/>
        </w:rPr>
        <w:t xml:space="preserve">B.</w:t>
      </w:r>
      <w:r>
        <w:rPr>
          <w:rFonts w:ascii="Calibri" w:cs="Calibri" w:eastAsia="Calibri" w:hAnsi="Calibri"/>
          <w:sz w:val="21"/>
          <w:szCs w:val="21"/>
        </w:rPr>
        <w:t xml:space="preserve"> The Enterprise operates across two non-contiguous Florida markets: the </w:t>
      </w:r>
      <w:r>
        <w:rPr>
          <w:rFonts w:ascii="Calibri" w:cs="Calibri" w:eastAsia="Calibri" w:hAnsi="Calibri"/>
          <w:b/>
          <w:bCs/>
          <w:sz w:val="21"/>
          <w:szCs w:val="21"/>
        </w:rPr>
        <w:t xml:space="preserve">South Florida Region</w:t>
      </w:r>
      <w:r>
        <w:rPr>
          <w:rFonts w:ascii="Calibri" w:cs="Calibri" w:eastAsia="Calibri" w:hAnsi="Calibri"/>
          <w:sz w:val="21"/>
          <w:szCs w:val="21"/>
        </w:rPr>
        <w:t xml:space="preserve">, comprising Company-owned sites in Miami, North Miami, and Lauderhill, together with the Affiliated Practice in Pinecrest; and the </w:t>
      </w:r>
      <w:r>
        <w:rPr>
          <w:rFonts w:ascii="Calibri" w:cs="Calibri" w:eastAsia="Calibri" w:hAnsi="Calibri"/>
          <w:b/>
          <w:bCs/>
          <w:sz w:val="21"/>
          <w:szCs w:val="21"/>
        </w:rPr>
        <w:t xml:space="preserve">Tampa Bay Region</w:t>
      </w:r>
      <w:r>
        <w:rPr>
          <w:rFonts w:ascii="Calibri" w:cs="Calibri" w:eastAsia="Calibri" w:hAnsi="Calibri"/>
          <w:sz w:val="21"/>
          <w:szCs w:val="21"/>
        </w:rPr>
        <w:t xml:space="preserve">, comprising the Affiliated Practices in Tampa and Clearwater. The two Regions are separated by approximately 270 to 285 road miles and constitute distinct transportation, staffing, insurance, and licensure markets.</w:t>
      </w:r>
    </w:p>
    <w:p>
      <w:pPr>
        <w:spacing w:after="140" w:line="264"/>
      </w:pPr>
      <w:r>
        <w:rPr>
          <w:rFonts w:ascii="Calibri" w:cs="Calibri" w:eastAsia="Calibri" w:hAnsi="Calibri"/>
          <w:b/>
          <w:bCs/>
          <w:sz w:val="21"/>
          <w:szCs w:val="21"/>
        </w:rPr>
        <w:t xml:space="preserve">C.</w:t>
      </w:r>
      <w:r>
        <w:rPr>
          <w:rFonts w:ascii="Calibri" w:cs="Calibri" w:eastAsia="Calibri" w:hAnsi="Calibri"/>
          <w:sz w:val="21"/>
          <w:szCs w:val="21"/>
        </w:rPr>
        <w:t xml:space="preserve"> The Company maintains or may maintain passenger vans, passenger vehicles, medication-delivery vehicles, and community-paramedicine vehicles, and — subject to separate licensure, permits, and medical direction — may in the future operate ambulances or other EMS vehicles.</w:t>
      </w:r>
    </w:p>
    <w:p>
      <w:pPr>
        <w:spacing w:after="140" w:line="264"/>
      </w:pPr>
      <w:r>
        <w:rPr>
          <w:rFonts w:ascii="Calibri" w:cs="Calibri" w:eastAsia="Calibri" w:hAnsi="Calibri"/>
          <w:b/>
          <w:bCs/>
          <w:sz w:val="21"/>
          <w:szCs w:val="21"/>
        </w:rPr>
        <w:t xml:space="preserve">D.</w:t>
      </w:r>
      <w:r>
        <w:rPr>
          <w:rFonts w:ascii="Calibri" w:cs="Calibri" w:eastAsia="Calibri" w:hAnsi="Calibri"/>
          <w:sz w:val="21"/>
          <w:szCs w:val="21"/>
        </w:rPr>
        <w:t xml:space="preserve"> Executive has logistics experience and is engaged to build disciplined, safe, compliant, data-driven mobility operations; to reduce avoidable cost and vehicle wear; to improve patient access; to coordinate driver performance; and to build scalable systems jointly with Accounting, Population Health, Clinical Operations, Pharmacy, Human Resources, Information Technology, and Compliance.</w:t>
      </w:r>
    </w:p>
    <w:p>
      <w:pPr>
        <w:spacing w:after="140" w:line="264"/>
      </w:pPr>
      <w:r>
        <w:rPr>
          <w:rFonts w:ascii="Calibri" w:cs="Calibri" w:eastAsia="Calibri" w:hAnsi="Calibri"/>
          <w:b/>
          <w:bCs/>
          <w:sz w:val="21"/>
          <w:szCs w:val="21"/>
        </w:rPr>
        <w:t xml:space="preserve">E.</w:t>
      </w:r>
      <w:r>
        <w:rPr>
          <w:rFonts w:ascii="Calibri" w:cs="Calibri" w:eastAsia="Calibri" w:hAnsi="Calibri"/>
          <w:sz w:val="21"/>
          <w:szCs w:val="21"/>
        </w:rPr>
        <w:t xml:space="preserve"> The Parties intend that Executive exercise senior supervisory judgment while remaining strictly within non-clinical scope, and that Executive's authority over Affiliated Practices be limited to services expressly delegated under a written management services agreement between the Company and that Affiliated Practice.</w:t>
      </w:r>
    </w:p>
    <w:p>
      <w:pPr>
        <w:spacing w:after="140" w:line="264"/>
      </w:pPr>
      <w:r>
        <w:rPr>
          <w:rFonts w:ascii="Calibri" w:cs="Calibri" w:eastAsia="Calibri" w:hAnsi="Calibri"/>
          <w:b/>
          <w:bCs/>
          <w:sz w:val="21"/>
          <w:szCs w:val="21"/>
        </w:rPr>
        <w:t xml:space="preserve">NOW, THEREFORE</w:t>
      </w:r>
      <w:r>
        <w:rPr>
          <w:rFonts w:ascii="Calibri" w:cs="Calibri" w:eastAsia="Calibri" w:hAnsi="Calibri"/>
          <w:sz w:val="21"/>
          <w:szCs w:val="21"/>
        </w:rPr>
        <w:t xml:space="preserve">, in consideration of the mutual promises below and Executive's employment, the Parties agree as follows.</w:t>
      </w:r>
    </w:p>
    <w:p>
      <w:pPr>
        <w:pStyle w:val="Heading1"/>
        <w:pBdr>
          <w:bottom w:val="single" w:color="C9D2DC" w:sz="6" w:space="6"/>
        </w:pBdr>
        <w:spacing w:after="160" w:before="320"/>
      </w:pPr>
      <w:r>
        <w:rPr>
          <w:rFonts w:ascii="Calibri" w:cs="Calibri" w:eastAsia="Calibri" w:hAnsi="Calibri"/>
          <w:b/>
          <w:bCs/>
          <w:color w:val="1F3A5F"/>
          <w:sz w:val="26"/>
          <w:szCs w:val="26"/>
        </w:rPr>
        <w:t xml:space="preserve">1.  Definitions</w:t>
      </w:r>
    </w:p>
    <w:p>
      <w:pPr>
        <w:spacing w:after="140" w:line="264"/>
      </w:pPr>
      <w:r>
        <w:rPr>
          <w:rFonts w:ascii="Calibri" w:cs="Calibri" w:eastAsia="Calibri" w:hAnsi="Calibri"/>
          <w:sz w:val="21"/>
          <w:szCs w:val="21"/>
        </w:rPr>
        <w:t xml:space="preserve">Capitalized terms used in this Agreement have the meanings set out below. These definitions control over any inconsistent usage elsewhere in the Agreement, in Company policy, or in prior drafts.</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2400"/>
        <w:gridCol w:w="7680"/>
      </w:tblGrid>
      <w:tr>
        <w:trPr>
          <w:tblHeader/>
        </w:trPr>
        <w:tc>
          <w:tcPr>
            <w:tcW w:type="dxa" w:w="24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Term</w:t>
            </w:r>
          </w:p>
        </w:tc>
        <w:tc>
          <w:tcPr>
            <w:tcW w:type="dxa" w:w="76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Meaning</w:t>
            </w:r>
          </w:p>
        </w:tc>
      </w:tr>
      <w:tr>
        <w:tc>
          <w:tcPr>
            <w:tcW w:type="dxa" w:w="2400"/>
            <w:tcMar>
              <w:top w:type="dxa" w:w="90"/>
              <w:left w:type="dxa" w:w="120"/>
              <w:bottom w:type="dxa" w:w="90"/>
              <w:right w:type="dxa" w:w="120"/>
            </w:tcMar>
          </w:tcPr>
          <w:p>
            <w:pPr>
              <w:spacing w:after="0" w:line="252"/>
            </w:pPr>
            <w:r>
              <w:rPr>
                <w:rFonts w:ascii="Calibri" w:cs="Calibri" w:eastAsia="Calibri" w:hAnsi="Calibri"/>
                <w:sz w:val="19"/>
                <w:szCs w:val="19"/>
              </w:rPr>
              <w:t xml:space="preserve">Enterprise</w:t>
            </w:r>
          </w:p>
        </w:tc>
        <w:tc>
          <w:tcPr>
            <w:tcW w:type="dxa" w:w="7680"/>
            <w:tcMar>
              <w:top w:type="dxa" w:w="90"/>
              <w:left w:type="dxa" w:w="120"/>
              <w:bottom w:type="dxa" w:w="90"/>
              <w:right w:type="dxa" w:w="120"/>
            </w:tcMar>
          </w:tcPr>
          <w:p>
            <w:pPr>
              <w:spacing w:after="0" w:line="252"/>
            </w:pPr>
            <w:r>
              <w:rPr>
                <w:rFonts w:ascii="Calibri" w:cs="Calibri" w:eastAsia="Calibri" w:hAnsi="Calibri"/>
                <w:sz w:val="19"/>
                <w:szCs w:val="19"/>
              </w:rPr>
              <w:t xml:space="preserve">Medisun Health Group together with its subsidiaries, owned entities, managed entities, and Affiliated Practices, collectively.</w:t>
            </w:r>
          </w:p>
        </w:tc>
      </w:tr>
      <w:tr>
        <w:tc>
          <w:tcPr>
            <w:tcW w:type="dxa" w:w="24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Company</w:t>
            </w:r>
          </w:p>
        </w:tc>
        <w:tc>
          <w:tcPr>
            <w:tcW w:type="dxa" w:w="76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The employing entity identified on the cover page. Obligations owed to "the Company" run to the employing entity only, except where this Agreement expressly extends them to the Enterprise.</w:t>
            </w:r>
          </w:p>
        </w:tc>
      </w:tr>
      <w:tr>
        <w:tc>
          <w:tcPr>
            <w:tcW w:type="dxa" w:w="2400"/>
            <w:tcMar>
              <w:top w:type="dxa" w:w="90"/>
              <w:left w:type="dxa" w:w="120"/>
              <w:bottom w:type="dxa" w:w="90"/>
              <w:right w:type="dxa" w:w="120"/>
            </w:tcMar>
          </w:tcPr>
          <w:p>
            <w:pPr>
              <w:spacing w:after="0" w:line="252"/>
            </w:pPr>
            <w:r>
              <w:rPr>
                <w:rFonts w:ascii="Calibri" w:cs="Calibri" w:eastAsia="Calibri" w:hAnsi="Calibri"/>
                <w:sz w:val="19"/>
                <w:szCs w:val="19"/>
              </w:rPr>
              <w:t xml:space="preserve">MSO</w:t>
            </w:r>
          </w:p>
        </w:tc>
        <w:tc>
          <w:tcPr>
            <w:tcW w:type="dxa" w:w="7680"/>
            <w:tcMar>
              <w:top w:type="dxa" w:w="90"/>
              <w:left w:type="dxa" w:w="120"/>
              <w:bottom w:type="dxa" w:w="90"/>
              <w:right w:type="dxa" w:w="120"/>
            </w:tcMar>
          </w:tcPr>
          <w:p>
            <w:pPr>
              <w:spacing w:after="0" w:line="252"/>
            </w:pPr>
            <w:r>
              <w:rPr>
                <w:rFonts w:ascii="Calibri" w:cs="Calibri" w:eastAsia="Calibri" w:hAnsi="Calibri"/>
                <w:sz w:val="19"/>
                <w:szCs w:val="19"/>
              </w:rPr>
              <w:t xml:space="preserve">Medisun Health Group in its capacity as a management services organization providing administrative, operational, and non-clinical support services.</w:t>
            </w:r>
          </w:p>
        </w:tc>
      </w:tr>
      <w:tr>
        <w:tc>
          <w:tcPr>
            <w:tcW w:type="dxa" w:w="24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Owned Site</w:t>
            </w:r>
          </w:p>
        </w:tc>
        <w:tc>
          <w:tcPr>
            <w:tcW w:type="dxa" w:w="76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A clinical location owned or wholly controlled by the Enterprise. As of the Effective Date: Miami, North Miami, and Lauderhill. Listed in Schedule 1.</w:t>
            </w:r>
          </w:p>
        </w:tc>
      </w:tr>
      <w:tr>
        <w:tc>
          <w:tcPr>
            <w:tcW w:type="dxa" w:w="2400"/>
            <w:tcMar>
              <w:top w:type="dxa" w:w="90"/>
              <w:left w:type="dxa" w:w="120"/>
              <w:bottom w:type="dxa" w:w="90"/>
              <w:right w:type="dxa" w:w="120"/>
            </w:tcMar>
          </w:tcPr>
          <w:p>
            <w:pPr>
              <w:spacing w:after="0" w:line="252"/>
            </w:pPr>
            <w:r>
              <w:rPr>
                <w:rFonts w:ascii="Calibri" w:cs="Calibri" w:eastAsia="Calibri" w:hAnsi="Calibri"/>
                <w:sz w:val="19"/>
                <w:szCs w:val="19"/>
              </w:rPr>
              <w:t xml:space="preserve">Affiliated Practice</w:t>
            </w:r>
          </w:p>
        </w:tc>
        <w:tc>
          <w:tcPr>
            <w:tcW w:type="dxa" w:w="7680"/>
            <w:tcMar>
              <w:top w:type="dxa" w:w="90"/>
              <w:left w:type="dxa" w:w="120"/>
              <w:bottom w:type="dxa" w:w="90"/>
              <w:right w:type="dxa" w:w="120"/>
            </w:tcMar>
          </w:tcPr>
          <w:p>
            <w:pPr>
              <w:spacing w:after="0" w:line="252"/>
            </w:pPr>
            <w:r>
              <w:rPr>
                <w:rFonts w:ascii="Calibri" w:cs="Calibri" w:eastAsia="Calibri" w:hAnsi="Calibri"/>
                <w:sz w:val="19"/>
                <w:szCs w:val="19"/>
              </w:rPr>
              <w:t xml:space="preserve">An independently owned professional practice or clinical location that receives services from the MSO under a written management services agreement but is not owned or controlled by the Enterprise. As of the Effective Date: Pinecrest, Tampa, and Clearwater. Listed in Schedule 1.</w:t>
            </w:r>
          </w:p>
        </w:tc>
      </w:tr>
      <w:tr>
        <w:tc>
          <w:tcPr>
            <w:tcW w:type="dxa" w:w="24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MSA</w:t>
            </w:r>
          </w:p>
        </w:tc>
        <w:tc>
          <w:tcPr>
            <w:tcW w:type="dxa" w:w="76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A written management services agreement between the MSO (or the Company) and an Affiliated Practice defining the scope, fee, and term of delegated non-clinical services.</w:t>
            </w:r>
          </w:p>
        </w:tc>
      </w:tr>
      <w:tr>
        <w:tc>
          <w:tcPr>
            <w:tcW w:type="dxa" w:w="2400"/>
            <w:tcMar>
              <w:top w:type="dxa" w:w="90"/>
              <w:left w:type="dxa" w:w="120"/>
              <w:bottom w:type="dxa" w:w="90"/>
              <w:right w:type="dxa" w:w="120"/>
            </w:tcMar>
          </w:tcPr>
          <w:p>
            <w:pPr>
              <w:spacing w:after="0" w:line="252"/>
            </w:pPr>
            <w:r>
              <w:rPr>
                <w:rFonts w:ascii="Calibri" w:cs="Calibri" w:eastAsia="Calibri" w:hAnsi="Calibri"/>
                <w:sz w:val="19"/>
                <w:szCs w:val="19"/>
              </w:rPr>
              <w:t xml:space="preserve">Region</w:t>
            </w:r>
          </w:p>
        </w:tc>
        <w:tc>
          <w:tcPr>
            <w:tcW w:type="dxa" w:w="7680"/>
            <w:tcMar>
              <w:top w:type="dxa" w:w="90"/>
              <w:left w:type="dxa" w:w="120"/>
              <w:bottom w:type="dxa" w:w="90"/>
              <w:right w:type="dxa" w:w="120"/>
            </w:tcMar>
          </w:tcPr>
          <w:p>
            <w:pPr>
              <w:spacing w:after="0" w:line="252"/>
            </w:pPr>
            <w:r>
              <w:rPr>
                <w:rFonts w:ascii="Calibri" w:cs="Calibri" w:eastAsia="Calibri" w:hAnsi="Calibri"/>
                <w:sz w:val="19"/>
                <w:szCs w:val="19"/>
              </w:rPr>
              <w:t xml:space="preserve">Either the South Florida Region or the Tampa Bay Region, as defined in Recital B and detailed in Schedule 1.</w:t>
            </w:r>
          </w:p>
        </w:tc>
      </w:tr>
      <w:tr>
        <w:tc>
          <w:tcPr>
            <w:tcW w:type="dxa" w:w="24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Federal Health Care Program</w:t>
            </w:r>
          </w:p>
        </w:tc>
        <w:tc>
          <w:tcPr>
            <w:tcW w:type="dxa" w:w="76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Any plan or program providing health benefits funded directly or indirectly by the United States, including Medicare, Medicare Advantage, Medicaid, and Medicaid managed care, as defined at 42 U.S.C. § 1320a-7b(f).</w:t>
            </w:r>
          </w:p>
        </w:tc>
      </w:tr>
      <w:tr>
        <w:tc>
          <w:tcPr>
            <w:tcW w:type="dxa" w:w="2400"/>
            <w:tcMar>
              <w:top w:type="dxa" w:w="90"/>
              <w:left w:type="dxa" w:w="120"/>
              <w:bottom w:type="dxa" w:w="90"/>
              <w:right w:type="dxa" w:w="120"/>
            </w:tcMar>
          </w:tcPr>
          <w:p>
            <w:pPr>
              <w:spacing w:after="0" w:line="252"/>
            </w:pPr>
            <w:r>
              <w:rPr>
                <w:rFonts w:ascii="Calibri" w:cs="Calibri" w:eastAsia="Calibri" w:hAnsi="Calibri"/>
                <w:sz w:val="19"/>
                <w:szCs w:val="19"/>
              </w:rPr>
              <w:t xml:space="preserve">Local Transportation Safe Harbor</w:t>
            </w:r>
          </w:p>
        </w:tc>
        <w:tc>
          <w:tcPr>
            <w:tcW w:type="dxa" w:w="7680"/>
            <w:tcMar>
              <w:top w:type="dxa" w:w="90"/>
              <w:left w:type="dxa" w:w="120"/>
              <w:bottom w:type="dxa" w:w="90"/>
              <w:right w:type="dxa" w:w="120"/>
            </w:tcMar>
          </w:tcPr>
          <w:p>
            <w:pPr>
              <w:spacing w:after="0" w:line="252"/>
            </w:pPr>
            <w:r>
              <w:rPr>
                <w:rFonts w:ascii="Calibri" w:cs="Calibri" w:eastAsia="Calibri" w:hAnsi="Calibri"/>
                <w:sz w:val="19"/>
                <w:szCs w:val="19"/>
              </w:rPr>
              <w:t xml:space="preserve">The Anti-Kickback Statute safe harbor for free or discounted local transportation at 42 C.F.R. § 1001.952(bb).</w:t>
            </w:r>
          </w:p>
        </w:tc>
      </w:tr>
      <w:tr>
        <w:tc>
          <w:tcPr>
            <w:tcW w:type="dxa" w:w="24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PHI</w:t>
            </w:r>
          </w:p>
        </w:tc>
        <w:tc>
          <w:tcPr>
            <w:tcW w:type="dxa" w:w="76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Protected health information as defined at 45 C.F.R. § 160.103.</w:t>
            </w:r>
          </w:p>
        </w:tc>
      </w:tr>
      <w:tr>
        <w:tc>
          <w:tcPr>
            <w:tcW w:type="dxa" w:w="2400"/>
            <w:tcMar>
              <w:top w:type="dxa" w:w="90"/>
              <w:left w:type="dxa" w:w="120"/>
              <w:bottom w:type="dxa" w:w="90"/>
              <w:right w:type="dxa" w:w="120"/>
            </w:tcMar>
          </w:tcPr>
          <w:p>
            <w:pPr>
              <w:spacing w:after="0" w:line="252"/>
            </w:pPr>
            <w:r>
              <w:rPr>
                <w:rFonts w:ascii="Calibri" w:cs="Calibri" w:eastAsia="Calibri" w:hAnsi="Calibri"/>
                <w:sz w:val="19"/>
                <w:szCs w:val="19"/>
              </w:rPr>
              <w:t xml:space="preserve">Clinical Authority</w:t>
            </w:r>
          </w:p>
        </w:tc>
        <w:tc>
          <w:tcPr>
            <w:tcW w:type="dxa" w:w="7680"/>
            <w:tcMar>
              <w:top w:type="dxa" w:w="90"/>
              <w:left w:type="dxa" w:w="120"/>
              <w:bottom w:type="dxa" w:w="90"/>
              <w:right w:type="dxa" w:w="120"/>
            </w:tcMar>
          </w:tcPr>
          <w:p>
            <w:pPr>
              <w:spacing w:after="0" w:line="252"/>
            </w:pPr>
            <w:r>
              <w:rPr>
                <w:rFonts w:ascii="Calibri" w:cs="Calibri" w:eastAsia="Calibri" w:hAnsi="Calibri"/>
                <w:sz w:val="19"/>
                <w:szCs w:val="19"/>
              </w:rPr>
              <w:t xml:space="preserve">A Florida-licensed physician, advanced practice registered nurse, physician assistant, registered nurse, pharmacist, or EMS medical director acting within their scope and, where applicable, under required medical direction.</w:t>
            </w:r>
          </w:p>
        </w:tc>
      </w:tr>
    </w:tbl>
    <w:p>
      <w:pPr>
        <w:pStyle w:val="Heading1"/>
        <w:pBdr>
          <w:bottom w:val="single" w:color="C9D2DC" w:sz="6" w:space="6"/>
        </w:pBdr>
        <w:spacing w:after="160" w:before="320"/>
      </w:pPr>
      <w:r>
        <w:rPr>
          <w:rFonts w:ascii="Calibri" w:cs="Calibri" w:eastAsia="Calibri" w:hAnsi="Calibri"/>
          <w:b/>
          <w:bCs/>
          <w:color w:val="1F3A5F"/>
          <w:sz w:val="26"/>
          <w:szCs w:val="26"/>
        </w:rPr>
        <w:t xml:space="preserve">2.  Appointment, Role &amp; Executive Standard</w:t>
      </w:r>
    </w:p>
    <w:p>
      <w:pPr>
        <w:spacing w:after="140" w:line="264"/>
      </w:pPr>
      <w:r>
        <w:rPr>
          <w:rFonts w:ascii="Calibri" w:cs="Calibri" w:eastAsia="Calibri" w:hAnsi="Calibri"/>
          <w:b/>
          <w:bCs/>
          <w:sz w:val="21"/>
          <w:szCs w:val="21"/>
        </w:rPr>
        <w:t xml:space="preserve">2.1  Appointment.</w:t>
      </w:r>
      <w:r>
        <w:rPr>
          <w:rFonts w:ascii="Calibri" w:cs="Calibri" w:eastAsia="Calibri" w:hAnsi="Calibri"/>
          <w:sz w:val="21"/>
          <w:szCs w:val="21"/>
        </w:rPr>
        <w:t xml:space="preserve"> The Company appoints Executive as Senior Logistics &amp; Mobility Operations Supervisor, or such substantially equivalent executive title as the Company may designate. Executive accepts the appointment and shall devote the business time, attention, and effort reasonably necessary to perform the role.</w:t>
      </w:r>
    </w:p>
    <w:p>
      <w:pPr>
        <w:spacing w:after="140" w:line="264"/>
      </w:pPr>
      <w:r>
        <w:rPr>
          <w:rFonts w:ascii="Calibri" w:cs="Calibri" w:eastAsia="Calibri" w:hAnsi="Calibri"/>
          <w:b/>
          <w:bCs/>
          <w:sz w:val="21"/>
          <w:szCs w:val="21"/>
        </w:rPr>
        <w:t xml:space="preserve">2.2  Executive standard.</w:t>
      </w:r>
      <w:r>
        <w:rPr>
          <w:rFonts w:ascii="Calibri" w:cs="Calibri" w:eastAsia="Calibri" w:hAnsi="Calibri"/>
          <w:sz w:val="21"/>
          <w:szCs w:val="21"/>
        </w:rPr>
        <w:t xml:space="preserve"> Executive shall act with the care, diligence, judgment, confidentiality, safety awareness, and fiduciary-minded stewardship reasonably expected of a senior operations leader responsible for patients, regulated health-care workflows, motor vehicles, personnel, medication logistics, and Enterprise assets.</w:t>
      </w:r>
    </w:p>
    <w:p>
      <w:pPr>
        <w:spacing w:after="140" w:line="264"/>
      </w:pPr>
      <w:r>
        <w:rPr>
          <w:rFonts w:ascii="Calibri" w:cs="Calibri" w:eastAsia="Calibri" w:hAnsi="Calibri"/>
          <w:b/>
          <w:bCs/>
          <w:sz w:val="21"/>
          <w:szCs w:val="21"/>
        </w:rPr>
        <w:t xml:space="preserve">2.3  Non-clinical boundary.</w:t>
      </w:r>
      <w:r>
        <w:rPr>
          <w:rFonts w:ascii="Calibri" w:cs="Calibri" w:eastAsia="Calibri" w:hAnsi="Calibri"/>
          <w:sz w:val="21"/>
          <w:szCs w:val="21"/>
        </w:rPr>
        <w:t xml:space="preserve"> Executive may coordinate clinical resources but shall not diagnose, triage clinically, prescribe, direct clinical treatment, determine medical necessity, represent that a non-EMS vehicle is an ambulance, or override a Clinical Authority or an emergency-response protocol. Where Executive separately holds a valid clinical credential, any clinical activity must be separately assigned in writing, performed under applicable medical direction and protocol, and documented outside this logistics role.</w:t>
      </w:r>
    </w:p>
    <w:p>
      <w:pPr>
        <w:spacing w:after="140" w:line="264"/>
      </w:pPr>
      <w:r>
        <w:rPr>
          <w:rFonts w:ascii="Calibri" w:cs="Calibri" w:eastAsia="Calibri" w:hAnsi="Calibri"/>
          <w:b/>
          <w:bCs/>
          <w:sz w:val="21"/>
          <w:szCs w:val="21"/>
        </w:rPr>
        <w:t xml:space="preserve">2.4  Authority.</w:t>
      </w:r>
      <w:r>
        <w:rPr>
          <w:rFonts w:ascii="Calibri" w:cs="Calibri" w:eastAsia="Calibri" w:hAnsi="Calibri"/>
          <w:sz w:val="21"/>
          <w:szCs w:val="21"/>
        </w:rPr>
        <w:t xml:space="preserve"> Executive has express authority to place any vehicle out of service for a material safety defect, to suspend a driver from vehicle assignment pending safety or credential review in coordination with Human Resources, and to halt any transport that Executive reasonably believes violates law, policy, or the Local Transportation Safe Harbor. Exercise of this authority in good faith shall not be treated as a performance deficiency.</w:t>
      </w:r>
    </w:p>
    <w:p>
      <w:pPr>
        <w:pStyle w:val="Heading1"/>
        <w:pBdr>
          <w:bottom w:val="single" w:color="C9D2DC" w:sz="6" w:space="6"/>
        </w:pBdr>
        <w:spacing w:after="160" w:before="320"/>
      </w:pPr>
      <w:r>
        <w:rPr>
          <w:rFonts w:ascii="Calibri" w:cs="Calibri" w:eastAsia="Calibri" w:hAnsi="Calibri"/>
          <w:b/>
          <w:bCs/>
          <w:color w:val="1F3A5F"/>
          <w:sz w:val="26"/>
          <w:szCs w:val="26"/>
        </w:rPr>
        <w:t xml:space="preserve">3.  MSO Boundary: Corporate Practice, Fee-Splitting &amp; Clinical Authority</w:t>
      </w:r>
    </w:p>
    <w:p>
      <w:pPr>
        <w:spacing w:after="140" w:line="264"/>
      </w:pPr>
      <w:r>
        <w:rPr>
          <w:rFonts w:ascii="Calibri" w:cs="Calibri" w:eastAsia="Calibri" w:hAnsi="Calibri"/>
          <w:b/>
          <w:bCs/>
          <w:sz w:val="21"/>
          <w:szCs w:val="21"/>
        </w:rPr>
        <w:t xml:space="preserve">3.1  Administrative scope only.</w:t>
      </w:r>
      <w:r>
        <w:rPr>
          <w:rFonts w:ascii="Calibri" w:cs="Calibri" w:eastAsia="Calibri" w:hAnsi="Calibri"/>
          <w:sz w:val="21"/>
          <w:szCs w:val="21"/>
        </w:rPr>
        <w:t xml:space="preserve"> The Company employs Executive to perform administrative, logistical, and operational functions. Neither Executive nor the Company shall exercise control over the professional clinical judgment of any physician or licensed clinician at an Owned Site or an Affiliated Practice, or over the selection of treatment, referral, diagnosis, coding, or medical necessity determinations.</w:t>
      </w:r>
    </w:p>
    <w:p>
      <w:pPr>
        <w:spacing w:after="140" w:line="264"/>
      </w:pPr>
      <w:r>
        <w:rPr>
          <w:rFonts w:ascii="Calibri" w:cs="Calibri" w:eastAsia="Calibri" w:hAnsi="Calibri"/>
          <w:b/>
          <w:bCs/>
          <w:sz w:val="21"/>
          <w:szCs w:val="21"/>
        </w:rPr>
        <w:t xml:space="preserve">3.2  Fee-splitting and patient brokering.</w:t>
      </w:r>
      <w:r>
        <w:rPr>
          <w:rFonts w:ascii="Calibri" w:cs="Calibri" w:eastAsia="Calibri" w:hAnsi="Calibri"/>
          <w:sz w:val="21"/>
          <w:szCs w:val="21"/>
        </w:rPr>
        <w:t xml:space="preserve"> Executive shall not design, approve, recommend, or operate any arrangement under which compensation to the Company, to Executive, to a driver, to a vendor, or to any Affiliated Practice varies with the volume or value of patients transported, patients referred, prescriptions filled, or reimbursable services generated. Executive shall treat Florida's fee-splitting prohibition and the Florida Patient Brokering Act, § 817.505, Florida Statutes, as binding operational constraints, noting that the Patient Brokering Act's statutory exception is tied to compliance with the federal Anti-Kickback Statute and its regulatory safe harbors — so a safe-harbor failure creates both federal and Florida state exposure simultaneously.</w:t>
      </w:r>
    </w:p>
    <w:p>
      <w:pPr>
        <w:spacing w:after="140" w:line="264"/>
      </w:pPr>
      <w:r>
        <w:rPr>
          <w:rFonts w:ascii="Calibri" w:cs="Calibri" w:eastAsia="Calibri" w:hAnsi="Calibri"/>
          <w:b/>
          <w:bCs/>
          <w:sz w:val="21"/>
          <w:szCs w:val="21"/>
        </w:rPr>
        <w:t xml:space="preserve">3.3  Clinic licensure.</w:t>
      </w:r>
      <w:r>
        <w:rPr>
          <w:rFonts w:ascii="Calibri" w:cs="Calibri" w:eastAsia="Calibri" w:hAnsi="Calibri"/>
          <w:sz w:val="21"/>
          <w:szCs w:val="21"/>
        </w:rPr>
        <w:t xml:space="preserve"> Executive shall not commence, relocate, or materially expand operations at any site without written confirmation from Compliance or General Counsel of that site's licensure status under the Florida Health Care Clinic Act, Part X of Chapter 400, Florida Statutes, including whether the site is licensed or claims an exemption, and the identity and duties of the site's medical director or clinic director. Transportation and mobility services shall not be marketed or provided in a manner inconsistent with the site's licensure posture.</w:t>
      </w:r>
    </w:p>
    <w:p>
      <w:pPr>
        <w:spacing w:after="140" w:line="264"/>
      </w:pPr>
      <w:r>
        <w:rPr>
          <w:rFonts w:ascii="Calibri" w:cs="Calibri" w:eastAsia="Calibri" w:hAnsi="Calibri"/>
          <w:b/>
          <w:bCs/>
          <w:sz w:val="21"/>
          <w:szCs w:val="21"/>
        </w:rPr>
        <w:t xml:space="preserve">3.4  Affiliated Practice authority.</w:t>
      </w:r>
      <w:r>
        <w:rPr>
          <w:rFonts w:ascii="Calibri" w:cs="Calibri" w:eastAsia="Calibri" w:hAnsi="Calibri"/>
          <w:sz w:val="21"/>
          <w:szCs w:val="21"/>
        </w:rPr>
        <w:t xml:space="preserve"> Executive has no supervisory authority over any Affiliated Practice, its personnel, or its patients except to the precise extent delegated in a countersigned MSA. Before performing any service for an Affiliated Practice, Executive shall confirm that (a) an MSA is fully executed and current, (b) the service is within its stated scope, and (c) the mechanism for tracking and invoicing the service is in place under Section 16.</w:t>
      </w:r>
    </w:p>
    <w:p>
      <w:pPr>
        <w:spacing w:after="120"/>
      </w:pPr>
    </w:p>
    <w:tbl>
      <w:tblPr>
        <w:tblW w:type="dxa" w:w="10080"/>
        <w:tblBorders>
          <w:top w:val="single" w:color="0F766E" w:sz="2"/>
          <w:left w:val="single" w:color="0F766E" w:sz="18"/>
          <w:bottom w:val="single" w:color="0F766E" w:sz="2"/>
          <w:right w:val="single" w:color="0F766E"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0F766E"/>
                <w:sz w:val="19"/>
                <w:szCs w:val="19"/>
              </w:rPr>
              <w:t xml:space="preserve">Why this section exists — </w:t>
            </w:r>
            <w:r>
              <w:rPr>
                <w:rFonts w:ascii="Calibri" w:cs="Calibri" w:eastAsia="Calibri" w:hAnsi="Calibri"/>
                <w:sz w:val="19"/>
                <w:szCs w:val="19"/>
              </w:rPr>
              <w:t xml:space="preserve">The v1.0 draft treated the enterprise as a single employer with a single patient population. It is not. Three sites are owned and three are not. Every compliance instrument in this Agreement — anti-kickback, patient inducement, cost allocation, non-solicitation, data access, insurance — behaves differently on the far side of that line. Section 3 establishes the line once so the rest of the Agreement can reference it.</w:t>
            </w:r>
          </w:p>
        </w:tc>
      </w:tr>
    </w:tbl>
    <w:p>
      <w:pPr>
        <w:pStyle w:val="Heading1"/>
        <w:pBdr>
          <w:bottom w:val="single" w:color="C9D2DC" w:sz="6" w:space="6"/>
        </w:pBdr>
        <w:spacing w:after="160" w:before="320"/>
      </w:pPr>
      <w:r>
        <w:rPr>
          <w:rFonts w:ascii="Calibri" w:cs="Calibri" w:eastAsia="Calibri" w:hAnsi="Calibri"/>
          <w:b/>
          <w:bCs/>
          <w:color w:val="1F3A5F"/>
          <w:sz w:val="26"/>
          <w:szCs w:val="26"/>
        </w:rPr>
        <w:t xml:space="preserve">4.  At-Will Employment; Term; Compensation</w:t>
      </w:r>
    </w:p>
    <w:p>
      <w:pPr>
        <w:spacing w:after="140" w:line="264"/>
      </w:pPr>
      <w:r>
        <w:rPr>
          <w:rFonts w:ascii="Calibri" w:cs="Calibri" w:eastAsia="Calibri" w:hAnsi="Calibri"/>
          <w:b/>
          <w:bCs/>
          <w:sz w:val="21"/>
          <w:szCs w:val="21"/>
        </w:rPr>
        <w:t xml:space="preserve">4.1  At-will status.</w:t>
      </w:r>
      <w:r>
        <w:rPr>
          <w:rFonts w:ascii="Calibri" w:cs="Calibri" w:eastAsia="Calibri" w:hAnsi="Calibri"/>
          <w:sz w:val="21"/>
          <w:szCs w:val="21"/>
        </w:rPr>
        <w:t xml:space="preserve"> Employment is at will. Either Party may terminate employment at any time, with or without cause and with or without advance notice, subject to applicable law and any earned compensation obligations. No manager or representative may alter at-will status except by a written instrument signed by an authorized officer of the Company.</w:t>
      </w:r>
    </w:p>
    <w:p>
      <w:pPr>
        <w:spacing w:after="140" w:line="264"/>
      </w:pPr>
      <w:r>
        <w:rPr>
          <w:rFonts w:ascii="Calibri" w:cs="Calibri" w:eastAsia="Calibri" w:hAnsi="Calibri"/>
          <w:b/>
          <w:bCs/>
          <w:sz w:val="21"/>
          <w:szCs w:val="21"/>
        </w:rPr>
        <w:t xml:space="preserve">4.2  Base compensation.</w:t>
      </w:r>
      <w:r>
        <w:rPr>
          <w:rFonts w:ascii="Calibri" w:cs="Calibri" w:eastAsia="Calibri" w:hAnsi="Calibri"/>
          <w:sz w:val="21"/>
          <w:szCs w:val="21"/>
        </w:rPr>
        <w:t xml:space="preserve"> Executive shall receive a base salary of $__________________ per year, paid under the Company's regular payroll practices, less lawful deductions and withholdings.</w:t>
      </w:r>
    </w:p>
    <w:p>
      <w:pPr>
        <w:spacing w:after="140" w:line="264"/>
      </w:pPr>
      <w:r>
        <w:rPr>
          <w:rFonts w:ascii="Calibri" w:cs="Calibri" w:eastAsia="Calibri" w:hAnsi="Calibri"/>
          <w:b/>
          <w:bCs/>
          <w:sz w:val="21"/>
          <w:szCs w:val="21"/>
        </w:rPr>
        <w:t xml:space="preserve">4.3  Incentive compensation.</w:t>
      </w:r>
      <w:r>
        <w:rPr>
          <w:rFonts w:ascii="Calibri" w:cs="Calibri" w:eastAsia="Calibri" w:hAnsi="Calibri"/>
          <w:sz w:val="21"/>
          <w:szCs w:val="21"/>
        </w:rPr>
        <w:t xml:space="preserve"> Executive may be eligible for an annual or quarterly performance incentive of up to ________% of base salary or $__________________, if and as adopted in a written incentive plan. </w:t>
      </w:r>
      <w:r>
        <w:rPr>
          <w:rFonts w:ascii="Calibri" w:cs="Calibri" w:eastAsia="Calibri" w:hAnsi="Calibri"/>
          <w:b/>
          <w:bCs/>
          <w:sz w:val="21"/>
          <w:szCs w:val="21"/>
        </w:rPr>
        <w:t xml:space="preserve">No incentive shall be calculated, in whole or in part, on the volume or value of Federal Health Care Program referrals, patient transports, patient enrollments, prescriptions, encounters, risk-adjustment outcomes, or business generated between the Enterprise and any Affiliated Practice.</w:t>
      </w:r>
      <w:r>
        <w:rPr>
          <w:rFonts w:ascii="Calibri" w:cs="Calibri" w:eastAsia="Calibri" w:hAnsi="Calibri"/>
          <w:sz w:val="21"/>
          <w:szCs w:val="21"/>
        </w:rPr>
        <w:t xml:space="preserve"> Permitted incentive metrics are limited to safety, cost, asset utilization, on-time performance, workforce, and compliance measures of the type set out in Section 20 and Exhibit B.</w:t>
      </w:r>
    </w:p>
    <w:p>
      <w:pPr>
        <w:spacing w:after="140" w:line="264"/>
      </w:pPr>
      <w:r>
        <w:rPr>
          <w:rFonts w:ascii="Calibri" w:cs="Calibri" w:eastAsia="Calibri" w:hAnsi="Calibri"/>
          <w:b/>
          <w:bCs/>
          <w:sz w:val="21"/>
          <w:szCs w:val="21"/>
        </w:rPr>
        <w:t xml:space="preserve">4.4  Benefits and expenses.</w:t>
      </w:r>
      <w:r>
        <w:rPr>
          <w:rFonts w:ascii="Calibri" w:cs="Calibri" w:eastAsia="Calibri" w:hAnsi="Calibri"/>
          <w:sz w:val="21"/>
          <w:szCs w:val="21"/>
        </w:rPr>
        <w:t xml:space="preserve"> Executive may participate in benefit plans made available to similarly situated employees, subject to plan terms. Reasonable pre-approved business expenses will be reimbursed under Company policy. Inter-Region travel between the South Florida Region and the Tampa Bay Region shall be pre-approved and reimbursed under the Company travel policy, and shall not be charged to any transportation cost center funded for patient benefit.</w:t>
      </w:r>
    </w:p>
    <w:p>
      <w:pPr>
        <w:spacing w:after="140" w:line="264"/>
      </w:pPr>
      <w:r>
        <w:rPr>
          <w:rFonts w:ascii="Calibri" w:cs="Calibri" w:eastAsia="Calibri" w:hAnsi="Calibri"/>
          <w:b/>
          <w:bCs/>
          <w:sz w:val="21"/>
          <w:szCs w:val="21"/>
        </w:rPr>
        <w:t xml:space="preserve">4.5  Exempt classification.</w:t>
      </w:r>
      <w:r>
        <w:rPr>
          <w:rFonts w:ascii="Calibri" w:cs="Calibri" w:eastAsia="Calibri" w:hAnsi="Calibri"/>
          <w:sz w:val="21"/>
          <w:szCs w:val="21"/>
        </w:rPr>
        <w:t xml:space="preserve"> The Company will classify Executive as exempt only if actual duties, salary basis, and salary level satisfy the Fair Labor Standards Act and applicable Florida law. Title alone does not determine exemption. If Executive's duties become predominantly non-exempt in practice, Executive shall promptly notify Human Resources so classification can be reviewed.</w:t>
      </w:r>
    </w:p>
    <w:p>
      <w:pPr>
        <w:pStyle w:val="Heading1"/>
        <w:pBdr>
          <w:bottom w:val="single" w:color="C9D2DC" w:sz="6" w:space="6"/>
        </w:pBdr>
        <w:spacing w:after="160" w:before="320"/>
      </w:pPr>
      <w:r>
        <w:rPr>
          <w:rFonts w:ascii="Calibri" w:cs="Calibri" w:eastAsia="Calibri" w:hAnsi="Calibri"/>
          <w:b/>
          <w:bCs/>
          <w:color w:val="1F3A5F"/>
          <w:sz w:val="26"/>
          <w:szCs w:val="26"/>
        </w:rPr>
        <w:t xml:space="preserve">5.  Multi-Site &amp; Regional Operating Structure</w:t>
      </w:r>
    </w:p>
    <w:p>
      <w:pPr>
        <w:spacing w:after="140" w:line="264"/>
      </w:pPr>
      <w:r>
        <w:rPr>
          <w:rFonts w:ascii="Calibri" w:cs="Calibri" w:eastAsia="Calibri" w:hAnsi="Calibri"/>
          <w:b/>
          <w:bCs/>
          <w:sz w:val="21"/>
          <w:szCs w:val="21"/>
        </w:rPr>
        <w:t xml:space="preserve">5.1  Site inventory.</w:t>
      </w:r>
      <w:r>
        <w:rPr>
          <w:rFonts w:ascii="Calibri" w:cs="Calibri" w:eastAsia="Calibri" w:hAnsi="Calibri"/>
          <w:sz w:val="21"/>
          <w:szCs w:val="21"/>
        </w:rPr>
        <w:t xml:space="preserve"> Schedule 1 lists every site in the Enterprise, its Region, its ownership relationship, and its transport posture. Executive shall maintain Schedule 1 as a living document and submit any addition, closure, relocation, or change in ownership relationship to Compliance and Accounting within five business days of learning of it.</w:t>
      </w:r>
    </w:p>
    <w:p>
      <w:pPr>
        <w:spacing w:after="140" w:line="264"/>
      </w:pPr>
      <w:r>
        <w:rPr>
          <w:rFonts w:ascii="Calibri" w:cs="Calibri" w:eastAsia="Calibri" w:hAnsi="Calibri"/>
          <w:b/>
          <w:bCs/>
          <w:sz w:val="21"/>
          <w:szCs w:val="21"/>
        </w:rPr>
        <w:t xml:space="preserve">5.2  Two-Region model.</w:t>
      </w:r>
      <w:r>
        <w:rPr>
          <w:rFonts w:ascii="Calibri" w:cs="Calibri" w:eastAsia="Calibri" w:hAnsi="Calibri"/>
          <w:sz w:val="21"/>
          <w:szCs w:val="21"/>
        </w:rPr>
        <w:t xml:space="preserve"> The Enterprise operates two independent transportation markets. Fleet assets, driver rosters, dispatch, telematics groups, cost centers, insurance garaging, and eligibility policies shall be maintained separately by Region. </w:t>
      </w:r>
      <w:r>
        <w:rPr>
          <w:rFonts w:ascii="Calibri" w:cs="Calibri" w:eastAsia="Calibri" w:hAnsi="Calibri"/>
          <w:b/>
          <w:bCs/>
          <w:sz w:val="21"/>
          <w:szCs w:val="21"/>
        </w:rPr>
        <w:t xml:space="preserve">No vehicle, driver, or route shall be shared across Regions on a routine basis, and no patient shall be transported between Regions under any Company-funded transportation program.</w:t>
      </w:r>
    </w:p>
    <w:p>
      <w:pPr>
        <w:spacing w:after="140" w:line="264"/>
      </w:pPr>
      <w:r>
        <w:rPr>
          <w:rFonts w:ascii="Calibri" w:cs="Calibri" w:eastAsia="Calibri" w:hAnsi="Calibri"/>
          <w:b/>
          <w:bCs/>
          <w:sz w:val="21"/>
          <w:szCs w:val="21"/>
        </w:rPr>
        <w:t xml:space="preserve">5.3  Owned Sites.</w:t>
      </w:r>
      <w:r>
        <w:rPr>
          <w:rFonts w:ascii="Calibri" w:cs="Calibri" w:eastAsia="Calibri" w:hAnsi="Calibri"/>
          <w:sz w:val="21"/>
          <w:szCs w:val="21"/>
        </w:rPr>
        <w:t xml:space="preserve"> At Owned Sites, Executive exercises full delegated operational authority over fleet, dispatch, driver management, maintenance, and mobility workflows, subject to this Agreement and Company policy.</w:t>
      </w:r>
    </w:p>
    <w:p>
      <w:pPr>
        <w:spacing w:after="140" w:line="264"/>
      </w:pPr>
      <w:r>
        <w:rPr>
          <w:rFonts w:ascii="Calibri" w:cs="Calibri" w:eastAsia="Calibri" w:hAnsi="Calibri"/>
          <w:b/>
          <w:bCs/>
          <w:sz w:val="21"/>
          <w:szCs w:val="21"/>
        </w:rPr>
        <w:t xml:space="preserve">5.4  Affiliated Practices.</w:t>
      </w:r>
      <w:r>
        <w:rPr>
          <w:rFonts w:ascii="Calibri" w:cs="Calibri" w:eastAsia="Calibri" w:hAnsi="Calibri"/>
          <w:sz w:val="21"/>
          <w:szCs w:val="21"/>
        </w:rPr>
        <w:t xml:space="preserve"> At Affiliated Practices, Executive acts solely as a service provider under the applicable MSA. Executive shall:</w:t>
      </w:r>
    </w:p>
    <w:p>
      <w:pPr>
        <w:pStyle w:val="ListParagraph"/>
        <w:numPr>
          <w:ilvl w:val="0"/>
          <w:numId w:val="2"/>
        </w:numPr>
        <w:spacing w:after="90" w:line="264"/>
      </w:pPr>
      <w:r>
        <w:rPr>
          <w:rFonts w:ascii="Calibri" w:cs="Calibri" w:eastAsia="Calibri" w:hAnsi="Calibri"/>
          <w:sz w:val="21"/>
          <w:szCs w:val="21"/>
        </w:rPr>
        <w:t xml:space="preserve">Confirm a current, countersigned MSA before delivering any service, and confirm the service is within its stated scope;</w:t>
      </w:r>
    </w:p>
    <w:p>
      <w:pPr>
        <w:pStyle w:val="ListParagraph"/>
        <w:numPr>
          <w:ilvl w:val="0"/>
          <w:numId w:val="2"/>
        </w:numPr>
        <w:spacing w:after="90" w:line="264"/>
      </w:pPr>
      <w:r>
        <w:rPr>
          <w:rFonts w:ascii="Calibri" w:cs="Calibri" w:eastAsia="Calibri" w:hAnsi="Calibri"/>
          <w:sz w:val="21"/>
          <w:szCs w:val="21"/>
        </w:rPr>
        <w:t xml:space="preserve">Track time, mileage, vehicle use, driver hours, and direct costs attributable to each Affiliated Practice with sufficient granularity to support a fair-market-value, commercially reasonable, set-in-advance fee that does not vary with referral volume or value;</w:t>
      </w:r>
    </w:p>
    <w:p>
      <w:pPr>
        <w:pStyle w:val="ListParagraph"/>
        <w:numPr>
          <w:ilvl w:val="0"/>
          <w:numId w:val="2"/>
        </w:numPr>
        <w:spacing w:after="90" w:line="264"/>
      </w:pPr>
      <w:r>
        <w:rPr>
          <w:rFonts w:ascii="Calibri" w:cs="Calibri" w:eastAsia="Calibri" w:hAnsi="Calibri"/>
          <w:sz w:val="21"/>
          <w:szCs w:val="21"/>
        </w:rPr>
        <w:t xml:space="preserve">Refrain from directing, disciplining, scheduling, or evaluating any personnel employed by the Affiliated Practice, and escalate performance concerns to the practice's own leadership through the MSA governance channel;</w:t>
      </w:r>
    </w:p>
    <w:p>
      <w:pPr>
        <w:pStyle w:val="ListParagraph"/>
        <w:numPr>
          <w:ilvl w:val="0"/>
          <w:numId w:val="2"/>
        </w:numPr>
        <w:spacing w:after="90" w:line="264"/>
      </w:pPr>
      <w:r>
        <w:rPr>
          <w:rFonts w:ascii="Calibri" w:cs="Calibri" w:eastAsia="Calibri" w:hAnsi="Calibri"/>
          <w:sz w:val="21"/>
          <w:szCs w:val="21"/>
        </w:rPr>
        <w:t xml:space="preserve">Refrain from accessing PHI held by an Affiliated Practice except as permitted by a business associate agreement or other lawful basis, and only to the minimum necessary for the delegated service;</w:t>
      </w:r>
    </w:p>
    <w:p>
      <w:pPr>
        <w:pStyle w:val="ListParagraph"/>
        <w:numPr>
          <w:ilvl w:val="0"/>
          <w:numId w:val="2"/>
        </w:numPr>
        <w:spacing w:after="90" w:line="264"/>
      </w:pPr>
      <w:r>
        <w:rPr>
          <w:rFonts w:ascii="Calibri" w:cs="Calibri" w:eastAsia="Calibri" w:hAnsi="Calibri"/>
          <w:sz w:val="21"/>
          <w:szCs w:val="21"/>
        </w:rPr>
        <w:t xml:space="preserve">Refrain from any activity that would encourage, incentivize, or steer a patient toward or away from an Affiliated Practice.</w:t>
      </w:r>
    </w:p>
    <w:p>
      <w:pPr>
        <w:spacing w:after="140" w:line="264"/>
      </w:pPr>
      <w:r>
        <w:rPr>
          <w:rFonts w:ascii="Calibri" w:cs="Calibri" w:eastAsia="Calibri" w:hAnsi="Calibri"/>
          <w:b/>
          <w:bCs/>
          <w:sz w:val="21"/>
          <w:szCs w:val="21"/>
        </w:rPr>
        <w:t xml:space="preserve">5.5  Cross-entity assignment.</w:t>
      </w:r>
      <w:r>
        <w:rPr>
          <w:rFonts w:ascii="Calibri" w:cs="Calibri" w:eastAsia="Calibri" w:hAnsi="Calibri"/>
          <w:sz w:val="21"/>
          <w:szCs w:val="21"/>
        </w:rPr>
        <w:t xml:space="preserve"> If Executive is asked to perform work for an Enterprise entity other than the Company, that assignment shall be documented in writing, with the employer of record, payroll source, workers' compensation coverage, supervision, and cost allocation stated. Executive shall not perform undocumented work for a second entity, which creates joint-employer, wage-hour, and insurance-coverage exposure for both entities.</w:t>
      </w:r>
    </w:p>
    <w:p>
      <w:pPr>
        <w:spacing w:after="140" w:line="264"/>
      </w:pPr>
      <w:r>
        <w:rPr>
          <w:rFonts w:ascii="Calibri" w:cs="Calibri" w:eastAsia="Calibri" w:hAnsi="Calibri"/>
          <w:b/>
          <w:bCs/>
          <w:sz w:val="21"/>
          <w:szCs w:val="21"/>
        </w:rPr>
        <w:t xml:space="preserve">5.6  Site opening and closure.</w:t>
      </w:r>
      <w:r>
        <w:rPr>
          <w:rFonts w:ascii="Calibri" w:cs="Calibri" w:eastAsia="Calibri" w:hAnsi="Calibri"/>
          <w:sz w:val="21"/>
          <w:szCs w:val="21"/>
        </w:rPr>
        <w:t xml:space="preserve"> For any new site, Executive shall prepare a mobility readiness package addressing vehicle domicile and garaging address, insurance notification, telematics enrollment, driver assignment and credentials, maintenance vendor coverage, transport radius mapping under Section 8, and cost-center setup, and shall not commit fleet resources until Compliance confirms the site's licensure and transportation eligibility posture.</w:t>
      </w:r>
    </w:p>
    <w:p>
      <w:pPr>
        <w:pStyle w:val="Heading1"/>
        <w:pBdr>
          <w:bottom w:val="single" w:color="C9D2DC" w:sz="6" w:space="6"/>
        </w:pBdr>
        <w:spacing w:after="160" w:before="320"/>
      </w:pPr>
      <w:r>
        <w:rPr>
          <w:rFonts w:ascii="Calibri" w:cs="Calibri" w:eastAsia="Calibri" w:hAnsi="Calibri"/>
          <w:b/>
          <w:bCs/>
          <w:color w:val="1F3A5F"/>
          <w:sz w:val="26"/>
          <w:szCs w:val="26"/>
        </w:rPr>
        <w:t xml:space="preserve">6.  Chain of Command &amp; Enterprise Coordination</w:t>
      </w:r>
    </w:p>
    <w:p>
      <w:pPr>
        <w:spacing w:after="140" w:line="264"/>
      </w:pPr>
      <w:r>
        <w:rPr>
          <w:rFonts w:ascii="Calibri" w:cs="Calibri" w:eastAsia="Calibri" w:hAnsi="Calibri"/>
          <w:b/>
          <w:bCs/>
          <w:sz w:val="21"/>
          <w:szCs w:val="21"/>
        </w:rPr>
        <w:t xml:space="preserve">6.1  Reporting.</w:t>
      </w:r>
      <w:r>
        <w:rPr>
          <w:rFonts w:ascii="Calibri" w:cs="Calibri" w:eastAsia="Calibri" w:hAnsi="Calibri"/>
          <w:sz w:val="21"/>
          <w:szCs w:val="21"/>
        </w:rPr>
        <w:t xml:space="preserve"> Executive reports to the Chief Executive Officer, President, Chief Operating Officer, or designee, and works cross-functionally with Population Health, the community paramedic function, clinical leadership, Pharmacy, Accounting and Bookkeeping, Compliance, Human Resources, and Information Technology.</w:t>
      </w:r>
    </w:p>
    <w:p>
      <w:pPr>
        <w:spacing w:after="140" w:line="264"/>
      </w:pPr>
      <w:r>
        <w:rPr>
          <w:rFonts w:ascii="Calibri" w:cs="Calibri" w:eastAsia="Calibri" w:hAnsi="Calibri"/>
          <w:b/>
          <w:bCs/>
          <w:sz w:val="21"/>
          <w:szCs w:val="21"/>
        </w:rPr>
        <w:t xml:space="preserve">6.2  Daily operating huddle.</w:t>
      </w:r>
      <w:r>
        <w:rPr>
          <w:rFonts w:ascii="Calibri" w:cs="Calibri" w:eastAsia="Calibri" w:hAnsi="Calibri"/>
          <w:sz w:val="21"/>
          <w:szCs w:val="21"/>
        </w:rPr>
        <w:t xml:space="preserve"> Executive shall establish a concise daily mobility huddle or digital dispatch review, conducted separately for each Region, covering high-priority patients, transitional-care discharge cases, specialty appointments, medication deliveries, vehicle availability, driver call-outs, safety exceptions, and maintenance holds.</w:t>
      </w:r>
    </w:p>
    <w:p>
      <w:pPr>
        <w:spacing w:after="140" w:line="264"/>
      </w:pPr>
      <w:r>
        <w:rPr>
          <w:rFonts w:ascii="Calibri" w:cs="Calibri" w:eastAsia="Calibri" w:hAnsi="Calibri"/>
          <w:b/>
          <w:bCs/>
          <w:sz w:val="21"/>
          <w:szCs w:val="21"/>
        </w:rPr>
        <w:t xml:space="preserve">6.3  Escalation.</w:t>
      </w:r>
      <w:r>
        <w:rPr>
          <w:rFonts w:ascii="Calibri" w:cs="Calibri" w:eastAsia="Calibri" w:hAnsi="Calibri"/>
          <w:sz w:val="21"/>
          <w:szCs w:val="21"/>
        </w:rPr>
        <w:t xml:space="preserve"> Clinical urgency goes to a Clinical Authority or 911 as appropriate. Suspected compliance issues go to Compliance or General Counsel. Vehicle safety defects cause immediate removal from service until cleared. Material accidents, injuries, PHI exposures, and law-enforcement contacts are escalated immediately under incident policy. Any request to transport a patient outside approved eligibility criteria is escalated to Compliance before the trip, not after.</w:t>
      </w:r>
    </w:p>
    <w:p>
      <w:pPr>
        <w:spacing w:after="140" w:line="264"/>
      </w:pPr>
      <w:r>
        <w:rPr>
          <w:rFonts w:ascii="Calibri" w:cs="Calibri" w:eastAsia="Calibri" w:hAnsi="Calibri"/>
          <w:b/>
          <w:bCs/>
          <w:sz w:val="21"/>
          <w:szCs w:val="21"/>
        </w:rPr>
        <w:t xml:space="preserve">6.4  Weekly and monthly cadence.</w:t>
      </w:r>
      <w:r>
        <w:rPr>
          <w:rFonts w:ascii="Calibri" w:cs="Calibri" w:eastAsia="Calibri" w:hAnsi="Calibri"/>
          <w:sz w:val="21"/>
          <w:szCs w:val="21"/>
        </w:rPr>
        <w:t xml:space="preserve"> Executive shall hold a weekly access review with Population Health for each Region and deliver a monthly operating review to executive leadership consolidating both Regions with per-site detail.</w:t>
      </w:r>
    </w:p>
    <w:p>
      <w:pPr>
        <w:pStyle w:val="Heading1"/>
        <w:pBdr>
          <w:bottom w:val="single" w:color="C9D2DC" w:sz="6" w:space="6"/>
        </w:pBdr>
        <w:spacing w:after="160" w:before="320"/>
      </w:pPr>
      <w:r>
        <w:rPr>
          <w:rFonts w:ascii="Calibri" w:cs="Calibri" w:eastAsia="Calibri" w:hAnsi="Calibri"/>
          <w:b/>
          <w:bCs/>
          <w:color w:val="1F3A5F"/>
          <w:sz w:val="26"/>
          <w:szCs w:val="26"/>
        </w:rPr>
        <w:t xml:space="preserve">7.  Core Fleet and Logistics Responsibilities</w:t>
      </w:r>
    </w:p>
    <w:p>
      <w:pPr>
        <w:pStyle w:val="ListParagraph"/>
        <w:numPr>
          <w:ilvl w:val="0"/>
          <w:numId w:val="2"/>
        </w:numPr>
        <w:spacing w:after="90" w:line="264"/>
      </w:pPr>
      <w:r>
        <w:rPr>
          <w:rFonts w:ascii="Calibri" w:cs="Calibri" w:eastAsia="Calibri" w:hAnsi="Calibri"/>
          <w:sz w:val="21"/>
          <w:szCs w:val="21"/>
        </w:rPr>
        <w:t xml:space="preserve">Own the master fleet roster, VIN and asset file, title and lease status, </w:t>
      </w:r>
      <w:r>
        <w:rPr>
          <w:rFonts w:ascii="Calibri" w:cs="Calibri" w:eastAsia="Calibri" w:hAnsi="Calibri"/>
          <w:b/>
          <w:bCs/>
          <w:sz w:val="21"/>
          <w:szCs w:val="21"/>
        </w:rPr>
        <w:t xml:space="preserve">garaging address by Region</w:t>
      </w:r>
      <w:r>
        <w:rPr>
          <w:rFonts w:ascii="Calibri" w:cs="Calibri" w:eastAsia="Calibri" w:hAnsi="Calibri"/>
          <w:sz w:val="21"/>
          <w:szCs w:val="21"/>
        </w:rPr>
        <w:t xml:space="preserve">, registration, insurance verification, assignment, mileage, fuel, maintenance, inspection, and disposition records.</w:t>
      </w:r>
    </w:p>
    <w:p>
      <w:pPr>
        <w:pStyle w:val="ListParagraph"/>
        <w:numPr>
          <w:ilvl w:val="0"/>
          <w:numId w:val="2"/>
        </w:numPr>
        <w:spacing w:after="90" w:line="264"/>
      </w:pPr>
      <w:r>
        <w:rPr>
          <w:rFonts w:ascii="Calibri" w:cs="Calibri" w:eastAsia="Calibri" w:hAnsi="Calibri"/>
          <w:sz w:val="21"/>
          <w:szCs w:val="21"/>
        </w:rPr>
        <w:t xml:space="preserve">Build routing and dispatch standards designed to reduce deadhead miles, duplicate trips, idling, overtime, avoidable fuel use, and unnecessary vehicle starts, while preserving patient access and clinician-assigned clinical priority.</w:t>
      </w:r>
    </w:p>
    <w:p>
      <w:pPr>
        <w:pStyle w:val="ListParagraph"/>
        <w:numPr>
          <w:ilvl w:val="0"/>
          <w:numId w:val="2"/>
        </w:numPr>
        <w:spacing w:after="90" w:line="264"/>
      </w:pPr>
      <w:r>
        <w:rPr>
          <w:rFonts w:ascii="Calibri" w:cs="Calibri" w:eastAsia="Calibri" w:hAnsi="Calibri"/>
          <w:sz w:val="21"/>
          <w:szCs w:val="21"/>
        </w:rPr>
        <w:t xml:space="preserve">Maintain driver rosters, credential and endorsement expirations, motor vehicle record review cadence, training records, incident history, coaching plans, and vehicle assignments, segregated by Region and by employing entity.</w:t>
      </w:r>
    </w:p>
    <w:p>
      <w:pPr>
        <w:pStyle w:val="ListParagraph"/>
        <w:numPr>
          <w:ilvl w:val="0"/>
          <w:numId w:val="2"/>
        </w:numPr>
        <w:spacing w:after="90" w:line="264"/>
      </w:pPr>
      <w:r>
        <w:rPr>
          <w:rFonts w:ascii="Calibri" w:cs="Calibri" w:eastAsia="Calibri" w:hAnsi="Calibri"/>
          <w:sz w:val="21"/>
          <w:szCs w:val="21"/>
        </w:rPr>
        <w:t xml:space="preserve">Create a centralized request and approval workflow for patient rides, specialty appointments, medication pickup and delivery, community-paramedic deployment, event coverage, and any future EMS resource, with an eligibility check gate that cannot be bypassed by dispatch staff.</w:t>
      </w:r>
    </w:p>
    <w:p>
      <w:pPr>
        <w:pStyle w:val="ListParagraph"/>
        <w:numPr>
          <w:ilvl w:val="0"/>
          <w:numId w:val="2"/>
        </w:numPr>
        <w:spacing w:after="90" w:line="264"/>
      </w:pPr>
      <w:r>
        <w:rPr>
          <w:rFonts w:ascii="Calibri" w:cs="Calibri" w:eastAsia="Calibri" w:hAnsi="Calibri"/>
          <w:sz w:val="21"/>
          <w:szCs w:val="21"/>
        </w:rPr>
        <w:t xml:space="preserve">Coordinate monthly preventive-maintenance planning and forecast downtime so each Region independently retains adequate reserve capacity.</w:t>
      </w:r>
    </w:p>
    <w:p>
      <w:pPr>
        <w:pStyle w:val="ListParagraph"/>
        <w:numPr>
          <w:ilvl w:val="0"/>
          <w:numId w:val="2"/>
        </w:numPr>
        <w:spacing w:after="90" w:line="264"/>
      </w:pPr>
      <w:r>
        <w:rPr>
          <w:rFonts w:ascii="Calibri" w:cs="Calibri" w:eastAsia="Calibri" w:hAnsi="Calibri"/>
          <w:sz w:val="21"/>
          <w:szCs w:val="21"/>
        </w:rPr>
        <w:t xml:space="preserve">Maintain vendor relationships for fuel, tires, repairs, towing, detailing, telematics, cameras, insurance claims, and roadside support in both Regions, avoiding single-market vendor dependency.</w:t>
      </w:r>
    </w:p>
    <w:p>
      <w:pPr>
        <w:pStyle w:val="ListParagraph"/>
        <w:numPr>
          <w:ilvl w:val="0"/>
          <w:numId w:val="2"/>
        </w:numPr>
        <w:spacing w:after="90" w:line="264"/>
      </w:pPr>
      <w:r>
        <w:rPr>
          <w:rFonts w:ascii="Calibri" w:cs="Calibri" w:eastAsia="Calibri" w:hAnsi="Calibri"/>
          <w:sz w:val="21"/>
          <w:szCs w:val="21"/>
        </w:rPr>
        <w:t xml:space="preserve">Produce weekly exception reports and monthly executive dashboards with actionable recommendations, not merely raw data, broken out by Region, by site, and by Owned Site versus Affiliated Practice.</w:t>
      </w:r>
    </w:p>
    <w:p>
      <w:pPr>
        <w:pStyle w:val="Heading1"/>
        <w:pBdr>
          <w:bottom w:val="single" w:color="C9D2DC" w:sz="6" w:space="6"/>
        </w:pBdr>
        <w:spacing w:after="160" w:before="320"/>
      </w:pPr>
      <w:r>
        <w:rPr>
          <w:rFonts w:ascii="Calibri" w:cs="Calibri" w:eastAsia="Calibri" w:hAnsi="Calibri"/>
          <w:b/>
          <w:bCs/>
          <w:color w:val="1F3A5F"/>
          <w:sz w:val="26"/>
          <w:szCs w:val="26"/>
        </w:rPr>
        <w:t xml:space="preserve">8.  Patient Transportation Operations &amp; Transport Eligibility</w:t>
      </w:r>
    </w:p>
    <w:p>
      <w:pPr>
        <w:spacing w:after="140" w:line="264"/>
      </w:pPr>
      <w:r>
        <w:rPr>
          <w:rFonts w:ascii="Calibri" w:cs="Calibri" w:eastAsia="Calibri" w:hAnsi="Calibri"/>
          <w:b/>
          <w:bCs/>
          <w:sz w:val="21"/>
          <w:szCs w:val="21"/>
        </w:rPr>
        <w:t xml:space="preserve">8.1  Written eligibility policy.</w:t>
      </w:r>
      <w:r>
        <w:rPr>
          <w:rFonts w:ascii="Calibri" w:cs="Calibri" w:eastAsia="Calibri" w:hAnsi="Calibri"/>
          <w:sz w:val="21"/>
          <w:szCs w:val="21"/>
        </w:rPr>
        <w:t xml:space="preserve"> All Company-funded free or discounted transportation shall be provided only under a Compliance-approved written eligibility policy, applied uniformly, and determined in a manner unrelated to the past or anticipated volume or value of Federal Health Care Program business. Executive shall not authorize a trip outside that policy on a discretionary or one-off basis.</w:t>
      </w:r>
    </w:p>
    <w:p>
      <w:pPr>
        <w:spacing w:after="140" w:line="264"/>
      </w:pPr>
      <w:r>
        <w:rPr>
          <w:rFonts w:ascii="Calibri" w:cs="Calibri" w:eastAsia="Calibri" w:hAnsi="Calibri"/>
          <w:b/>
          <w:bCs/>
          <w:sz w:val="21"/>
          <w:szCs w:val="21"/>
        </w:rPr>
        <w:t xml:space="preserve">8.2  Safe harbor conditions.</w:t>
      </w:r>
      <w:r>
        <w:rPr>
          <w:rFonts w:ascii="Calibri" w:cs="Calibri" w:eastAsia="Calibri" w:hAnsi="Calibri"/>
          <w:sz w:val="21"/>
          <w:szCs w:val="21"/>
        </w:rPr>
        <w:t xml:space="preserve"> Where the Company intends transportation to fall within the Local Transportation Safe Harbor, Executive shall operationalize each condition of 42 C.F.R. § 1001.952(bb) as a dispatch control, including the following:</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3000"/>
        <w:gridCol w:w="7080"/>
      </w:tblGrid>
      <w:tr>
        <w:trPr>
          <w:tblHeader/>
        </w:trPr>
        <w:tc>
          <w:tcPr>
            <w:tcW w:type="dxa" w:w="30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Condition</w:t>
            </w:r>
          </w:p>
        </w:tc>
        <w:tc>
          <w:tcPr>
            <w:tcW w:type="dxa" w:w="70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Operational control Executive must build</w:t>
            </w:r>
          </w:p>
        </w:tc>
      </w:tr>
      <w:tr>
        <w:tc>
          <w:tcPr>
            <w:tcW w:type="dxa" w:w="3000"/>
            <w:tcMar>
              <w:top w:type="dxa" w:w="90"/>
              <w:left w:type="dxa" w:w="120"/>
              <w:bottom w:type="dxa" w:w="90"/>
              <w:right w:type="dxa" w:w="120"/>
            </w:tcMar>
          </w:tcPr>
          <w:p>
            <w:pPr>
              <w:spacing w:after="0" w:line="252"/>
            </w:pPr>
            <w:r>
              <w:rPr>
                <w:rFonts w:ascii="Calibri" w:cs="Calibri" w:eastAsia="Calibri" w:hAnsi="Calibri"/>
                <w:sz w:val="19"/>
                <w:szCs w:val="19"/>
              </w:rPr>
              <w:t xml:space="preserve">Established patient</w:t>
            </w:r>
          </w:p>
        </w:tc>
        <w:tc>
          <w:tcPr>
            <w:tcW w:type="dxa" w:w="7080"/>
            <w:tcMar>
              <w:top w:type="dxa" w:w="90"/>
              <w:left w:type="dxa" w:w="120"/>
              <w:bottom w:type="dxa" w:w="90"/>
              <w:right w:type="dxa" w:w="120"/>
            </w:tcMar>
          </w:tcPr>
          <w:p>
            <w:pPr>
              <w:spacing w:after="0" w:line="252"/>
            </w:pPr>
            <w:r>
              <w:rPr>
                <w:rFonts w:ascii="Calibri" w:cs="Calibri" w:eastAsia="Calibri" w:hAnsi="Calibri"/>
                <w:sz w:val="19"/>
                <w:szCs w:val="19"/>
              </w:rPr>
              <w:t xml:space="preserve">Dispatch system hard-blocks free transportation for a person who is not already an established patient of the destination provider. Prospective-patient rides are not eligible.</w:t>
            </w:r>
          </w:p>
        </w:tc>
      </w:tr>
      <w:tr>
        <w:tc>
          <w:tcPr>
            <w:tcW w:type="dxa" w:w="30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25-mile limit (75 rural)</w:t>
            </w:r>
          </w:p>
        </w:tc>
        <w:tc>
          <w:tcPr>
            <w:tcW w:type="dxa" w:w="70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Radius validation at booking, measured from the health care provider location. See Schedule 1 radius matrix. Exceeding the limit requires Compliance sign-off and a documented alternative basis.</w:t>
            </w:r>
          </w:p>
        </w:tc>
      </w:tr>
      <w:tr>
        <w:tc>
          <w:tcPr>
            <w:tcW w:type="dxa" w:w="3000"/>
            <w:tcMar>
              <w:top w:type="dxa" w:w="90"/>
              <w:left w:type="dxa" w:w="120"/>
              <w:bottom w:type="dxa" w:w="90"/>
              <w:right w:type="dxa" w:w="120"/>
            </w:tcMar>
          </w:tcPr>
          <w:p>
            <w:pPr>
              <w:spacing w:after="0" w:line="252"/>
            </w:pPr>
            <w:r>
              <w:rPr>
                <w:rFonts w:ascii="Calibri" w:cs="Calibri" w:eastAsia="Calibri" w:hAnsi="Calibri"/>
                <w:sz w:val="19"/>
                <w:szCs w:val="19"/>
              </w:rPr>
              <w:t xml:space="preserve">Medically necessary purpose</w:t>
            </w:r>
          </w:p>
        </w:tc>
        <w:tc>
          <w:tcPr>
            <w:tcW w:type="dxa" w:w="7080"/>
            <w:tcMar>
              <w:top w:type="dxa" w:w="90"/>
              <w:left w:type="dxa" w:w="120"/>
              <w:bottom w:type="dxa" w:w="90"/>
              <w:right w:type="dxa" w:w="120"/>
            </w:tcMar>
          </w:tcPr>
          <w:p>
            <w:pPr>
              <w:spacing w:after="0" w:line="252"/>
            </w:pPr>
            <w:r>
              <w:rPr>
                <w:rFonts w:ascii="Calibri" w:cs="Calibri" w:eastAsia="Calibri" w:hAnsi="Calibri"/>
                <w:sz w:val="19"/>
                <w:szCs w:val="19"/>
              </w:rPr>
              <w:t xml:space="preserve">Trip reason code required at booking and restricted to obtaining medically necessary items or services. Social, retail, and banking destinations are routed to the separate program under Section 8.5.</w:t>
            </w:r>
          </w:p>
        </w:tc>
      </w:tr>
      <w:tr>
        <w:tc>
          <w:tcPr>
            <w:tcW w:type="dxa" w:w="30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No air, luxury, or ambulance-level</w:t>
            </w:r>
          </w:p>
        </w:tc>
        <w:tc>
          <w:tcPr>
            <w:tcW w:type="dxa" w:w="70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Vehicle class validation at dispatch. A non-EMS vehicle is never dispatched or described as an ambulance.</w:t>
            </w:r>
          </w:p>
        </w:tc>
      </w:tr>
      <w:tr>
        <w:tc>
          <w:tcPr>
            <w:tcW w:type="dxa" w:w="3000"/>
            <w:tcMar>
              <w:top w:type="dxa" w:w="90"/>
              <w:left w:type="dxa" w:w="120"/>
              <w:bottom w:type="dxa" w:w="90"/>
              <w:right w:type="dxa" w:w="120"/>
            </w:tcMar>
          </w:tcPr>
          <w:p>
            <w:pPr>
              <w:spacing w:after="0" w:line="252"/>
            </w:pPr>
            <w:r>
              <w:rPr>
                <w:rFonts w:ascii="Calibri" w:cs="Calibri" w:eastAsia="Calibri" w:hAnsi="Calibri"/>
                <w:sz w:val="19"/>
                <w:szCs w:val="19"/>
              </w:rPr>
              <w:t xml:space="preserve">No marketing during transport</w:t>
            </w:r>
          </w:p>
        </w:tc>
        <w:tc>
          <w:tcPr>
            <w:tcW w:type="dxa" w:w="7080"/>
            <w:tcMar>
              <w:top w:type="dxa" w:w="90"/>
              <w:left w:type="dxa" w:w="120"/>
              <w:bottom w:type="dxa" w:w="90"/>
              <w:right w:type="dxa" w:w="120"/>
            </w:tcMar>
          </w:tcPr>
          <w:p>
            <w:pPr>
              <w:spacing w:after="0" w:line="252"/>
            </w:pPr>
            <w:r>
              <w:rPr>
                <w:rFonts w:ascii="Calibri" w:cs="Calibri" w:eastAsia="Calibri" w:hAnsi="Calibri"/>
                <w:sz w:val="19"/>
                <w:szCs w:val="19"/>
              </w:rPr>
              <w:t xml:space="preserve">Approved driver scripts only. No promotion of services, plans, coverage, or providers en route. Marketing materials are not carried in patient vehicles.</w:t>
            </w:r>
          </w:p>
        </w:tc>
      </w:tr>
      <w:tr>
        <w:tc>
          <w:tcPr>
            <w:tcW w:type="dxa" w:w="30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No public advertising of the benefit</w:t>
            </w:r>
          </w:p>
        </w:tc>
        <w:tc>
          <w:tcPr>
            <w:tcW w:type="dxa" w:w="70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Transportation availability is not advertised publicly or used as an enrollment or acquisition inducement.</w:t>
            </w:r>
          </w:p>
        </w:tc>
      </w:tr>
      <w:tr>
        <w:tc>
          <w:tcPr>
            <w:tcW w:type="dxa" w:w="3000"/>
            <w:tcMar>
              <w:top w:type="dxa" w:w="90"/>
              <w:left w:type="dxa" w:w="120"/>
              <w:bottom w:type="dxa" w:w="90"/>
              <w:right w:type="dxa" w:w="120"/>
            </w:tcMar>
          </w:tcPr>
          <w:p>
            <w:pPr>
              <w:spacing w:after="0" w:line="252"/>
            </w:pPr>
            <w:r>
              <w:rPr>
                <w:rFonts w:ascii="Calibri" w:cs="Calibri" w:eastAsia="Calibri" w:hAnsi="Calibri"/>
                <w:sz w:val="19"/>
                <w:szCs w:val="19"/>
              </w:rPr>
              <w:t xml:space="preserve">No per-beneficiary driver pay</w:t>
            </w:r>
          </w:p>
        </w:tc>
        <w:tc>
          <w:tcPr>
            <w:tcW w:type="dxa" w:w="7080"/>
            <w:tcMar>
              <w:top w:type="dxa" w:w="90"/>
              <w:left w:type="dxa" w:w="120"/>
              <w:bottom w:type="dxa" w:w="90"/>
              <w:right w:type="dxa" w:w="120"/>
            </w:tcMar>
          </w:tcPr>
          <w:p>
            <w:pPr>
              <w:spacing w:after="0" w:line="252"/>
            </w:pPr>
            <w:r>
              <w:rPr>
                <w:rFonts w:ascii="Calibri" w:cs="Calibri" w:eastAsia="Calibri" w:hAnsi="Calibri"/>
                <w:sz w:val="19"/>
                <w:szCs w:val="19"/>
              </w:rPr>
              <w:t xml:space="preserve">Driver compensation is hourly or salaried. No per-trip, per-patient, or per-mile-transported incentive component.</w:t>
            </w:r>
          </w:p>
        </w:tc>
      </w:tr>
      <w:tr>
        <w:tc>
          <w:tcPr>
            <w:tcW w:type="dxa" w:w="30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Cost borne by the entity</w:t>
            </w:r>
          </w:p>
        </w:tc>
        <w:tc>
          <w:tcPr>
            <w:tcW w:type="dxa" w:w="70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Transportation cost is not shifted to Medicare, Medicaid, another payer, or the patient, whether directly or through cost report, claim, or fee allocation.</w:t>
            </w:r>
          </w:p>
        </w:tc>
      </w:tr>
    </w:tbl>
    <w:p>
      <w:pPr>
        <w:spacing w:after="120"/>
      </w:pPr>
    </w:p>
    <w:tbl>
      <w:tblPr>
        <w:tblW w:type="dxa" w:w="10080"/>
        <w:tblBorders>
          <w:top w:val="single" w:color="B45309" w:sz="2"/>
          <w:left w:val="single" w:color="B45309" w:sz="18"/>
          <w:bottom w:val="single" w:color="B45309" w:sz="2"/>
          <w:right w:val="single" w:color="B45309"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B45309"/>
                <w:sz w:val="19"/>
                <w:szCs w:val="19"/>
              </w:rPr>
              <w:t xml:space="preserve">Radius warning — </w:t>
            </w:r>
            <w:r>
              <w:rPr>
                <w:rFonts w:ascii="Calibri" w:cs="Calibri" w:eastAsia="Calibri" w:hAnsi="Calibri"/>
                <w:sz w:val="19"/>
                <w:szCs w:val="19"/>
              </w:rPr>
              <w:t xml:space="preserve">The 25-mile condition is the single most consequential constraint on this footprint. Miami to Tampa and Miami to Clearwater are approximately 280 and 270 road miles respectively. </w:t>
            </w:r>
            <w:r>
              <w:rPr>
                <w:rFonts w:ascii="Calibri" w:cs="Calibri" w:eastAsia="Calibri" w:hAnsi="Calibri"/>
                <w:b/>
                <w:bCs/>
                <w:sz w:val="19"/>
                <w:szCs w:val="19"/>
              </w:rPr>
              <w:t xml:space="preserve">No Company-funded free transportation may be offered between the South Florida Region and the Tampa Bay Region under any circumstance.</w:t>
            </w:r>
            <w:r>
              <w:rPr>
                <w:rFonts w:ascii="Calibri" w:cs="Calibri" w:eastAsia="Calibri" w:hAnsi="Calibri"/>
                <w:sz w:val="19"/>
                <w:szCs w:val="19"/>
              </w:rPr>
              <w:t xml:space="preserve"> Within South Florida, the Miami-to-Lauderhill leg is close to the limit and must be measured, documented, and re-verified before any standing route is approved. See Schedule 1.</w:t>
            </w:r>
          </w:p>
        </w:tc>
      </w:tr>
    </w:tbl>
    <w:p>
      <w:pPr>
        <w:spacing w:after="120"/>
      </w:pPr>
    </w:p>
    <w:p>
      <w:pPr>
        <w:spacing w:after="140" w:line="264"/>
      </w:pPr>
      <w:r>
        <w:rPr>
          <w:rFonts w:ascii="Calibri" w:cs="Calibri" w:eastAsia="Calibri" w:hAnsi="Calibri"/>
          <w:b/>
          <w:bCs/>
          <w:sz w:val="21"/>
          <w:szCs w:val="21"/>
        </w:rPr>
        <w:t xml:space="preserve">8.3  Inter-site transport within a Region.</w:t>
      </w:r>
      <w:r>
        <w:rPr>
          <w:rFonts w:ascii="Calibri" w:cs="Calibri" w:eastAsia="Calibri" w:hAnsi="Calibri"/>
          <w:sz w:val="21"/>
          <w:szCs w:val="21"/>
        </w:rPr>
        <w:t xml:space="preserve"> Transportation between Enterprise sites is permitted only where the destination site is the patient's established provider, the trip serves a medically necessary purpose, and the radius condition is satisfied. Executive shall not build routing, scheduling, or capacity rules that have the effect of concentrating patients at a particular site for financial reasons.</w:t>
      </w:r>
    </w:p>
    <w:p>
      <w:pPr>
        <w:spacing w:after="140" w:line="264"/>
      </w:pPr>
      <w:r>
        <w:rPr>
          <w:rFonts w:ascii="Calibri" w:cs="Calibri" w:eastAsia="Calibri" w:hAnsi="Calibri"/>
          <w:b/>
          <w:bCs/>
          <w:sz w:val="21"/>
          <w:szCs w:val="21"/>
        </w:rPr>
        <w:t xml:space="preserve">8.4  Affiliated Practice transport.</w:t>
      </w:r>
      <w:r>
        <w:rPr>
          <w:rFonts w:ascii="Calibri" w:cs="Calibri" w:eastAsia="Calibri" w:hAnsi="Calibri"/>
          <w:sz w:val="21"/>
          <w:szCs w:val="21"/>
        </w:rPr>
        <w:t xml:space="preserve"> Free or discounted transportation to or from an Affiliated Practice presents heightened inducement risk because the Enterprise does not own the destination and may receive a management fee tied to that practice's activity. Executive shall not provide, arrange, or fund such transportation absent (a) a specific Compliance-approved written policy addressing it, (b) confirmation that costs are borne appropriately and not shifted, and (c) confirmation that the arrangement does not function as remuneration for referrals under the Anti-Kickback Statute or § 817.505, Florida Statutes.</w:t>
      </w:r>
    </w:p>
    <w:p>
      <w:pPr>
        <w:spacing w:after="140" w:line="264"/>
      </w:pPr>
      <w:r>
        <w:rPr>
          <w:rFonts w:ascii="Calibri" w:cs="Calibri" w:eastAsia="Calibri" w:hAnsi="Calibri"/>
          <w:b/>
          <w:bCs/>
          <w:sz w:val="21"/>
          <w:szCs w:val="21"/>
        </w:rPr>
        <w:t xml:space="preserve">8.5  Non-medical social-support trips.</w:t>
      </w:r>
      <w:r>
        <w:rPr>
          <w:rFonts w:ascii="Calibri" w:cs="Calibri" w:eastAsia="Calibri" w:hAnsi="Calibri"/>
          <w:sz w:val="21"/>
          <w:szCs w:val="21"/>
        </w:rPr>
        <w:t xml:space="preserve"> Transportation to banking, retail, social-service, or other non-medical destinations must be administered under a separately approved nonprofit or community-benefit policy with a separate funding source and separate cost center. Such trips shall not be characterized as protected under the Local Transportation Safe Harbor, which applies only to transportation for medically necessary items and services. Separate funding alone does not eliminate Anti-Kickback Statute, beneficiary-inducement, tax-exemption, payer-contract, or Florida state-law risk.</w:t>
      </w:r>
    </w:p>
    <w:p>
      <w:pPr>
        <w:spacing w:after="140" w:line="264"/>
      </w:pPr>
      <w:r>
        <w:rPr>
          <w:rFonts w:ascii="Calibri" w:cs="Calibri" w:eastAsia="Calibri" w:hAnsi="Calibri"/>
          <w:b/>
          <w:bCs/>
          <w:sz w:val="21"/>
          <w:szCs w:val="21"/>
        </w:rPr>
        <w:t xml:space="preserve">8.6  Payer benefit coordination.</w:t>
      </w:r>
      <w:r>
        <w:rPr>
          <w:rFonts w:ascii="Calibri" w:cs="Calibri" w:eastAsia="Calibri" w:hAnsi="Calibri"/>
          <w:sz w:val="21"/>
          <w:szCs w:val="21"/>
        </w:rPr>
        <w:t xml:space="preserve"> Where a Medicare Advantage plan, Medicaid managed care plan, commercial plan, or transportation broker offers a covered transportation or NEMT benefit, Executive shall coordinate with the payer or its broker before deploying Company-funded transportation whenever practical and compliant, shall not duplicate-bill, and shall not shift the cost of Company-provided free transportation to a Federal Health Care Program unless expressly permitted.</w:t>
      </w:r>
    </w:p>
    <w:p>
      <w:pPr>
        <w:spacing w:after="140" w:line="264"/>
      </w:pPr>
      <w:r>
        <w:rPr>
          <w:rFonts w:ascii="Calibri" w:cs="Calibri" w:eastAsia="Calibri" w:hAnsi="Calibri"/>
          <w:b/>
          <w:bCs/>
          <w:sz w:val="21"/>
          <w:szCs w:val="21"/>
        </w:rPr>
        <w:t xml:space="preserve">8.7  No steering.</w:t>
      </w:r>
      <w:r>
        <w:rPr>
          <w:rFonts w:ascii="Calibri" w:cs="Calibri" w:eastAsia="Calibri" w:hAnsi="Calibri"/>
          <w:sz w:val="21"/>
          <w:szCs w:val="21"/>
        </w:rPr>
        <w:t xml:space="preserve"> Drivers, dispatchers, and community-paramedic personnel shall not market health-care services, recommend one provider or plan over another, solicit prescriptions, discuss coverage or enrollment, or receive compensation on a per-beneficiary-transported basis. Executive shall audit driver scripts and ride-along observations at least quarterly for compliance with this subsection.</w:t>
      </w:r>
    </w:p>
    <w:p>
      <w:pPr>
        <w:pStyle w:val="Heading1"/>
        <w:pBdr>
          <w:bottom w:val="single" w:color="C9D2DC" w:sz="6" w:space="6"/>
        </w:pBdr>
        <w:spacing w:after="160" w:before="320"/>
      </w:pPr>
      <w:r>
        <w:rPr>
          <w:rFonts w:ascii="Calibri" w:cs="Calibri" w:eastAsia="Calibri" w:hAnsi="Calibri"/>
          <w:b/>
          <w:bCs/>
          <w:color w:val="1F3A5F"/>
          <w:sz w:val="26"/>
          <w:szCs w:val="26"/>
        </w:rPr>
        <w:t xml:space="preserve">9.  Community Paramedicine &amp; Population Health Coordination</w:t>
      </w:r>
    </w:p>
    <w:p>
      <w:pPr>
        <w:spacing w:after="140" w:line="264"/>
      </w:pPr>
      <w:r>
        <w:rPr>
          <w:rFonts w:ascii="Calibri" w:cs="Calibri" w:eastAsia="Calibri" w:hAnsi="Calibri"/>
          <w:b/>
          <w:bCs/>
          <w:sz w:val="21"/>
          <w:szCs w:val="21"/>
        </w:rPr>
        <w:t xml:space="preserve">9.1  Mission.</w:t>
      </w:r>
      <w:r>
        <w:rPr>
          <w:rFonts w:ascii="Calibri" w:cs="Calibri" w:eastAsia="Calibri" w:hAnsi="Calibri"/>
          <w:sz w:val="21"/>
          <w:szCs w:val="21"/>
        </w:rPr>
        <w:t xml:space="preserve"> Executive shall support the community paramedic function and the Population Health Nurse by ensuring the right mobility resource reaches the right patient at the right time, while clinical prioritization remains with qualified clinical personnel.</w:t>
      </w:r>
    </w:p>
    <w:p>
      <w:pPr>
        <w:spacing w:after="140" w:line="264"/>
      </w:pPr>
      <w:r>
        <w:rPr>
          <w:rFonts w:ascii="Calibri" w:cs="Calibri" w:eastAsia="Calibri" w:hAnsi="Calibri"/>
          <w:b/>
          <w:bCs/>
          <w:sz w:val="21"/>
          <w:szCs w:val="21"/>
        </w:rPr>
        <w:t xml:space="preserve">9.2  Florida framework.</w:t>
      </w:r>
      <w:r>
        <w:rPr>
          <w:rFonts w:ascii="Calibri" w:cs="Calibri" w:eastAsia="Calibri" w:hAnsi="Calibri"/>
          <w:sz w:val="21"/>
          <w:szCs w:val="21"/>
        </w:rPr>
        <w:t xml:space="preserve"> Community-paramedicine and EMS community health activities shall be structured under Chapter 401, Florida Statutes, including § 401.272, and applicable Florida Department of Health EMS rules. The current EMS rule chapter is Chapter 64J-1, Florida Administrative Code. Several rules were historically numbered in Chapter 64E-2; any legacy policy citing "64E" shall be mapped to the current 64J-1 provisions before implementation.</w:t>
      </w:r>
    </w:p>
    <w:p>
      <w:pPr>
        <w:spacing w:after="140" w:line="264"/>
      </w:pPr>
      <w:r>
        <w:rPr>
          <w:rFonts w:ascii="Calibri" w:cs="Calibri" w:eastAsia="Calibri" w:hAnsi="Calibri"/>
          <w:b/>
          <w:bCs/>
          <w:sz w:val="21"/>
          <w:szCs w:val="21"/>
        </w:rPr>
        <w:t xml:space="preserve">9.3  Medical direction.</w:t>
      </w:r>
      <w:r>
        <w:rPr>
          <w:rFonts w:ascii="Calibri" w:cs="Calibri" w:eastAsia="Calibri" w:hAnsi="Calibri"/>
          <w:sz w:val="21"/>
          <w:szCs w:val="21"/>
        </w:rPr>
        <w:t xml:space="preserve"> When EMTs or paramedics perform health-promotion, wellness, BLS, ALS, non-emergency assessment, or alternative-destination functions falling within § 401.272 or other EMS authority, they shall act under required physician medical direction, two-way communication or standing orders and protocols, and within training and credential scope. Executive shall confirm that medical direction is documented and current before any community-paramedic deployment, and shall confirm it separately for each Region.</w:t>
      </w:r>
    </w:p>
    <w:p>
      <w:pPr>
        <w:spacing w:after="140" w:line="264"/>
      </w:pPr>
      <w:r>
        <w:rPr>
          <w:rFonts w:ascii="Calibri" w:cs="Calibri" w:eastAsia="Calibri" w:hAnsi="Calibri"/>
          <w:b/>
          <w:bCs/>
          <w:sz w:val="21"/>
          <w:szCs w:val="21"/>
        </w:rPr>
        <w:t xml:space="preserve">9.4  Dispatch prioritization.</w:t>
      </w:r>
      <w:r>
        <w:rPr>
          <w:rFonts w:ascii="Calibri" w:cs="Calibri" w:eastAsia="Calibri" w:hAnsi="Calibri"/>
          <w:sz w:val="21"/>
          <w:szCs w:val="21"/>
        </w:rPr>
        <w:t xml:space="preserve"> Executive shall maintain a non-clinical dispatch matrix incorporating clinician-assigned priority, recent discharge status, inability to access telehealth, mobility barriers, appointment deadlines, geography, vehicle type, and driver availability. </w:t>
      </w:r>
      <w:r>
        <w:rPr>
          <w:rFonts w:ascii="Calibri" w:cs="Calibri" w:eastAsia="Calibri" w:hAnsi="Calibri"/>
          <w:b/>
          <w:bCs/>
          <w:sz w:val="21"/>
          <w:szCs w:val="21"/>
        </w:rPr>
        <w:t xml:space="preserve">Executive shall not independently downgrade or override a clinical priority.</w:t>
      </w:r>
    </w:p>
    <w:p>
      <w:pPr>
        <w:pStyle w:val="Heading1"/>
        <w:pBdr>
          <w:bottom w:val="single" w:color="C9D2DC" w:sz="6" w:space="6"/>
        </w:pBdr>
        <w:spacing w:after="160" w:before="320"/>
      </w:pPr>
      <w:r>
        <w:rPr>
          <w:rFonts w:ascii="Calibri" w:cs="Calibri" w:eastAsia="Calibri" w:hAnsi="Calibri"/>
          <w:b/>
          <w:bCs/>
          <w:color w:val="1F3A5F"/>
          <w:sz w:val="26"/>
          <w:szCs w:val="26"/>
        </w:rPr>
        <w:t xml:space="preserve">10.  Transitional Care, Chronic Care, RPM/RTM Workflow Support</w:t>
      </w:r>
    </w:p>
    <w:p>
      <w:pPr>
        <w:spacing w:after="140" w:line="264"/>
      </w:pPr>
      <w:r>
        <w:rPr>
          <w:rFonts w:ascii="Calibri" w:cs="Calibri" w:eastAsia="Calibri" w:hAnsi="Calibri"/>
          <w:b/>
          <w:bCs/>
          <w:sz w:val="21"/>
          <w:szCs w:val="21"/>
        </w:rPr>
        <w:t xml:space="preserve">10.1  TCM timing.</w:t>
      </w:r>
      <w:r>
        <w:rPr>
          <w:rFonts w:ascii="Calibri" w:cs="Calibri" w:eastAsia="Calibri" w:hAnsi="Calibri"/>
          <w:sz w:val="21"/>
          <w:szCs w:val="21"/>
        </w:rPr>
        <w:t xml:space="preserve"> For Medicare transitional care management workflow support, Executive shall design logistics around CMS requirements: interactive contact generally within two business days after discharge; a face-to-face visit within 14 calendar days for CPT 99495 and within 7 calendar days for CPT 99496, subject to current CMS rules and clinician and coding review. The Company may set an internal operational target of contact or visit within 48 hours, but </w:t>
      </w:r>
      <w:r>
        <w:rPr>
          <w:rFonts w:ascii="Calibri" w:cs="Calibri" w:eastAsia="Calibri" w:hAnsi="Calibri"/>
          <w:b/>
          <w:bCs/>
          <w:sz w:val="21"/>
          <w:szCs w:val="21"/>
        </w:rPr>
        <w:t xml:space="preserve">an internal target is not the billing rule and shall never be documented as if it were</w:t>
      </w:r>
      <w:r>
        <w:rPr>
          <w:rFonts w:ascii="Calibri" w:cs="Calibri" w:eastAsia="Calibri" w:hAnsi="Calibri"/>
          <w:sz w:val="21"/>
          <w:szCs w:val="21"/>
        </w:rPr>
        <w:t xml:space="preserve">.</w:t>
      </w:r>
    </w:p>
    <w:p>
      <w:pPr>
        <w:spacing w:after="140" w:line="264"/>
      </w:pPr>
      <w:r>
        <w:rPr>
          <w:rFonts w:ascii="Calibri" w:cs="Calibri" w:eastAsia="Calibri" w:hAnsi="Calibri"/>
          <w:b/>
          <w:bCs/>
          <w:sz w:val="21"/>
          <w:szCs w:val="21"/>
        </w:rPr>
        <w:t xml:space="preserve">10.2  Thirty-day transition window.</w:t>
      </w:r>
      <w:r>
        <w:rPr>
          <w:rFonts w:ascii="Calibri" w:cs="Calibri" w:eastAsia="Calibri" w:hAnsi="Calibri"/>
          <w:sz w:val="21"/>
          <w:szCs w:val="21"/>
        </w:rPr>
        <w:t xml:space="preserve"> Transportation and community-paramedic support shall facilitate the clinical team's management of the patient during the 30-day post-discharge transition period, including medication access, follow-up appointments, referrals, and community resources as assigned by clinicians.</w:t>
      </w:r>
    </w:p>
    <w:p>
      <w:pPr>
        <w:spacing w:after="140" w:line="264"/>
      </w:pPr>
      <w:r>
        <w:rPr>
          <w:rFonts w:ascii="Calibri" w:cs="Calibri" w:eastAsia="Calibri" w:hAnsi="Calibri"/>
          <w:b/>
          <w:bCs/>
          <w:sz w:val="21"/>
          <w:szCs w:val="21"/>
        </w:rPr>
        <w:t xml:space="preserve">10.3  Rural discharge exception.</w:t>
      </w:r>
      <w:r>
        <w:rPr>
          <w:rFonts w:ascii="Calibri" w:cs="Calibri" w:eastAsia="Calibri" w:hAnsi="Calibri"/>
          <w:sz w:val="21"/>
          <w:szCs w:val="21"/>
        </w:rPr>
        <w:t xml:space="preserve"> Where a recently discharged patient resides in a rural area as defined for purposes of the Local Transportation Safe Harbor, the extended mileage allowance may apply. Executive shall not rely on that allowance without written Compliance confirmation of the rural designation for the specific address.</w:t>
      </w:r>
    </w:p>
    <w:p>
      <w:pPr>
        <w:spacing w:after="140" w:line="264"/>
      </w:pPr>
      <w:r>
        <w:rPr>
          <w:rFonts w:ascii="Calibri" w:cs="Calibri" w:eastAsia="Calibri" w:hAnsi="Calibri"/>
          <w:b/>
          <w:bCs/>
          <w:sz w:val="21"/>
          <w:szCs w:val="21"/>
        </w:rPr>
        <w:t xml:space="preserve">10.4  Downstream programs.</w:t>
      </w:r>
      <w:r>
        <w:rPr>
          <w:rFonts w:ascii="Calibri" w:cs="Calibri" w:eastAsia="Calibri" w:hAnsi="Calibri"/>
          <w:sz w:val="21"/>
          <w:szCs w:val="21"/>
        </w:rPr>
        <w:t xml:space="preserve"> After clinical assessment, patients may be evaluated by qualified personnel for chronic care management, remote patient monitoring, remote therapeutic monitoring, behavioral-health programs, or other services. Executive's role is logistical enablement and data reporting. Enrollment and billing eligibility determinations remain with authorized clinical and coding personnel.</w:t>
      </w:r>
    </w:p>
    <w:p>
      <w:pPr>
        <w:pStyle w:val="Heading1"/>
        <w:pBdr>
          <w:bottom w:val="single" w:color="C9D2DC" w:sz="6" w:space="6"/>
        </w:pBdr>
        <w:spacing w:after="160" w:before="320"/>
      </w:pPr>
      <w:r>
        <w:rPr>
          <w:rFonts w:ascii="Calibri" w:cs="Calibri" w:eastAsia="Calibri" w:hAnsi="Calibri"/>
          <w:b/>
          <w:bCs/>
          <w:color w:val="1F3A5F"/>
          <w:sz w:val="26"/>
          <w:szCs w:val="26"/>
        </w:rPr>
        <w:t xml:space="preserve">11.  Driver Licensing, Vehicle Classification &amp; Motor Carrier Status</w:t>
      </w:r>
    </w:p>
    <w:p>
      <w:pPr>
        <w:spacing w:after="140" w:line="264"/>
      </w:pPr>
      <w:r>
        <w:rPr>
          <w:rFonts w:ascii="Calibri" w:cs="Calibri" w:eastAsia="Calibri" w:hAnsi="Calibri"/>
          <w:b/>
          <w:bCs/>
          <w:sz w:val="21"/>
          <w:szCs w:val="21"/>
        </w:rPr>
        <w:t xml:space="preserve">11.1  Classification determination.</w:t>
      </w:r>
      <w:r>
        <w:rPr>
          <w:rFonts w:ascii="Calibri" w:cs="Calibri" w:eastAsia="Calibri" w:hAnsi="Calibri"/>
          <w:sz w:val="21"/>
          <w:szCs w:val="21"/>
        </w:rPr>
        <w:t xml:space="preserve"> Before acquiring, leasing, or placing any passenger vehicle into service, Executive shall obtain and document a written classification determination addressing: gross vehicle weight rating; designed seating capacity including the driver; whether the vehicle will be operated intrastate or interstate; and whether transportation is provided for direct compensation. This determination drives licensing, insurance, inspection, and recordkeeping obligations and shall be recorded in the fleet asset file.</w:t>
      </w:r>
    </w:p>
    <w:p>
      <w:pPr>
        <w:spacing w:after="140" w:line="264"/>
      </w:pPr>
      <w:r>
        <w:rPr>
          <w:rFonts w:ascii="Calibri" w:cs="Calibri" w:eastAsia="Calibri" w:hAnsi="Calibri"/>
          <w:b/>
          <w:bCs/>
          <w:sz w:val="21"/>
          <w:szCs w:val="21"/>
        </w:rPr>
        <w:t xml:space="preserve">11.2  Commercial driver licensing.</w:t>
      </w:r>
      <w:r>
        <w:rPr>
          <w:rFonts w:ascii="Calibri" w:cs="Calibri" w:eastAsia="Calibri" w:hAnsi="Calibri"/>
          <w:sz w:val="21"/>
          <w:szCs w:val="21"/>
        </w:rPr>
        <w:t xml:space="preserve"> A vehicle designed to transport 16 or more persons including the driver requires a commercial driver license with a passenger endorsement under Florida law. Executive shall not procure or place such a vehicle into service without confirming that qualified, endorsed drivers are available and that the endorsement is tracked to expiration in the driver file. Where operationally feasible, Executive shall prefer vehicle configurations below the CDL threshold to reduce staffing fragility.</w:t>
      </w:r>
    </w:p>
    <w:p>
      <w:pPr>
        <w:spacing w:after="140" w:line="264"/>
      </w:pPr>
      <w:r>
        <w:rPr>
          <w:rFonts w:ascii="Calibri" w:cs="Calibri" w:eastAsia="Calibri" w:hAnsi="Calibri"/>
          <w:b/>
          <w:bCs/>
          <w:sz w:val="21"/>
          <w:szCs w:val="21"/>
        </w:rPr>
        <w:t xml:space="preserve">11.3  Motor carrier regulation.</w:t>
      </w:r>
      <w:r>
        <w:rPr>
          <w:rFonts w:ascii="Calibri" w:cs="Calibri" w:eastAsia="Calibri" w:hAnsi="Calibri"/>
          <w:sz w:val="21"/>
          <w:szCs w:val="21"/>
        </w:rPr>
        <w:t xml:space="preserve"> Executive shall obtain a Compliance or counsel determination of whether any vehicle or operation falls within the Federal Motor Carrier Safety Regulations or Florida's adoption of those regulations under Chapter 316, Florida Statutes. Where they apply, Executive shall implement the corresponding driver qualification file, hours-of-service, inspection, repair, maintenance, and drug-and-alcohol testing programs before the vehicle enters service.</w:t>
      </w:r>
    </w:p>
    <w:p>
      <w:pPr>
        <w:spacing w:after="140" w:line="264"/>
      </w:pPr>
      <w:r>
        <w:rPr>
          <w:rFonts w:ascii="Calibri" w:cs="Calibri" w:eastAsia="Calibri" w:hAnsi="Calibri"/>
          <w:b/>
          <w:bCs/>
          <w:sz w:val="21"/>
          <w:szCs w:val="21"/>
        </w:rPr>
        <w:t xml:space="preserve">11.4  Driver qualification baseline.</w:t>
      </w:r>
      <w:r>
        <w:rPr>
          <w:rFonts w:ascii="Calibri" w:cs="Calibri" w:eastAsia="Calibri" w:hAnsi="Calibri"/>
          <w:sz w:val="21"/>
          <w:szCs w:val="21"/>
        </w:rPr>
        <w:t xml:space="preserve"> Regardless of regulatory classification, every driver shall have, before first assignment: a valid Florida driver license verified against the record; a motor vehicle record review meeting Company and insurer standards; documented orientation and defensive-driving training; policy acknowledgments including telematics, vehicle use, and PHI handling; and confirmation of insurability from the Company's carrier.</w:t>
      </w:r>
    </w:p>
    <w:p>
      <w:pPr>
        <w:spacing w:after="140" w:line="264"/>
      </w:pPr>
      <w:r>
        <w:rPr>
          <w:rFonts w:ascii="Calibri" w:cs="Calibri" w:eastAsia="Calibri" w:hAnsi="Calibri"/>
          <w:b/>
          <w:bCs/>
          <w:sz w:val="21"/>
          <w:szCs w:val="21"/>
        </w:rPr>
        <w:t xml:space="preserve">11.5  Continuing eligibility.</w:t>
      </w:r>
      <w:r>
        <w:rPr>
          <w:rFonts w:ascii="Calibri" w:cs="Calibri" w:eastAsia="Calibri" w:hAnsi="Calibri"/>
          <w:sz w:val="21"/>
          <w:szCs w:val="21"/>
        </w:rPr>
        <w:t xml:space="preserve"> Executive shall run motor vehicle record checks on a defined recurring cadence, at minimum annually, and shall immediately remove from driving duty any individual whose license is suspended or restricted, who becomes uninsurable under the Company policy, or who fails a required screening, coordinating any employment action through Human Resources.</w:t>
      </w:r>
    </w:p>
    <w:p>
      <w:pPr>
        <w:pStyle w:val="Heading1"/>
        <w:pBdr>
          <w:bottom w:val="single" w:color="C9D2DC" w:sz="6" w:space="6"/>
        </w:pBdr>
        <w:spacing w:after="160" w:before="320"/>
      </w:pPr>
      <w:r>
        <w:rPr>
          <w:rFonts w:ascii="Calibri" w:cs="Calibri" w:eastAsia="Calibri" w:hAnsi="Calibri"/>
          <w:b/>
          <w:bCs/>
          <w:color w:val="1F3A5F"/>
          <w:sz w:val="26"/>
          <w:szCs w:val="26"/>
        </w:rPr>
        <w:t xml:space="preserve">12.  Future EMS / Ambulance / Event Medical Operations</w:t>
      </w:r>
    </w:p>
    <w:p>
      <w:pPr>
        <w:spacing w:after="140" w:line="264"/>
      </w:pPr>
      <w:r>
        <w:rPr>
          <w:rFonts w:ascii="Calibri" w:cs="Calibri" w:eastAsia="Calibri" w:hAnsi="Calibri"/>
          <w:b/>
          <w:bCs/>
          <w:sz w:val="21"/>
          <w:szCs w:val="21"/>
        </w:rPr>
        <w:t xml:space="preserve">12.1  No premature ambulance operation.</w:t>
      </w:r>
      <w:r>
        <w:rPr>
          <w:rFonts w:ascii="Calibri" w:cs="Calibri" w:eastAsia="Calibri" w:hAnsi="Calibri"/>
          <w:sz w:val="21"/>
          <w:szCs w:val="21"/>
        </w:rPr>
        <w:t xml:space="preserve"> No vehicle shall be placed into ambulance, BLS, or ALS service, and no employee shall be represented as an ambulance driver or EMS provider, unless all required licenses, permits, medical direction, staffing, equipment, insurance, training, and county or municipal approvals are in place. Certificates of public convenience and necessity and equivalent local authorizations are county-specific: authorization obtained in Miami-Dade County does not extend to Broward, Hillsborough, or Pinellas County.</w:t>
      </w:r>
    </w:p>
    <w:p>
      <w:pPr>
        <w:spacing w:after="140" w:line="264"/>
      </w:pPr>
      <w:r>
        <w:rPr>
          <w:rFonts w:ascii="Calibri" w:cs="Calibri" w:eastAsia="Calibri" w:hAnsi="Calibri"/>
          <w:b/>
          <w:bCs/>
          <w:sz w:val="21"/>
          <w:szCs w:val="21"/>
        </w:rPr>
        <w:t xml:space="preserve">12.2  Future fleet.</w:t>
      </w:r>
      <w:r>
        <w:rPr>
          <w:rFonts w:ascii="Calibri" w:cs="Calibri" w:eastAsia="Calibri" w:hAnsi="Calibri"/>
          <w:sz w:val="21"/>
          <w:szCs w:val="21"/>
        </w:rPr>
        <w:t xml:space="preserve"> If the Enterprise acquires ambulances, Executive shall implement a separate EMS fleet readiness program addressing vehicle permits, equipment inventories, controlled-medication security interfaces, driver qualifications under § 401.281, Florida Statutes, and Rule 64J-1.013, F.A.C., maintenance, inspection readiness, substitute-vehicle documentation, and out-of-service controls.</w:t>
      </w:r>
    </w:p>
    <w:p>
      <w:pPr>
        <w:spacing w:after="140" w:line="264"/>
      </w:pPr>
      <w:r>
        <w:rPr>
          <w:rFonts w:ascii="Calibri" w:cs="Calibri" w:eastAsia="Calibri" w:hAnsi="Calibri"/>
          <w:b/>
          <w:bCs/>
          <w:sz w:val="21"/>
          <w:szCs w:val="21"/>
        </w:rPr>
        <w:t xml:space="preserve">12.3  Event deployment.</w:t>
      </w:r>
      <w:r>
        <w:rPr>
          <w:rFonts w:ascii="Calibri" w:cs="Calibri" w:eastAsia="Calibri" w:hAnsi="Calibri"/>
          <w:sz w:val="21"/>
          <w:szCs w:val="21"/>
        </w:rPr>
        <w:t xml:space="preserve"> For sporting events, community events, standby assignments, or special deployments, Executive shall prepare an event operations plan defining requested level of service, scope, staffing, medical direction, vehicle status, communications, staging, heat and weather plan, supplies, incident command interface, transport destination plan, and after-action review. Any ambulance-level service is contingent on applicable EMS licensure and permits in the county of the event.</w:t>
      </w:r>
    </w:p>
    <w:p>
      <w:pPr>
        <w:spacing w:after="140" w:line="264"/>
      </w:pPr>
      <w:r>
        <w:rPr>
          <w:rFonts w:ascii="Calibri" w:cs="Calibri" w:eastAsia="Calibri" w:hAnsi="Calibri"/>
          <w:b/>
          <w:bCs/>
          <w:sz w:val="21"/>
          <w:szCs w:val="21"/>
        </w:rPr>
        <w:t xml:space="preserve">12.4  Substitute vehicles.</w:t>
      </w:r>
      <w:r>
        <w:rPr>
          <w:rFonts w:ascii="Calibri" w:cs="Calibri" w:eastAsia="Calibri" w:hAnsi="Calibri"/>
          <w:sz w:val="21"/>
          <w:szCs w:val="21"/>
        </w:rPr>
        <w:t xml:space="preserve"> For permitted EMS vehicles temporarily out of service for routine maintenance or repair, Executive shall follow current Florida rules governing substitute vehicles, including required equivalency, time limits, and records identifying the permitted and substitute vehicles and the dates of substitution and return to service.</w:t>
      </w:r>
    </w:p>
    <w:p>
      <w:pPr>
        <w:pStyle w:val="Heading1"/>
        <w:pBdr>
          <w:bottom w:val="single" w:color="C9D2DC" w:sz="6" w:space="6"/>
        </w:pBdr>
        <w:spacing w:after="160" w:before="320"/>
      </w:pPr>
      <w:r>
        <w:rPr>
          <w:rFonts w:ascii="Calibri" w:cs="Calibri" w:eastAsia="Calibri" w:hAnsi="Calibri"/>
          <w:b/>
          <w:bCs/>
          <w:color w:val="1F3A5F"/>
          <w:sz w:val="26"/>
          <w:szCs w:val="26"/>
        </w:rPr>
        <w:t xml:space="preserve">13.  Fleet Safety, Telematics &amp; Driver Improvement Program</w:t>
      </w:r>
    </w:p>
    <w:p>
      <w:pPr>
        <w:spacing w:after="140" w:line="264"/>
      </w:pPr>
      <w:r>
        <w:rPr>
          <w:rFonts w:ascii="Calibri" w:cs="Calibri" w:eastAsia="Calibri" w:hAnsi="Calibri"/>
          <w:b/>
          <w:bCs/>
          <w:sz w:val="21"/>
          <w:szCs w:val="21"/>
        </w:rPr>
        <w:t xml:space="preserve">13.1  Telematics.</w:t>
      </w:r>
      <w:r>
        <w:rPr>
          <w:rFonts w:ascii="Calibri" w:cs="Calibri" w:eastAsia="Calibri" w:hAnsi="Calibri"/>
          <w:sz w:val="21"/>
          <w:szCs w:val="21"/>
        </w:rPr>
        <w:t xml:space="preserve"> Executive shall deploy and administer a lawful fleet telematics program capable of monitoring harsh braking, rapid acceleration, speeding, sharp cornering and swerving, seat-belt exceptions where technically available, idling, mileage, route deviation, and collision events. Monitoring shall be disclosed through written Company policy and driver acknowledgment, and used for safety, operations, compliance, and asset protection. In-cab video, if deployed, shall be governed by a separate policy addressing audio capture and Florida's two-party consent requirement under Chapter 934, Florida Statutes.</w:t>
      </w:r>
    </w:p>
    <w:p>
      <w:pPr>
        <w:spacing w:after="140" w:line="264"/>
      </w:pPr>
      <w:r>
        <w:rPr>
          <w:rFonts w:ascii="Calibri" w:cs="Calibri" w:eastAsia="Calibri" w:hAnsi="Calibri"/>
          <w:b/>
          <w:bCs/>
          <w:sz w:val="21"/>
          <w:szCs w:val="21"/>
        </w:rPr>
        <w:t xml:space="preserve">13.2  Infractions.</w:t>
      </w:r>
      <w:r>
        <w:rPr>
          <w:rFonts w:ascii="Calibri" w:cs="Calibri" w:eastAsia="Calibri" w:hAnsi="Calibri"/>
          <w:sz w:val="21"/>
          <w:szCs w:val="21"/>
        </w:rPr>
        <w:t xml:space="preserve"> Executive shall maintain a process for tolls, red-light-camera notices, parking citations, moving violations, and other fleet infractions across both Regions; promptly identify the assigned driver; preserve contest deadlines; route legal questions appropriately; and apply Company reimbursement and discipline rules consistently and only through lawful payroll deductions or other authorized collection methods.</w:t>
      </w:r>
    </w:p>
    <w:p>
      <w:pPr>
        <w:spacing w:after="140" w:line="264"/>
      </w:pPr>
      <w:r>
        <w:rPr>
          <w:rFonts w:ascii="Calibri" w:cs="Calibri" w:eastAsia="Calibri" w:hAnsi="Calibri"/>
          <w:b/>
          <w:bCs/>
          <w:sz w:val="21"/>
          <w:szCs w:val="21"/>
        </w:rPr>
        <w:t xml:space="preserve">13.3  Driver Improvement Program.</w:t>
      </w:r>
      <w:r>
        <w:rPr>
          <w:rFonts w:ascii="Calibri" w:cs="Calibri" w:eastAsia="Calibri" w:hAnsi="Calibri"/>
          <w:sz w:val="21"/>
          <w:szCs w:val="21"/>
        </w:rPr>
        <w:t xml:space="preserve"> Executive shall establish baseline orientation, defensive-driving standards, remedial coaching, ride-alongs or competency checks where appropriate, progressive safety interventions, post-incident retraining, and recognition for sustained safe performance. Any future ambulance driver program must additionally satisfy § 401.281, Florida Statutes, and Rule 64J-1.013, F.A.C.</w:t>
      </w:r>
    </w:p>
    <w:p>
      <w:pPr>
        <w:spacing w:after="60"/>
      </w:pP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3000"/>
        <w:gridCol w:w="2600"/>
        <w:gridCol w:w="1700"/>
        <w:gridCol w:w="2780"/>
      </w:tblGrid>
      <w:tr>
        <w:trPr>
          <w:tblHeader/>
        </w:trPr>
        <w:tc>
          <w:tcPr>
            <w:tcW w:type="dxa" w:w="30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KPI</w:t>
            </w:r>
          </w:p>
        </w:tc>
        <w:tc>
          <w:tcPr>
            <w:tcW w:type="dxa" w:w="26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Target / Standard</w:t>
            </w:r>
          </w:p>
        </w:tc>
        <w:tc>
          <w:tcPr>
            <w:tcW w:type="dxa" w:w="17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Review</w:t>
            </w:r>
          </w:p>
        </w:tc>
        <w:tc>
          <w:tcPr>
            <w:tcW w:type="dxa" w:w="27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Evidence</w:t>
            </w:r>
          </w:p>
        </w:tc>
      </w:tr>
      <w:tr>
        <w:tc>
          <w:tcPr>
            <w:tcW w:type="dxa" w:w="3000"/>
            <w:tcMar>
              <w:top w:type="dxa" w:w="90"/>
              <w:left w:type="dxa" w:w="120"/>
              <w:bottom w:type="dxa" w:w="90"/>
              <w:right w:type="dxa" w:w="120"/>
            </w:tcMar>
          </w:tcPr>
          <w:p>
            <w:pPr>
              <w:spacing w:after="0" w:line="252"/>
            </w:pPr>
            <w:r>
              <w:rPr>
                <w:rFonts w:ascii="Calibri" w:cs="Calibri" w:eastAsia="Calibri" w:hAnsi="Calibri"/>
                <w:sz w:val="19"/>
                <w:szCs w:val="19"/>
              </w:rPr>
              <w:t xml:space="preserve">Preventable collisions</w:t>
            </w:r>
          </w:p>
        </w:tc>
        <w:tc>
          <w:tcPr>
            <w:tcW w:type="dxa" w:w="2600"/>
            <w:tcMar>
              <w:top w:type="dxa" w:w="90"/>
              <w:left w:type="dxa" w:w="120"/>
              <w:bottom w:type="dxa" w:w="90"/>
              <w:right w:type="dxa" w:w="120"/>
            </w:tcMar>
          </w:tcPr>
          <w:p>
            <w:pPr>
              <w:spacing w:after="0" w:line="252"/>
            </w:pPr>
            <w:r>
              <w:rPr>
                <w:rFonts w:ascii="Calibri" w:cs="Calibri" w:eastAsia="Calibri" w:hAnsi="Calibri"/>
                <w:sz w:val="19"/>
                <w:szCs w:val="19"/>
              </w:rPr>
              <w:t xml:space="preserve">Zero; trend and severity tracked by Region</w:t>
            </w:r>
          </w:p>
        </w:tc>
        <w:tc>
          <w:tcPr>
            <w:tcW w:type="dxa" w:w="17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780"/>
            <w:tcMar>
              <w:top w:type="dxa" w:w="90"/>
              <w:left w:type="dxa" w:w="120"/>
              <w:bottom w:type="dxa" w:w="90"/>
              <w:right w:type="dxa" w:w="120"/>
            </w:tcMar>
          </w:tcPr>
          <w:p>
            <w:pPr>
              <w:spacing w:after="0" w:line="252"/>
            </w:pPr>
            <w:r>
              <w:rPr>
                <w:rFonts w:ascii="Calibri" w:cs="Calibri" w:eastAsia="Calibri" w:hAnsi="Calibri"/>
                <w:sz w:val="19"/>
                <w:szCs w:val="19"/>
              </w:rPr>
              <w:t xml:space="preserve">Incident / claims log</w:t>
            </w:r>
          </w:p>
        </w:tc>
      </w:tr>
      <w:tr>
        <w:tc>
          <w:tcPr>
            <w:tcW w:type="dxa" w:w="30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Harsh braking / acceleration</w:t>
            </w:r>
          </w:p>
        </w:tc>
        <w:tc>
          <w:tcPr>
            <w:tcW w:type="dxa" w:w="2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Downward trend; threshold set after 60-day baseline</w:t>
            </w:r>
          </w:p>
        </w:tc>
        <w:tc>
          <w:tcPr>
            <w:tcW w:type="dxa" w:w="1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Weekly</w:t>
            </w:r>
          </w:p>
        </w:tc>
        <w:tc>
          <w:tcPr>
            <w:tcW w:type="dxa" w:w="27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Telematics</w:t>
            </w:r>
          </w:p>
        </w:tc>
      </w:tr>
      <w:tr>
        <w:tc>
          <w:tcPr>
            <w:tcW w:type="dxa" w:w="3000"/>
            <w:tcMar>
              <w:top w:type="dxa" w:w="90"/>
              <w:left w:type="dxa" w:w="120"/>
              <w:bottom w:type="dxa" w:w="90"/>
              <w:right w:type="dxa" w:w="120"/>
            </w:tcMar>
          </w:tcPr>
          <w:p>
            <w:pPr>
              <w:spacing w:after="0" w:line="252"/>
            </w:pPr>
            <w:r>
              <w:rPr>
                <w:rFonts w:ascii="Calibri" w:cs="Calibri" w:eastAsia="Calibri" w:hAnsi="Calibri"/>
                <w:sz w:val="19"/>
                <w:szCs w:val="19"/>
              </w:rPr>
              <w:t xml:space="preserve">Speeding events</w:t>
            </w:r>
          </w:p>
        </w:tc>
        <w:tc>
          <w:tcPr>
            <w:tcW w:type="dxa" w:w="2600"/>
            <w:tcMar>
              <w:top w:type="dxa" w:w="90"/>
              <w:left w:type="dxa" w:w="120"/>
              <w:bottom w:type="dxa" w:w="90"/>
              <w:right w:type="dxa" w:w="120"/>
            </w:tcMar>
          </w:tcPr>
          <w:p>
            <w:pPr>
              <w:spacing w:after="0" w:line="252"/>
            </w:pPr>
            <w:r>
              <w:rPr>
                <w:rFonts w:ascii="Calibri" w:cs="Calibri" w:eastAsia="Calibri" w:hAnsi="Calibri"/>
                <w:sz w:val="19"/>
                <w:szCs w:val="19"/>
              </w:rPr>
              <w:t xml:space="preserve">Zero severe events; progressive reduction</w:t>
            </w:r>
          </w:p>
        </w:tc>
        <w:tc>
          <w:tcPr>
            <w:tcW w:type="dxa" w:w="1700"/>
            <w:tcMar>
              <w:top w:type="dxa" w:w="90"/>
              <w:left w:type="dxa" w:w="120"/>
              <w:bottom w:type="dxa" w:w="90"/>
              <w:right w:type="dxa" w:w="120"/>
            </w:tcMar>
          </w:tcPr>
          <w:p>
            <w:pPr>
              <w:spacing w:after="0" w:line="252"/>
            </w:pPr>
            <w:r>
              <w:rPr>
                <w:rFonts w:ascii="Calibri" w:cs="Calibri" w:eastAsia="Calibri" w:hAnsi="Calibri"/>
                <w:sz w:val="19"/>
                <w:szCs w:val="19"/>
              </w:rPr>
              <w:t xml:space="preserve">Weekly</w:t>
            </w:r>
          </w:p>
        </w:tc>
        <w:tc>
          <w:tcPr>
            <w:tcW w:type="dxa" w:w="2780"/>
            <w:tcMar>
              <w:top w:type="dxa" w:w="90"/>
              <w:left w:type="dxa" w:w="120"/>
              <w:bottom w:type="dxa" w:w="90"/>
              <w:right w:type="dxa" w:w="120"/>
            </w:tcMar>
          </w:tcPr>
          <w:p>
            <w:pPr>
              <w:spacing w:after="0" w:line="252"/>
            </w:pPr>
            <w:r>
              <w:rPr>
                <w:rFonts w:ascii="Calibri" w:cs="Calibri" w:eastAsia="Calibri" w:hAnsi="Calibri"/>
                <w:sz w:val="19"/>
                <w:szCs w:val="19"/>
              </w:rPr>
              <w:t xml:space="preserve">Telematics</w:t>
            </w:r>
          </w:p>
        </w:tc>
      </w:tr>
      <w:tr>
        <w:tc>
          <w:tcPr>
            <w:tcW w:type="dxa" w:w="30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Fuel per mile / idle time</w:t>
            </w:r>
          </w:p>
        </w:tc>
        <w:tc>
          <w:tcPr>
            <w:tcW w:type="dxa" w:w="2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Budgeted improvement vs. baseline</w:t>
            </w:r>
          </w:p>
        </w:tc>
        <w:tc>
          <w:tcPr>
            <w:tcW w:type="dxa" w:w="1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7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Fuel + telematics</w:t>
            </w:r>
          </w:p>
        </w:tc>
      </w:tr>
      <w:tr>
        <w:tc>
          <w:tcPr>
            <w:tcW w:type="dxa" w:w="3000"/>
            <w:tcMar>
              <w:top w:type="dxa" w:w="90"/>
              <w:left w:type="dxa" w:w="120"/>
              <w:bottom w:type="dxa" w:w="90"/>
              <w:right w:type="dxa" w:w="120"/>
            </w:tcMar>
          </w:tcPr>
          <w:p>
            <w:pPr>
              <w:spacing w:after="0" w:line="252"/>
            </w:pPr>
            <w:r>
              <w:rPr>
                <w:rFonts w:ascii="Calibri" w:cs="Calibri" w:eastAsia="Calibri" w:hAnsi="Calibri"/>
                <w:sz w:val="19"/>
                <w:szCs w:val="19"/>
              </w:rPr>
              <w:t xml:space="preserve">Driver training completion</w:t>
            </w:r>
          </w:p>
        </w:tc>
        <w:tc>
          <w:tcPr>
            <w:tcW w:type="dxa" w:w="2600"/>
            <w:tcMar>
              <w:top w:type="dxa" w:w="90"/>
              <w:left w:type="dxa" w:w="120"/>
              <w:bottom w:type="dxa" w:w="90"/>
              <w:right w:type="dxa" w:w="120"/>
            </w:tcMar>
          </w:tcPr>
          <w:p>
            <w:pPr>
              <w:spacing w:after="0" w:line="252"/>
            </w:pPr>
            <w:r>
              <w:rPr>
                <w:rFonts w:ascii="Calibri" w:cs="Calibri" w:eastAsia="Calibri" w:hAnsi="Calibri"/>
                <w:sz w:val="19"/>
                <w:szCs w:val="19"/>
              </w:rPr>
              <w:t xml:space="preserve">100% by due date</w:t>
            </w:r>
          </w:p>
        </w:tc>
        <w:tc>
          <w:tcPr>
            <w:tcW w:type="dxa" w:w="17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780"/>
            <w:tcMar>
              <w:top w:type="dxa" w:w="90"/>
              <w:left w:type="dxa" w:w="120"/>
              <w:bottom w:type="dxa" w:w="90"/>
              <w:right w:type="dxa" w:w="120"/>
            </w:tcMar>
          </w:tcPr>
          <w:p>
            <w:pPr>
              <w:spacing w:after="0" w:line="252"/>
            </w:pPr>
            <w:r>
              <w:rPr>
                <w:rFonts w:ascii="Calibri" w:cs="Calibri" w:eastAsia="Calibri" w:hAnsi="Calibri"/>
                <w:sz w:val="19"/>
                <w:szCs w:val="19"/>
              </w:rPr>
              <w:t xml:space="preserve">LMS / driver file</w:t>
            </w:r>
          </w:p>
        </w:tc>
      </w:tr>
      <w:tr>
        <w:tc>
          <w:tcPr>
            <w:tcW w:type="dxa" w:w="30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Credential lapses</w:t>
            </w:r>
          </w:p>
        </w:tc>
        <w:tc>
          <w:tcPr>
            <w:tcW w:type="dxa" w:w="2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Zero drivers operating on expired license or endorsement</w:t>
            </w:r>
          </w:p>
        </w:tc>
        <w:tc>
          <w:tcPr>
            <w:tcW w:type="dxa" w:w="1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7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Driver file audit</w:t>
            </w:r>
          </w:p>
        </w:tc>
      </w:tr>
    </w:tbl>
    <w:p>
      <w:pPr>
        <w:pStyle w:val="Heading1"/>
        <w:pBdr>
          <w:bottom w:val="single" w:color="C9D2DC" w:sz="6" w:space="6"/>
        </w:pBdr>
        <w:spacing w:after="160" w:before="320"/>
      </w:pPr>
      <w:r>
        <w:rPr>
          <w:rFonts w:ascii="Calibri" w:cs="Calibri" w:eastAsia="Calibri" w:hAnsi="Calibri"/>
          <w:b/>
          <w:bCs/>
          <w:color w:val="1F3A5F"/>
          <w:sz w:val="26"/>
          <w:szCs w:val="26"/>
        </w:rPr>
        <w:t xml:space="preserve">14.  Preventive Maintenance, Readiness &amp; Asset Lifecycle</w:t>
      </w:r>
    </w:p>
    <w:p>
      <w:pPr>
        <w:spacing w:after="140" w:line="264"/>
      </w:pPr>
      <w:r>
        <w:rPr>
          <w:rFonts w:ascii="Calibri" w:cs="Calibri" w:eastAsia="Calibri" w:hAnsi="Calibri"/>
          <w:b/>
          <w:bCs/>
          <w:sz w:val="21"/>
          <w:szCs w:val="21"/>
        </w:rPr>
        <w:t xml:space="preserve">14.1  Preventive maintenance.</w:t>
      </w:r>
      <w:r>
        <w:rPr>
          <w:rFonts w:ascii="Calibri" w:cs="Calibri" w:eastAsia="Calibri" w:hAnsi="Calibri"/>
          <w:sz w:val="21"/>
          <w:szCs w:val="21"/>
        </w:rPr>
        <w:t xml:space="preserve"> Executive shall maintain a written preventive-maintenance schedule for each vehicle based on manufacturer recommendations, mileage, engine hours where available, duty cycle, age, safety history, and regulatory requirements. At minimum, a monthly fleet review shall identify service due, service overdue, safety defects, open recalls, tire and brake status, fluid and service intervals, and anticipated downtime.</w:t>
      </w:r>
    </w:p>
    <w:p>
      <w:pPr>
        <w:spacing w:after="140" w:line="264"/>
      </w:pPr>
      <w:r>
        <w:rPr>
          <w:rFonts w:ascii="Calibri" w:cs="Calibri" w:eastAsia="Calibri" w:hAnsi="Calibri"/>
          <w:b/>
          <w:bCs/>
          <w:sz w:val="21"/>
          <w:szCs w:val="21"/>
        </w:rPr>
        <w:t xml:space="preserve">14.2  Safety hold authority.</w:t>
      </w:r>
      <w:r>
        <w:rPr>
          <w:rFonts w:ascii="Calibri" w:cs="Calibri" w:eastAsia="Calibri" w:hAnsi="Calibri"/>
          <w:sz w:val="21"/>
          <w:szCs w:val="21"/>
        </w:rPr>
        <w:t xml:space="preserve"> Executive has both the authority and the duty to place a vehicle out of service for a material safety defect, subject to prompt notification to Operations. No productivity, access, or financial target overrides vehicle safety.</w:t>
      </w:r>
    </w:p>
    <w:p>
      <w:pPr>
        <w:spacing w:after="140" w:line="264"/>
      </w:pPr>
      <w:r>
        <w:rPr>
          <w:rFonts w:ascii="Calibri" w:cs="Calibri" w:eastAsia="Calibri" w:hAnsi="Calibri"/>
          <w:b/>
          <w:bCs/>
          <w:sz w:val="21"/>
          <w:szCs w:val="21"/>
        </w:rPr>
        <w:t xml:space="preserve">14.3  Regional reserve capacity.</w:t>
      </w:r>
      <w:r>
        <w:rPr>
          <w:rFonts w:ascii="Calibri" w:cs="Calibri" w:eastAsia="Calibri" w:hAnsi="Calibri"/>
          <w:sz w:val="21"/>
          <w:szCs w:val="21"/>
        </w:rPr>
        <w:t xml:space="preserve"> Because the Regions cannot share vehicles on short notice, Executive shall maintain independently sized reserve capacity in each Region and shall model downtime and surge separately for each.</w:t>
      </w:r>
    </w:p>
    <w:p>
      <w:pPr>
        <w:spacing w:after="140" w:line="264"/>
      </w:pPr>
      <w:r>
        <w:rPr>
          <w:rFonts w:ascii="Calibri" w:cs="Calibri" w:eastAsia="Calibri" w:hAnsi="Calibri"/>
          <w:b/>
          <w:bCs/>
          <w:sz w:val="21"/>
          <w:szCs w:val="21"/>
        </w:rPr>
        <w:t xml:space="preserve">14.4  EMS maintenance standard.</w:t>
      </w:r>
      <w:r>
        <w:rPr>
          <w:rFonts w:ascii="Calibri" w:cs="Calibri" w:eastAsia="Calibri" w:hAnsi="Calibri"/>
          <w:sz w:val="21"/>
          <w:szCs w:val="21"/>
        </w:rPr>
        <w:t xml:space="preserve"> For any future BLS or ALS vehicle, the program shall incorporate the sanitation, safety, maintenance, design, equipment, and inspection standards required under §§ 401.26, 401.31, and 401.35, Florida Statutes, and Chapter 64J-1, F.A.C., including Rule 64J-1.007 on vehicle permits and temporary substitution.</w:t>
      </w:r>
    </w:p>
    <w:p>
      <w:pPr>
        <w:spacing w:after="140" w:line="264"/>
      </w:pPr>
      <w:r>
        <w:rPr>
          <w:rFonts w:ascii="Calibri" w:cs="Calibri" w:eastAsia="Calibri" w:hAnsi="Calibri"/>
          <w:b/>
          <w:bCs/>
          <w:sz w:val="21"/>
          <w:szCs w:val="21"/>
        </w:rPr>
        <w:t xml:space="preserve">14.5  Lifecycle planning.</w:t>
      </w:r>
      <w:r>
        <w:rPr>
          <w:rFonts w:ascii="Calibri" w:cs="Calibri" w:eastAsia="Calibri" w:hAnsi="Calibri"/>
          <w:sz w:val="21"/>
          <w:szCs w:val="21"/>
        </w:rPr>
        <w:t xml:space="preserve"> Executive shall prepare annual replace, retain, or dispose recommendations using total cost of ownership, downtime, repair frequency, residual value, mileage, safety technology, utilization, and mission suitability, presented separately by Region.</w:t>
      </w:r>
    </w:p>
    <w:p>
      <w:pPr>
        <w:pStyle w:val="Heading1"/>
        <w:pBdr>
          <w:bottom w:val="single" w:color="C9D2DC" w:sz="6" w:space="6"/>
        </w:pBdr>
        <w:spacing w:after="160" w:before="320"/>
      </w:pPr>
      <w:r>
        <w:rPr>
          <w:rFonts w:ascii="Calibri" w:cs="Calibri" w:eastAsia="Calibri" w:hAnsi="Calibri"/>
          <w:b/>
          <w:bCs/>
          <w:color w:val="1F3A5F"/>
          <w:sz w:val="26"/>
          <w:szCs w:val="26"/>
        </w:rPr>
        <w:t xml:space="preserve">15.  Pharmacy and Medication Delivery Logistics</w:t>
      </w:r>
    </w:p>
    <w:p>
      <w:pPr>
        <w:spacing w:after="140" w:line="264"/>
      </w:pPr>
      <w:r>
        <w:rPr>
          <w:rFonts w:ascii="Calibri" w:cs="Calibri" w:eastAsia="Calibri" w:hAnsi="Calibri"/>
          <w:b/>
          <w:bCs/>
          <w:sz w:val="21"/>
          <w:szCs w:val="21"/>
        </w:rPr>
        <w:t xml:space="preserve">15.1  Chain of custody.</w:t>
      </w:r>
      <w:r>
        <w:rPr>
          <w:rFonts w:ascii="Calibri" w:cs="Calibri" w:eastAsia="Calibri" w:hAnsi="Calibri"/>
          <w:sz w:val="21"/>
          <w:szCs w:val="21"/>
        </w:rPr>
        <w:t xml:space="preserve"> Executive shall coordinate pharmacy pickups and medication deliveries under written pharmacy and compliance procedures, with documented custody, delivery confirmation, temperature and security requirements where applicable, failed-delivery handling, and a prohibition on unauthorized access or diversion.</w:t>
      </w:r>
    </w:p>
    <w:p>
      <w:pPr>
        <w:spacing w:after="140" w:line="264"/>
      </w:pPr>
      <w:r>
        <w:rPr>
          <w:rFonts w:ascii="Calibri" w:cs="Calibri" w:eastAsia="Calibri" w:hAnsi="Calibri"/>
          <w:b/>
          <w:bCs/>
          <w:sz w:val="21"/>
          <w:szCs w:val="21"/>
        </w:rPr>
        <w:t xml:space="preserve">15.2  Clinical boundary.</w:t>
      </w:r>
      <w:r>
        <w:rPr>
          <w:rFonts w:ascii="Calibri" w:cs="Calibri" w:eastAsia="Calibri" w:hAnsi="Calibri"/>
          <w:sz w:val="21"/>
          <w:szCs w:val="21"/>
        </w:rPr>
        <w:t xml:space="preserve"> Drivers shall not counsel patients regarding medications unless separately licensed and authorized. Medication questions shall be referred to the dispensing pharmacy or a Clinical Authority.</w:t>
      </w:r>
    </w:p>
    <w:p>
      <w:pPr>
        <w:spacing w:after="140" w:line="264"/>
      </w:pPr>
      <w:r>
        <w:rPr>
          <w:rFonts w:ascii="Calibri" w:cs="Calibri" w:eastAsia="Calibri" w:hAnsi="Calibri"/>
          <w:b/>
          <w:bCs/>
          <w:sz w:val="21"/>
          <w:szCs w:val="21"/>
        </w:rPr>
        <w:t xml:space="preserve">15.3  Controlled substances.</w:t>
      </w:r>
      <w:r>
        <w:rPr>
          <w:rFonts w:ascii="Calibri" w:cs="Calibri" w:eastAsia="Calibri" w:hAnsi="Calibri"/>
          <w:sz w:val="21"/>
          <w:szCs w:val="21"/>
        </w:rPr>
        <w:t xml:space="preserve"> Any transportation, storage, or handling of controlled substances or regulated medications shall occur only under a separately approved protocol consistent with Florida pharmacy law, DEA requirements where applicable, Chapters 499 and 893, Florida Statutes, and any EMS medication-security rules applicable to a licensed EMS operation.</w:t>
      </w:r>
    </w:p>
    <w:p>
      <w:pPr>
        <w:spacing w:after="140" w:line="264"/>
      </w:pPr>
      <w:r>
        <w:rPr>
          <w:rFonts w:ascii="Calibri" w:cs="Calibri" w:eastAsia="Calibri" w:hAnsi="Calibri"/>
          <w:b/>
          <w:bCs/>
          <w:sz w:val="21"/>
          <w:szCs w:val="21"/>
        </w:rPr>
        <w:t xml:space="preserve">15.4  Delivery as inducement.</w:t>
      </w:r>
      <w:r>
        <w:rPr>
          <w:rFonts w:ascii="Calibri" w:cs="Calibri" w:eastAsia="Calibri" w:hAnsi="Calibri"/>
          <w:sz w:val="21"/>
          <w:szCs w:val="21"/>
        </w:rPr>
        <w:t xml:space="preserve"> Free medication delivery to Federal Health Care Program beneficiaries is a form of remuneration and shall be provided only under a Compliance-approved written policy with uniform criteria, no linkage to volume or value, and no marketing during delivery. Executive shall not treat medication delivery as covered by the Local Transportation Safe Harbor, which addresses transportation of patients rather than delivery of items.</w:t>
      </w:r>
    </w:p>
    <w:p>
      <w:pPr>
        <w:pStyle w:val="Heading1"/>
        <w:pBdr>
          <w:bottom w:val="single" w:color="C9D2DC" w:sz="6" w:space="6"/>
        </w:pBdr>
        <w:spacing w:after="160" w:before="320"/>
      </w:pPr>
      <w:r>
        <w:rPr>
          <w:rFonts w:ascii="Calibri" w:cs="Calibri" w:eastAsia="Calibri" w:hAnsi="Calibri"/>
          <w:b/>
          <w:bCs/>
          <w:color w:val="1F3A5F"/>
          <w:sz w:val="26"/>
          <w:szCs w:val="26"/>
        </w:rPr>
        <w:t xml:space="preserve">16.  Accounting, Cost Centers, P&amp;L and Division Analytics</w:t>
      </w:r>
    </w:p>
    <w:p>
      <w:pPr>
        <w:spacing w:after="140" w:line="264"/>
      </w:pPr>
      <w:r>
        <w:rPr>
          <w:rFonts w:ascii="Calibri" w:cs="Calibri" w:eastAsia="Calibri" w:hAnsi="Calibri"/>
          <w:b/>
          <w:bCs/>
          <w:sz w:val="21"/>
          <w:szCs w:val="21"/>
        </w:rPr>
        <w:t xml:space="preserve">16.1  Cost-center discipline.</w:t>
      </w:r>
      <w:r>
        <w:rPr>
          <w:rFonts w:ascii="Calibri" w:cs="Calibri" w:eastAsia="Calibri" w:hAnsi="Calibri"/>
          <w:sz w:val="21"/>
          <w:szCs w:val="21"/>
        </w:rPr>
        <w:t xml:space="preserve"> Executive shall work with Accounting and Bookkeeping to maintain distinct cost centers, dimensioned by </w:t>
      </w:r>
      <w:r>
        <w:rPr>
          <w:rFonts w:ascii="Calibri" w:cs="Calibri" w:eastAsia="Calibri" w:hAnsi="Calibri"/>
          <w:b/>
          <w:bCs/>
          <w:sz w:val="21"/>
          <w:szCs w:val="21"/>
        </w:rPr>
        <w:t xml:space="preserve">Region</w:t>
      </w:r>
      <w:r>
        <w:rPr>
          <w:rFonts w:ascii="Calibri" w:cs="Calibri" w:eastAsia="Calibri" w:hAnsi="Calibri"/>
          <w:sz w:val="21"/>
          <w:szCs w:val="21"/>
        </w:rPr>
        <w:t xml:space="preserve">, by </w:t>
      </w:r>
      <w:r>
        <w:rPr>
          <w:rFonts w:ascii="Calibri" w:cs="Calibri" w:eastAsia="Calibri" w:hAnsi="Calibri"/>
          <w:b/>
          <w:bCs/>
          <w:sz w:val="21"/>
          <w:szCs w:val="21"/>
        </w:rPr>
        <w:t xml:space="preserve">site</w:t>
      </w:r>
      <w:r>
        <w:rPr>
          <w:rFonts w:ascii="Calibri" w:cs="Calibri" w:eastAsia="Calibri" w:hAnsi="Calibri"/>
          <w:sz w:val="21"/>
          <w:szCs w:val="21"/>
        </w:rPr>
        <w:t xml:space="preserve">, and by </w:t>
      </w:r>
      <w:r>
        <w:rPr>
          <w:rFonts w:ascii="Calibri" w:cs="Calibri" w:eastAsia="Calibri" w:hAnsi="Calibri"/>
          <w:b/>
          <w:bCs/>
          <w:sz w:val="21"/>
          <w:szCs w:val="21"/>
        </w:rPr>
        <w:t xml:space="preserve">Owned Site versus Affiliated Practice</w:t>
      </w:r>
      <w:r>
        <w:rPr>
          <w:rFonts w:ascii="Calibri" w:cs="Calibri" w:eastAsia="Calibri" w:hAnsi="Calibri"/>
          <w:sz w:val="21"/>
          <w:szCs w:val="21"/>
        </w:rPr>
        <w:t xml:space="preserve">, for: clinic transportation; outside-specialty transportation; medication delivery; nonprofit and community-benefit transportation; community paramedicine; event operations; and any future licensed EMS division.</w:t>
      </w:r>
    </w:p>
    <w:p>
      <w:pPr>
        <w:spacing w:after="140" w:line="264"/>
      </w:pPr>
      <w:r>
        <w:rPr>
          <w:rFonts w:ascii="Calibri" w:cs="Calibri" w:eastAsia="Calibri" w:hAnsi="Calibri"/>
          <w:b/>
          <w:bCs/>
          <w:sz w:val="21"/>
          <w:szCs w:val="21"/>
        </w:rPr>
        <w:t xml:space="preserve">16.2  Affiliated Practice cost capture.</w:t>
      </w:r>
      <w:r>
        <w:rPr>
          <w:rFonts w:ascii="Calibri" w:cs="Calibri" w:eastAsia="Calibri" w:hAnsi="Calibri"/>
          <w:sz w:val="21"/>
          <w:szCs w:val="21"/>
        </w:rPr>
        <w:t xml:space="preserve"> Costs incurred in serving an Affiliated Practice shall be captured separately and reconciled to the MSA fee. Executive shall promptly escalate any material divergence between service cost and MSA fee to Accounting and Compliance, because a fee that drifts materially away from fair market value can convert an administrative arrangement into remuneration.</w:t>
      </w:r>
    </w:p>
    <w:p>
      <w:pPr>
        <w:spacing w:after="140" w:line="264"/>
      </w:pPr>
      <w:r>
        <w:rPr>
          <w:rFonts w:ascii="Calibri" w:cs="Calibri" w:eastAsia="Calibri" w:hAnsi="Calibri"/>
          <w:b/>
          <w:bCs/>
          <w:sz w:val="21"/>
          <w:szCs w:val="21"/>
        </w:rPr>
        <w:t xml:space="preserve">16.3  Monthly divisional P&amp;L.</w:t>
      </w:r>
      <w:r>
        <w:rPr>
          <w:rFonts w:ascii="Calibri" w:cs="Calibri" w:eastAsia="Calibri" w:hAnsi="Calibri"/>
          <w:sz w:val="21"/>
          <w:szCs w:val="21"/>
        </w:rPr>
        <w:t xml:space="preserve"> By the ________ business day of each month, Executive shall deliver an operating package reconciling revenue where applicable and direct and allocated expenses, including payroll, overtime, fuel, repairs, tires, insurance, tolls, citations, telematics, rentals, depreciation or lease expense, contracted transportation, event costs, and claims, presented by Region with site-level detail.</w:t>
      </w:r>
    </w:p>
    <w:p>
      <w:pPr>
        <w:spacing w:after="140" w:line="264"/>
      </w:pPr>
      <w:r>
        <w:rPr>
          <w:rFonts w:ascii="Calibri" w:cs="Calibri" w:eastAsia="Calibri" w:hAnsi="Calibri"/>
          <w:b/>
          <w:bCs/>
          <w:sz w:val="21"/>
          <w:szCs w:val="21"/>
        </w:rPr>
        <w:t xml:space="preserve">16.4  Unit economics.</w:t>
      </w:r>
      <w:r>
        <w:rPr>
          <w:rFonts w:ascii="Calibri" w:cs="Calibri" w:eastAsia="Calibri" w:hAnsi="Calibri"/>
          <w:sz w:val="21"/>
          <w:szCs w:val="21"/>
        </w:rPr>
        <w:t xml:space="preserve"> Reports shall include cost per trip, cost per occupied mile, cost per total mile, deadhead percentage, trips per driver-hour, vehicle utilization, fuel economy, maintenance cost per mile, downtime, on-time pickup rate, no-show and cancellation waste, and preventable incident cost.</w:t>
      </w:r>
    </w:p>
    <w:p>
      <w:pPr>
        <w:spacing w:after="140" w:line="264"/>
      </w:pPr>
      <w:r>
        <w:rPr>
          <w:rFonts w:ascii="Calibri" w:cs="Calibri" w:eastAsia="Calibri" w:hAnsi="Calibri"/>
          <w:b/>
          <w:bCs/>
          <w:sz w:val="21"/>
          <w:szCs w:val="21"/>
        </w:rPr>
        <w:t xml:space="preserve">16.5  Improvement recommendations.</w:t>
      </w:r>
      <w:r>
        <w:rPr>
          <w:rFonts w:ascii="Calibri" w:cs="Calibri" w:eastAsia="Calibri" w:hAnsi="Calibri"/>
          <w:sz w:val="21"/>
          <w:szCs w:val="21"/>
        </w:rPr>
        <w:t xml:space="preserve"> Each monthly package shall identify at least three prioritized actions with estimated financial impact, patient-access impact, safety and compliance impact, named owner, due date, and post-implementation validation method.</w:t>
      </w:r>
    </w:p>
    <w:p>
      <w:pPr>
        <w:pStyle w:val="Heading1"/>
        <w:pBdr>
          <w:bottom w:val="single" w:color="C9D2DC" w:sz="6" w:space="6"/>
        </w:pBdr>
        <w:spacing w:after="160" w:before="320"/>
      </w:pPr>
      <w:r>
        <w:rPr>
          <w:rFonts w:ascii="Calibri" w:cs="Calibri" w:eastAsia="Calibri" w:hAnsi="Calibri"/>
          <w:b/>
          <w:bCs/>
          <w:color w:val="1F3A5F"/>
          <w:sz w:val="26"/>
          <w:szCs w:val="26"/>
        </w:rPr>
        <w:t xml:space="preserve">17.  Compliance: Fraud &amp; Abuse, Patient Inducement, Privacy, Billing</w:t>
      </w:r>
    </w:p>
    <w:p>
      <w:pPr>
        <w:spacing w:after="140" w:line="264"/>
      </w:pPr>
      <w:r>
        <w:rPr>
          <w:rFonts w:ascii="Calibri" w:cs="Calibri" w:eastAsia="Calibri" w:hAnsi="Calibri"/>
          <w:b/>
          <w:bCs/>
          <w:sz w:val="21"/>
          <w:szCs w:val="21"/>
        </w:rPr>
        <w:t xml:space="preserve">17.1  Transportation safe-harbor discipline.</w:t>
      </w:r>
      <w:r>
        <w:rPr>
          <w:rFonts w:ascii="Calibri" w:cs="Calibri" w:eastAsia="Calibri" w:hAnsi="Calibri"/>
          <w:sz w:val="21"/>
          <w:szCs w:val="21"/>
        </w:rPr>
        <w:t xml:space="preserve"> Company-funded free or discounted local transportation for Federal Health Care Program beneficiaries shall be administered only under the Compliance-approved written policy contemplated by Section 8, designed around 42 C.F.R. § 1001.952(bb) and its uniform-criteria, established-patient, mileage, marketing, driver-compensation, medically-necessary-purpose, and cost-bearing conditions.</w:t>
      </w:r>
    </w:p>
    <w:p>
      <w:pPr>
        <w:spacing w:after="140" w:line="264"/>
      </w:pPr>
      <w:r>
        <w:rPr>
          <w:rFonts w:ascii="Calibri" w:cs="Calibri" w:eastAsia="Calibri" w:hAnsi="Calibri"/>
          <w:b/>
          <w:bCs/>
          <w:sz w:val="21"/>
          <w:szCs w:val="21"/>
        </w:rPr>
        <w:t xml:space="preserve">17.2  Florida overlay.</w:t>
      </w:r>
      <w:r>
        <w:rPr>
          <w:rFonts w:ascii="Calibri" w:cs="Calibri" w:eastAsia="Calibri" w:hAnsi="Calibri"/>
          <w:sz w:val="21"/>
          <w:szCs w:val="21"/>
        </w:rPr>
        <w:t xml:space="preserve"> Executive shall treat the Florida Patient Brokering Act, § 817.505, Florida Statutes, and Florida fee-splitting prohibitions as independent constraints operating alongside the federal Anti-Kickback Statute, and shall not assume that a federal analysis alone resolves Florida exposure.</w:t>
      </w:r>
    </w:p>
    <w:p>
      <w:pPr>
        <w:spacing w:after="140" w:line="264"/>
      </w:pPr>
      <w:r>
        <w:rPr>
          <w:rFonts w:ascii="Calibri" w:cs="Calibri" w:eastAsia="Calibri" w:hAnsi="Calibri"/>
          <w:b/>
          <w:bCs/>
          <w:sz w:val="21"/>
          <w:szCs w:val="21"/>
        </w:rPr>
        <w:t xml:space="preserve">17.3  Separate nonprofit fund.</w:t>
      </w:r>
      <w:r>
        <w:rPr>
          <w:rFonts w:ascii="Calibri" w:cs="Calibri" w:eastAsia="Calibri" w:hAnsi="Calibri"/>
          <w:sz w:val="21"/>
          <w:szCs w:val="21"/>
        </w:rPr>
        <w:t xml:space="preserve"> A separately funded nonprofit program may support broader community needs, but separate funding alone does not automatically eliminate Anti-Kickback Statute, beneficiary-inducement, tax-exemption, payer-contract, or state-law risk. Executive shall not characterize any structure as legally protected without Compliance or General Counsel approval.</w:t>
      </w:r>
    </w:p>
    <w:p>
      <w:pPr>
        <w:spacing w:after="140" w:line="264"/>
      </w:pPr>
      <w:r>
        <w:rPr>
          <w:rFonts w:ascii="Calibri" w:cs="Calibri" w:eastAsia="Calibri" w:hAnsi="Calibri"/>
          <w:b/>
          <w:bCs/>
          <w:sz w:val="21"/>
          <w:szCs w:val="21"/>
        </w:rPr>
        <w:t xml:space="preserve">17.4  No coding or risk manipulation.</w:t>
      </w:r>
      <w:r>
        <w:rPr>
          <w:rFonts w:ascii="Calibri" w:cs="Calibri" w:eastAsia="Calibri" w:hAnsi="Calibri"/>
          <w:sz w:val="21"/>
          <w:szCs w:val="21"/>
        </w:rPr>
        <w:t xml:space="preserve"> Executive shall not direct or pressure staff to select diagnoses, risk-adjustment codes, CPT codes, encounter types, or program enrollments in order to increase reimbursement. Operational data may identify gaps for clinician review, but clinical documentation and coding must reflect the patient's actual condition and the services actually rendered.</w:t>
      </w:r>
    </w:p>
    <w:p>
      <w:pPr>
        <w:spacing w:after="140" w:line="264"/>
      </w:pPr>
      <w:r>
        <w:rPr>
          <w:rFonts w:ascii="Calibri" w:cs="Calibri" w:eastAsia="Calibri" w:hAnsi="Calibri"/>
          <w:b/>
          <w:bCs/>
          <w:sz w:val="21"/>
          <w:szCs w:val="21"/>
        </w:rPr>
        <w:t xml:space="preserve">17.5  HIPAA and minimum necessary.</w:t>
      </w:r>
      <w:r>
        <w:rPr>
          <w:rFonts w:ascii="Calibri" w:cs="Calibri" w:eastAsia="Calibri" w:hAnsi="Calibri"/>
          <w:sz w:val="21"/>
          <w:szCs w:val="21"/>
        </w:rPr>
        <w:t xml:space="preserve"> Executive shall access PHI only as necessary for assigned duties; use approved systems; avoid unnecessary PHI in text messages, route sheets, dashboards, printed manifests, or vehicle displays; ensure dispatch data are shielded from public and passenger view; and confirm that any vendor with PHI access is covered by a business associate agreement.</w:t>
      </w:r>
    </w:p>
    <w:p>
      <w:pPr>
        <w:spacing w:after="140" w:line="264"/>
      </w:pPr>
      <w:r>
        <w:rPr>
          <w:rFonts w:ascii="Calibri" w:cs="Calibri" w:eastAsia="Calibri" w:hAnsi="Calibri"/>
          <w:b/>
          <w:bCs/>
          <w:sz w:val="21"/>
          <w:szCs w:val="21"/>
        </w:rPr>
        <w:t xml:space="preserve">17.6  Duty to report.</w:t>
      </w:r>
      <w:r>
        <w:rPr>
          <w:rFonts w:ascii="Calibri" w:cs="Calibri" w:eastAsia="Calibri" w:hAnsi="Calibri"/>
          <w:sz w:val="21"/>
          <w:szCs w:val="21"/>
        </w:rPr>
        <w:t xml:space="preserve"> Executive shall promptly report suspected fraud, kickbacks, inducements, diversion, privacy incidents, or falsified records to Compliance or General Counsel. The Company prohibits retaliation against a good-faith report, and nothing in this Agreement limits Executive's right to communicate with, or participate in an investigation by, a government agency, or to receive a lawful whistleblower award.</w:t>
      </w:r>
    </w:p>
    <w:p>
      <w:pPr>
        <w:pStyle w:val="Heading1"/>
        <w:pBdr>
          <w:bottom w:val="single" w:color="C9D2DC" w:sz="6" w:space="6"/>
        </w:pBdr>
        <w:spacing w:after="160" w:before="320"/>
      </w:pPr>
      <w:r>
        <w:rPr>
          <w:rFonts w:ascii="Calibri" w:cs="Calibri" w:eastAsia="Calibri" w:hAnsi="Calibri"/>
          <w:b/>
          <w:bCs/>
          <w:color w:val="1F3A5F"/>
          <w:sz w:val="26"/>
          <w:szCs w:val="26"/>
        </w:rPr>
        <w:t xml:space="preserve">18.  Quality Management, Incident Review &amp; Corrective Action</w:t>
      </w:r>
    </w:p>
    <w:p>
      <w:pPr>
        <w:pStyle w:val="ListParagraph"/>
        <w:numPr>
          <w:ilvl w:val="0"/>
          <w:numId w:val="2"/>
        </w:numPr>
        <w:spacing w:after="90" w:line="264"/>
      </w:pPr>
      <w:r>
        <w:rPr>
          <w:rFonts w:ascii="Calibri" w:cs="Calibri" w:eastAsia="Calibri" w:hAnsi="Calibri"/>
          <w:sz w:val="21"/>
          <w:szCs w:val="21"/>
        </w:rPr>
        <w:t xml:space="preserve">Maintain a standardized collision and incident packet with a same-day escalation workflow applicable in both Regions.</w:t>
      </w:r>
    </w:p>
    <w:p>
      <w:pPr>
        <w:pStyle w:val="ListParagraph"/>
        <w:numPr>
          <w:ilvl w:val="0"/>
          <w:numId w:val="2"/>
        </w:numPr>
        <w:spacing w:after="90" w:line="264"/>
      </w:pPr>
      <w:r>
        <w:rPr>
          <w:rFonts w:ascii="Calibri" w:cs="Calibri" w:eastAsia="Calibri" w:hAnsi="Calibri"/>
          <w:sz w:val="21"/>
          <w:szCs w:val="21"/>
        </w:rPr>
        <w:t xml:space="preserve">Conduct root-cause review for preventable collisions, repeated telematics outliers, missed high-priority pickups, medication-delivery failures, transport-eligibility exceptions, and vehicle breakdowns.</w:t>
      </w:r>
    </w:p>
    <w:p>
      <w:pPr>
        <w:pStyle w:val="ListParagraph"/>
        <w:numPr>
          <w:ilvl w:val="0"/>
          <w:numId w:val="2"/>
        </w:numPr>
        <w:spacing w:after="90" w:line="264"/>
      </w:pPr>
      <w:r>
        <w:rPr>
          <w:rFonts w:ascii="Calibri" w:cs="Calibri" w:eastAsia="Calibri" w:hAnsi="Calibri"/>
          <w:sz w:val="21"/>
          <w:szCs w:val="21"/>
        </w:rPr>
        <w:t xml:space="preserve">Use a just-culture approach distinguishing human error, at-risk behavior, reckless behavior, system defects, and training gaps, while preserving accountability.</w:t>
      </w:r>
    </w:p>
    <w:p>
      <w:pPr>
        <w:pStyle w:val="ListParagraph"/>
        <w:numPr>
          <w:ilvl w:val="0"/>
          <w:numId w:val="2"/>
        </w:numPr>
        <w:spacing w:after="90" w:line="264"/>
      </w:pPr>
      <w:r>
        <w:rPr>
          <w:rFonts w:ascii="Calibri" w:cs="Calibri" w:eastAsia="Calibri" w:hAnsi="Calibri"/>
          <w:sz w:val="21"/>
          <w:szCs w:val="21"/>
        </w:rPr>
        <w:t xml:space="preserve">Track corrective actions to closure and verify effectiveness through a defined re-measurement step, not merely a closure checkbox.</w:t>
      </w:r>
    </w:p>
    <w:p>
      <w:pPr>
        <w:pStyle w:val="ListParagraph"/>
        <w:numPr>
          <w:ilvl w:val="0"/>
          <w:numId w:val="2"/>
        </w:numPr>
        <w:spacing w:after="90" w:line="264"/>
      </w:pPr>
      <w:r>
        <w:rPr>
          <w:rFonts w:ascii="Calibri" w:cs="Calibri" w:eastAsia="Calibri" w:hAnsi="Calibri"/>
          <w:sz w:val="21"/>
          <w:szCs w:val="21"/>
        </w:rPr>
        <w:t xml:space="preserve">Prepare quarterly quality reviews for executive leadership and, for any licensed EMS operation, support the quality-assurance process required under Florida law.</w:t>
      </w:r>
    </w:p>
    <w:p>
      <w:pPr>
        <w:pStyle w:val="Heading1"/>
        <w:pBdr>
          <w:bottom w:val="single" w:color="C9D2DC" w:sz="6" w:space="6"/>
        </w:pBdr>
        <w:spacing w:after="160" w:before="320"/>
      </w:pPr>
      <w:r>
        <w:rPr>
          <w:rFonts w:ascii="Calibri" w:cs="Calibri" w:eastAsia="Calibri" w:hAnsi="Calibri"/>
          <w:b/>
          <w:bCs/>
          <w:color w:val="1F3A5F"/>
          <w:sz w:val="26"/>
          <w:szCs w:val="26"/>
        </w:rPr>
        <w:t xml:space="preserve">19.  Information Security, Confidentiality &amp; Records</w:t>
      </w:r>
    </w:p>
    <w:p>
      <w:pPr>
        <w:spacing w:after="140" w:line="264"/>
      </w:pPr>
      <w:r>
        <w:rPr>
          <w:rFonts w:ascii="Calibri" w:cs="Calibri" w:eastAsia="Calibri" w:hAnsi="Calibri"/>
          <w:b/>
          <w:bCs/>
          <w:sz w:val="21"/>
          <w:szCs w:val="21"/>
        </w:rPr>
        <w:t xml:space="preserve">19.1  Confidential information.</w:t>
      </w:r>
      <w:r>
        <w:rPr>
          <w:rFonts w:ascii="Calibri" w:cs="Calibri" w:eastAsia="Calibri" w:hAnsi="Calibri"/>
          <w:sz w:val="21"/>
          <w:szCs w:val="21"/>
        </w:rPr>
        <w:t xml:space="preserve"> Executive shall protect patient information, business plans, payer contracts, risk arrangements, MSA terms and fee schedules, financial data, route data, employee records, telematics data, vendor pricing, pharmacy logistics, software credentials, trade secrets, and other nonpublic information of the Company and, where lawfully received, of any Affiliated Practice.</w:t>
      </w:r>
    </w:p>
    <w:p>
      <w:pPr>
        <w:spacing w:after="140" w:line="264"/>
      </w:pPr>
      <w:r>
        <w:rPr>
          <w:rFonts w:ascii="Calibri" w:cs="Calibri" w:eastAsia="Calibri" w:hAnsi="Calibri"/>
          <w:b/>
          <w:bCs/>
          <w:sz w:val="21"/>
          <w:szCs w:val="21"/>
        </w:rPr>
        <w:t xml:space="preserve">19.2  Records.</w:t>
      </w:r>
      <w:r>
        <w:rPr>
          <w:rFonts w:ascii="Calibri" w:cs="Calibri" w:eastAsia="Calibri" w:hAnsi="Calibri"/>
          <w:sz w:val="21"/>
          <w:szCs w:val="21"/>
        </w:rPr>
        <w:t xml:space="preserve"> All dispatch records, dashboards, spreadsheets, standard operating procedures, driver files, maintenance logs, vendor records, incident analyses, and work product created in the course of employment are Company records and shall be stored in approved systems with appropriate retention and access controls. Executive shall not maintain shadow records in personal accounts or unmanaged spreadsheets.</w:t>
      </w:r>
    </w:p>
    <w:p>
      <w:pPr>
        <w:spacing w:after="140" w:line="264"/>
      </w:pPr>
      <w:r>
        <w:rPr>
          <w:rFonts w:ascii="Calibri" w:cs="Calibri" w:eastAsia="Calibri" w:hAnsi="Calibri"/>
          <w:b/>
          <w:bCs/>
          <w:sz w:val="21"/>
          <w:szCs w:val="21"/>
        </w:rPr>
        <w:t xml:space="preserve">19.3  Security.</w:t>
      </w:r>
      <w:r>
        <w:rPr>
          <w:rFonts w:ascii="Calibri" w:cs="Calibri" w:eastAsia="Calibri" w:hAnsi="Calibri"/>
          <w:sz w:val="21"/>
          <w:szCs w:val="21"/>
        </w:rPr>
        <w:t xml:space="preserve"> Executive shall follow Company cybersecurity requirements, including multi-factor authentication, approved devices, credential protection, secure sharing, phishing reporting, and immediate reporting of lost devices or suspected data exposure.</w:t>
      </w:r>
    </w:p>
    <w:p>
      <w:pPr>
        <w:spacing w:after="140" w:line="264"/>
      </w:pPr>
      <w:r>
        <w:rPr>
          <w:rFonts w:ascii="Calibri" w:cs="Calibri" w:eastAsia="Calibri" w:hAnsi="Calibri"/>
          <w:b/>
          <w:bCs/>
          <w:sz w:val="21"/>
          <w:szCs w:val="21"/>
        </w:rPr>
        <w:t xml:space="preserve">19.4  Data segregation.</w:t>
      </w:r>
      <w:r>
        <w:rPr>
          <w:rFonts w:ascii="Calibri" w:cs="Calibri" w:eastAsia="Calibri" w:hAnsi="Calibri"/>
          <w:sz w:val="21"/>
          <w:szCs w:val="21"/>
        </w:rPr>
        <w:t xml:space="preserve"> Data belonging to an Affiliated Practice shall be segregated from Company data by system, access control, or tenancy, and shall be returned or disposed of in accordance with the applicable MSA and business associate agreement upon its termination.</w:t>
      </w:r>
    </w:p>
    <w:p>
      <w:pPr>
        <w:pStyle w:val="Heading1"/>
        <w:pBdr>
          <w:bottom w:val="single" w:color="C9D2DC" w:sz="6" w:space="6"/>
        </w:pBdr>
        <w:spacing w:after="160" w:before="320"/>
      </w:pPr>
      <w:r>
        <w:rPr>
          <w:rFonts w:ascii="Calibri" w:cs="Calibri" w:eastAsia="Calibri" w:hAnsi="Calibri"/>
          <w:b/>
          <w:bCs/>
          <w:color w:val="1F3A5F"/>
          <w:sz w:val="26"/>
          <w:szCs w:val="26"/>
        </w:rPr>
        <w:t xml:space="preserve">20.  Performance Management &amp; Executive KPIs</w:t>
      </w:r>
    </w:p>
    <w:p>
      <w:pPr>
        <w:spacing w:after="140" w:line="264"/>
      </w:pPr>
      <w:r>
        <w:rPr>
          <w:rFonts w:ascii="Calibri" w:cs="Calibri" w:eastAsia="Calibri" w:hAnsi="Calibri"/>
          <w:b/>
          <w:bCs/>
          <w:sz w:val="21"/>
          <w:szCs w:val="21"/>
        </w:rPr>
        <w:t xml:space="preserve">20.1  Scorecard.</w:t>
      </w:r>
      <w:r>
        <w:rPr>
          <w:rFonts w:ascii="Calibri" w:cs="Calibri" w:eastAsia="Calibri" w:hAnsi="Calibri"/>
          <w:sz w:val="21"/>
          <w:szCs w:val="21"/>
        </w:rPr>
        <w:t xml:space="preserve"> Executive performance will be evaluated on balanced safety, access, compliance, financial, asset, workforce, and service metrics, reported by Region. </w:t>
      </w:r>
      <w:r>
        <w:rPr>
          <w:rFonts w:ascii="Calibri" w:cs="Calibri" w:eastAsia="Calibri" w:hAnsi="Calibri"/>
          <w:b/>
          <w:bCs/>
          <w:sz w:val="21"/>
          <w:szCs w:val="21"/>
        </w:rPr>
        <w:t xml:space="preserve">No metric shall incentivize unsafe driving, inappropriate utilization, prohibited patient inducement, patient steering, or improper billing.</w:t>
      </w:r>
    </w:p>
    <w:p>
      <w:pPr>
        <w:spacing w:after="60"/>
      </w:pP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2900"/>
        <w:gridCol w:w="2700"/>
        <w:gridCol w:w="1600"/>
        <w:gridCol w:w="2880"/>
      </w:tblGrid>
      <w:tr>
        <w:trPr>
          <w:tblHeader/>
        </w:trPr>
        <w:tc>
          <w:tcPr>
            <w:tcW w:type="dxa" w:w="29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KPI</w:t>
            </w:r>
          </w:p>
        </w:tc>
        <w:tc>
          <w:tcPr>
            <w:tcW w:type="dxa" w:w="27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Target / Standard</w:t>
            </w:r>
          </w:p>
        </w:tc>
        <w:tc>
          <w:tcPr>
            <w:tcW w:type="dxa" w:w="16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Review</w:t>
            </w:r>
          </w:p>
        </w:tc>
        <w:tc>
          <w:tcPr>
            <w:tcW w:type="dxa" w:w="28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Evidence</w:t>
            </w:r>
          </w:p>
        </w:tc>
      </w:tr>
      <w:tr>
        <w:tc>
          <w:tcPr>
            <w:tcW w:type="dxa" w:w="2900"/>
            <w:tcMar>
              <w:top w:type="dxa" w:w="90"/>
              <w:left w:type="dxa" w:w="120"/>
              <w:bottom w:type="dxa" w:w="90"/>
              <w:right w:type="dxa" w:w="120"/>
            </w:tcMar>
          </w:tcPr>
          <w:p>
            <w:pPr>
              <w:spacing w:after="0" w:line="252"/>
            </w:pPr>
            <w:r>
              <w:rPr>
                <w:rFonts w:ascii="Calibri" w:cs="Calibri" w:eastAsia="Calibri" w:hAnsi="Calibri"/>
                <w:sz w:val="19"/>
                <w:szCs w:val="19"/>
              </w:rPr>
              <w:t xml:space="preserve">On-time pickup / arrival</w:t>
            </w:r>
          </w:p>
        </w:tc>
        <w:tc>
          <w:tcPr>
            <w:tcW w:type="dxa" w:w="2700"/>
            <w:tcMar>
              <w:top w:type="dxa" w:w="90"/>
              <w:left w:type="dxa" w:w="120"/>
              <w:bottom w:type="dxa" w:w="90"/>
              <w:right w:type="dxa" w:w="120"/>
            </w:tcMar>
          </w:tcPr>
          <w:p>
            <w:pPr>
              <w:spacing w:after="0" w:line="252"/>
            </w:pPr>
            <w:r>
              <w:rPr>
                <w:rFonts w:ascii="Calibri" w:cs="Calibri" w:eastAsia="Calibri" w:hAnsi="Calibri"/>
                <w:sz w:val="19"/>
                <w:szCs w:val="19"/>
              </w:rPr>
              <w:t xml:space="preserve">≥ ______% within defined window</w:t>
            </w:r>
          </w:p>
        </w:tc>
        <w:tc>
          <w:tcPr>
            <w:tcW w:type="dxa" w:w="16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tcMar>
              <w:top w:type="dxa" w:w="90"/>
              <w:left w:type="dxa" w:w="120"/>
              <w:bottom w:type="dxa" w:w="90"/>
              <w:right w:type="dxa" w:w="120"/>
            </w:tcMar>
          </w:tcPr>
          <w:p>
            <w:pPr>
              <w:spacing w:after="0" w:line="252"/>
            </w:pPr>
            <w:r>
              <w:rPr>
                <w:rFonts w:ascii="Calibri" w:cs="Calibri" w:eastAsia="Calibri" w:hAnsi="Calibri"/>
                <w:sz w:val="19"/>
                <w:szCs w:val="19"/>
              </w:rPr>
              <w:t xml:space="preserve">Dispatch</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Deadhead miles</w:t>
            </w:r>
          </w:p>
        </w:tc>
        <w:tc>
          <w:tcPr>
            <w:tcW w:type="dxa" w:w="2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Reduce ______% from baseline</w:t>
            </w:r>
          </w:p>
        </w:tc>
        <w:tc>
          <w:tcPr>
            <w:tcW w:type="dxa" w:w="1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Telematics</w:t>
            </w:r>
          </w:p>
        </w:tc>
      </w:tr>
      <w:tr>
        <w:tc>
          <w:tcPr>
            <w:tcW w:type="dxa" w:w="2900"/>
            <w:tcMar>
              <w:top w:type="dxa" w:w="90"/>
              <w:left w:type="dxa" w:w="120"/>
              <w:bottom w:type="dxa" w:w="90"/>
              <w:right w:type="dxa" w:w="120"/>
            </w:tcMar>
          </w:tcPr>
          <w:p>
            <w:pPr>
              <w:spacing w:after="0" w:line="252"/>
            </w:pPr>
            <w:r>
              <w:rPr>
                <w:rFonts w:ascii="Calibri" w:cs="Calibri" w:eastAsia="Calibri" w:hAnsi="Calibri"/>
                <w:sz w:val="19"/>
                <w:szCs w:val="19"/>
              </w:rPr>
              <w:t xml:space="preserve">Fuel cost per mile</w:t>
            </w:r>
          </w:p>
        </w:tc>
        <w:tc>
          <w:tcPr>
            <w:tcW w:type="dxa" w:w="2700"/>
            <w:tcMar>
              <w:top w:type="dxa" w:w="90"/>
              <w:left w:type="dxa" w:w="120"/>
              <w:bottom w:type="dxa" w:w="90"/>
              <w:right w:type="dxa" w:w="120"/>
            </w:tcMar>
          </w:tcPr>
          <w:p>
            <w:pPr>
              <w:spacing w:after="0" w:line="252"/>
            </w:pPr>
            <w:r>
              <w:rPr>
                <w:rFonts w:ascii="Calibri" w:cs="Calibri" w:eastAsia="Calibri" w:hAnsi="Calibri"/>
                <w:sz w:val="19"/>
                <w:szCs w:val="19"/>
              </w:rPr>
              <w:t xml:space="preserve">At or below approved budget</w:t>
            </w:r>
          </w:p>
        </w:tc>
        <w:tc>
          <w:tcPr>
            <w:tcW w:type="dxa" w:w="16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tcMar>
              <w:top w:type="dxa" w:w="90"/>
              <w:left w:type="dxa" w:w="120"/>
              <w:bottom w:type="dxa" w:w="90"/>
              <w:right w:type="dxa" w:w="120"/>
            </w:tcMar>
          </w:tcPr>
          <w:p>
            <w:pPr>
              <w:spacing w:after="0" w:line="252"/>
            </w:pPr>
            <w:r>
              <w:rPr>
                <w:rFonts w:ascii="Calibri" w:cs="Calibri" w:eastAsia="Calibri" w:hAnsi="Calibri"/>
                <w:sz w:val="19"/>
                <w:szCs w:val="19"/>
              </w:rPr>
              <w:t xml:space="preserve">Fuel / P&amp;L</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PM compliance</w:t>
            </w:r>
          </w:p>
        </w:tc>
        <w:tc>
          <w:tcPr>
            <w:tcW w:type="dxa" w:w="2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 98% on time; zero critical overdue</w:t>
            </w:r>
          </w:p>
        </w:tc>
        <w:tc>
          <w:tcPr>
            <w:tcW w:type="dxa" w:w="1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Fleet system</w:t>
            </w:r>
          </w:p>
        </w:tc>
      </w:tr>
      <w:tr>
        <w:tc>
          <w:tcPr>
            <w:tcW w:type="dxa" w:w="2900"/>
            <w:tcMar>
              <w:top w:type="dxa" w:w="90"/>
              <w:left w:type="dxa" w:w="120"/>
              <w:bottom w:type="dxa" w:w="90"/>
              <w:right w:type="dxa" w:w="120"/>
            </w:tcMar>
          </w:tcPr>
          <w:p>
            <w:pPr>
              <w:spacing w:after="0" w:line="252"/>
            </w:pPr>
            <w:r>
              <w:rPr>
                <w:rFonts w:ascii="Calibri" w:cs="Calibri" w:eastAsia="Calibri" w:hAnsi="Calibri"/>
                <w:sz w:val="19"/>
                <w:szCs w:val="19"/>
              </w:rPr>
              <w:t xml:space="preserve">Vehicle downtime</w:t>
            </w:r>
          </w:p>
        </w:tc>
        <w:tc>
          <w:tcPr>
            <w:tcW w:type="dxa" w:w="2700"/>
            <w:tcMar>
              <w:top w:type="dxa" w:w="90"/>
              <w:left w:type="dxa" w:w="120"/>
              <w:bottom w:type="dxa" w:w="90"/>
              <w:right w:type="dxa" w:w="120"/>
            </w:tcMar>
          </w:tcPr>
          <w:p>
            <w:pPr>
              <w:spacing w:after="0" w:line="252"/>
            </w:pPr>
            <w:r>
              <w:rPr>
                <w:rFonts w:ascii="Calibri" w:cs="Calibri" w:eastAsia="Calibri" w:hAnsi="Calibri"/>
                <w:sz w:val="19"/>
                <w:szCs w:val="19"/>
              </w:rPr>
              <w:t xml:space="preserve">Reduce ______% from baseline</w:t>
            </w:r>
          </w:p>
        </w:tc>
        <w:tc>
          <w:tcPr>
            <w:tcW w:type="dxa" w:w="16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tcMar>
              <w:top w:type="dxa" w:w="90"/>
              <w:left w:type="dxa" w:w="120"/>
              <w:bottom w:type="dxa" w:w="90"/>
              <w:right w:type="dxa" w:w="120"/>
            </w:tcMar>
          </w:tcPr>
          <w:p>
            <w:pPr>
              <w:spacing w:after="0" w:line="252"/>
            </w:pPr>
            <w:r>
              <w:rPr>
                <w:rFonts w:ascii="Calibri" w:cs="Calibri" w:eastAsia="Calibri" w:hAnsi="Calibri"/>
                <w:sz w:val="19"/>
                <w:szCs w:val="19"/>
              </w:rPr>
              <w:t xml:space="preserve">Maintenance</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TCM logistics completion</w:t>
            </w:r>
          </w:p>
        </w:tc>
        <w:tc>
          <w:tcPr>
            <w:tcW w:type="dxa" w:w="2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Clinician-assigned transport completed within required window</w:t>
            </w:r>
          </w:p>
        </w:tc>
        <w:tc>
          <w:tcPr>
            <w:tcW w:type="dxa" w:w="1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Weekly</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Care management + dispatch</w:t>
            </w:r>
          </w:p>
        </w:tc>
      </w:tr>
      <w:tr>
        <w:tc>
          <w:tcPr>
            <w:tcW w:type="dxa" w:w="2900"/>
            <w:tcMar>
              <w:top w:type="dxa" w:w="90"/>
              <w:left w:type="dxa" w:w="120"/>
              <w:bottom w:type="dxa" w:w="90"/>
              <w:right w:type="dxa" w:w="120"/>
            </w:tcMar>
          </w:tcPr>
          <w:p>
            <w:pPr>
              <w:spacing w:after="0" w:line="252"/>
            </w:pPr>
            <w:r>
              <w:rPr>
                <w:rFonts w:ascii="Calibri" w:cs="Calibri" w:eastAsia="Calibri" w:hAnsi="Calibri"/>
                <w:sz w:val="19"/>
                <w:szCs w:val="19"/>
              </w:rPr>
              <w:t xml:space="preserve">Driver safety score</w:t>
            </w:r>
          </w:p>
        </w:tc>
        <w:tc>
          <w:tcPr>
            <w:tcW w:type="dxa" w:w="2700"/>
            <w:tcMar>
              <w:top w:type="dxa" w:w="90"/>
              <w:left w:type="dxa" w:w="120"/>
              <w:bottom w:type="dxa" w:w="90"/>
              <w:right w:type="dxa" w:w="120"/>
            </w:tcMar>
          </w:tcPr>
          <w:p>
            <w:pPr>
              <w:spacing w:after="0" w:line="252"/>
            </w:pPr>
            <w:r>
              <w:rPr>
                <w:rFonts w:ascii="Calibri" w:cs="Calibri" w:eastAsia="Calibri" w:hAnsi="Calibri"/>
                <w:sz w:val="19"/>
                <w:szCs w:val="19"/>
              </w:rPr>
              <w:t xml:space="preserve">≥ ______ / 100</w:t>
            </w:r>
          </w:p>
        </w:tc>
        <w:tc>
          <w:tcPr>
            <w:tcW w:type="dxa" w:w="16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tcMar>
              <w:top w:type="dxa" w:w="90"/>
              <w:left w:type="dxa" w:w="120"/>
              <w:bottom w:type="dxa" w:w="90"/>
              <w:right w:type="dxa" w:w="120"/>
            </w:tcMar>
          </w:tcPr>
          <w:p>
            <w:pPr>
              <w:spacing w:after="0" w:line="252"/>
            </w:pPr>
            <w:r>
              <w:rPr>
                <w:rFonts w:ascii="Calibri" w:cs="Calibri" w:eastAsia="Calibri" w:hAnsi="Calibri"/>
                <w:sz w:val="19"/>
                <w:szCs w:val="19"/>
              </w:rPr>
              <w:t xml:space="preserve">Telematics</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Preventable incidents</w:t>
            </w:r>
          </w:p>
        </w:tc>
        <w:tc>
          <w:tcPr>
            <w:tcW w:type="dxa" w:w="2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Zero serious; downward total trend</w:t>
            </w:r>
          </w:p>
        </w:tc>
        <w:tc>
          <w:tcPr>
            <w:tcW w:type="dxa" w:w="1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Risk log</w:t>
            </w:r>
          </w:p>
        </w:tc>
      </w:tr>
      <w:tr>
        <w:tc>
          <w:tcPr>
            <w:tcW w:type="dxa" w:w="2900"/>
            <w:tcMar>
              <w:top w:type="dxa" w:w="90"/>
              <w:left w:type="dxa" w:w="120"/>
              <w:bottom w:type="dxa" w:w="90"/>
              <w:right w:type="dxa" w:w="120"/>
            </w:tcMar>
          </w:tcPr>
          <w:p>
            <w:pPr>
              <w:spacing w:after="0" w:line="252"/>
            </w:pPr>
            <w:r>
              <w:rPr>
                <w:rFonts w:ascii="Calibri" w:cs="Calibri" w:eastAsia="Calibri" w:hAnsi="Calibri"/>
                <w:sz w:val="19"/>
                <w:szCs w:val="19"/>
              </w:rPr>
              <w:t xml:space="preserve">Transport eligibility exceptions</w:t>
            </w:r>
          </w:p>
        </w:tc>
        <w:tc>
          <w:tcPr>
            <w:tcW w:type="dxa" w:w="2700"/>
            <w:tcMar>
              <w:top w:type="dxa" w:w="90"/>
              <w:left w:type="dxa" w:w="120"/>
              <w:bottom w:type="dxa" w:w="90"/>
              <w:right w:type="dxa" w:w="120"/>
            </w:tcMar>
          </w:tcPr>
          <w:p>
            <w:pPr>
              <w:spacing w:after="0" w:line="252"/>
            </w:pPr>
            <w:r>
              <w:rPr>
                <w:rFonts w:ascii="Calibri" w:cs="Calibri" w:eastAsia="Calibri" w:hAnsi="Calibri"/>
                <w:sz w:val="19"/>
                <w:szCs w:val="19"/>
              </w:rPr>
              <w:t xml:space="preserve">Zero unapproved out-of-policy trips</w:t>
            </w:r>
          </w:p>
        </w:tc>
        <w:tc>
          <w:tcPr>
            <w:tcW w:type="dxa" w:w="16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tcMar>
              <w:top w:type="dxa" w:w="90"/>
              <w:left w:type="dxa" w:w="120"/>
              <w:bottom w:type="dxa" w:w="90"/>
              <w:right w:type="dxa" w:w="120"/>
            </w:tcMar>
          </w:tcPr>
          <w:p>
            <w:pPr>
              <w:spacing w:after="0" w:line="252"/>
            </w:pPr>
            <w:r>
              <w:rPr>
                <w:rFonts w:ascii="Calibri" w:cs="Calibri" w:eastAsia="Calibri" w:hAnsi="Calibri"/>
                <w:sz w:val="19"/>
                <w:szCs w:val="19"/>
              </w:rPr>
              <w:t xml:space="preserve">Dispatch audit</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MSA cost-to-fee variance</w:t>
            </w:r>
          </w:p>
        </w:tc>
        <w:tc>
          <w:tcPr>
            <w:tcW w:type="dxa" w:w="2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Within ______% for each Affiliated Practice</w:t>
            </w:r>
          </w:p>
        </w:tc>
        <w:tc>
          <w:tcPr>
            <w:tcW w:type="dxa" w:w="1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Accounting</w:t>
            </w:r>
          </w:p>
        </w:tc>
      </w:tr>
      <w:tr>
        <w:tc>
          <w:tcPr>
            <w:tcW w:type="dxa" w:w="2900"/>
            <w:tcMar>
              <w:top w:type="dxa" w:w="90"/>
              <w:left w:type="dxa" w:w="120"/>
              <w:bottom w:type="dxa" w:w="90"/>
              <w:right w:type="dxa" w:w="120"/>
            </w:tcMar>
          </w:tcPr>
          <w:p>
            <w:pPr>
              <w:spacing w:after="0" w:line="252"/>
            </w:pPr>
            <w:r>
              <w:rPr>
                <w:rFonts w:ascii="Calibri" w:cs="Calibri" w:eastAsia="Calibri" w:hAnsi="Calibri"/>
                <w:sz w:val="19"/>
                <w:szCs w:val="19"/>
              </w:rPr>
              <w:t xml:space="preserve">P&amp;L variance</w:t>
            </w:r>
          </w:p>
        </w:tc>
        <w:tc>
          <w:tcPr>
            <w:tcW w:type="dxa" w:w="2700"/>
            <w:tcMar>
              <w:top w:type="dxa" w:w="90"/>
              <w:left w:type="dxa" w:w="120"/>
              <w:bottom w:type="dxa" w:w="90"/>
              <w:right w:type="dxa" w:w="120"/>
            </w:tcMar>
          </w:tcPr>
          <w:p>
            <w:pPr>
              <w:spacing w:after="0" w:line="252"/>
            </w:pPr>
            <w:r>
              <w:rPr>
                <w:rFonts w:ascii="Calibri" w:cs="Calibri" w:eastAsia="Calibri" w:hAnsi="Calibri"/>
                <w:sz w:val="19"/>
                <w:szCs w:val="19"/>
              </w:rPr>
              <w:t xml:space="preserve">Within ______% of budget</w:t>
            </w:r>
          </w:p>
        </w:tc>
        <w:tc>
          <w:tcPr>
            <w:tcW w:type="dxa" w:w="1600"/>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tcMar>
              <w:top w:type="dxa" w:w="90"/>
              <w:left w:type="dxa" w:w="120"/>
              <w:bottom w:type="dxa" w:w="90"/>
              <w:right w:type="dxa" w:w="120"/>
            </w:tcMar>
          </w:tcPr>
          <w:p>
            <w:pPr>
              <w:spacing w:after="0" w:line="252"/>
            </w:pPr>
            <w:r>
              <w:rPr>
                <w:rFonts w:ascii="Calibri" w:cs="Calibri" w:eastAsia="Calibri" w:hAnsi="Calibri"/>
                <w:sz w:val="19"/>
                <w:szCs w:val="19"/>
              </w:rPr>
              <w:t xml:space="preserve">Accounting</w:t>
            </w:r>
          </w:p>
        </w:tc>
      </w:tr>
      <w:tr>
        <w:tc>
          <w:tcPr>
            <w:tcW w:type="dxa" w:w="29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Corrective actions</w:t>
            </w:r>
          </w:p>
        </w:tc>
        <w:tc>
          <w:tcPr>
            <w:tcW w:type="dxa" w:w="27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 95% closed by due date</w:t>
            </w:r>
          </w:p>
        </w:tc>
        <w:tc>
          <w:tcPr>
            <w:tcW w:type="dxa" w:w="16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Monthly</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QA tracker</w:t>
            </w:r>
          </w:p>
        </w:tc>
      </w:tr>
    </w:tbl>
    <w:p>
      <w:pPr>
        <w:spacing w:after="120"/>
      </w:pPr>
    </w:p>
    <w:p>
      <w:pPr>
        <w:spacing w:after="140" w:line="264"/>
      </w:pPr>
      <w:r>
        <w:rPr>
          <w:rFonts w:ascii="Calibri" w:cs="Calibri" w:eastAsia="Calibri" w:hAnsi="Calibri"/>
          <w:b/>
          <w:bCs/>
          <w:sz w:val="21"/>
          <w:szCs w:val="21"/>
        </w:rPr>
        <w:t xml:space="preserve">20.2  First 90 days.</w:t>
      </w:r>
      <w:r>
        <w:rPr>
          <w:rFonts w:ascii="Calibri" w:cs="Calibri" w:eastAsia="Calibri" w:hAnsi="Calibri"/>
          <w:sz w:val="21"/>
          <w:szCs w:val="21"/>
        </w:rPr>
        <w:t xml:space="preserve"> Initial priorities are set forth in Exhibit A. Targets may be refined after Executive establishes a validated 30- to 60-day baseline for each Region independently.</w:t>
      </w:r>
    </w:p>
    <w:p>
      <w:pPr>
        <w:pStyle w:val="Heading1"/>
        <w:pBdr>
          <w:bottom w:val="single" w:color="C9D2DC" w:sz="6" w:space="6"/>
        </w:pBdr>
        <w:spacing w:after="160" w:before="320"/>
      </w:pPr>
      <w:r>
        <w:rPr>
          <w:rFonts w:ascii="Calibri" w:cs="Calibri" w:eastAsia="Calibri" w:hAnsi="Calibri"/>
          <w:b/>
          <w:bCs/>
          <w:color w:val="1F3A5F"/>
          <w:sz w:val="26"/>
          <w:szCs w:val="26"/>
        </w:rPr>
        <w:t xml:space="preserve">21.  Employment Policies, Screening, Conduct &amp; Conflicts</w:t>
      </w:r>
    </w:p>
    <w:p>
      <w:pPr>
        <w:spacing w:after="140" w:line="264"/>
      </w:pPr>
      <w:r>
        <w:rPr>
          <w:rFonts w:ascii="Calibri" w:cs="Calibri" w:eastAsia="Calibri" w:hAnsi="Calibri"/>
          <w:b/>
          <w:bCs/>
          <w:sz w:val="21"/>
          <w:szCs w:val="21"/>
        </w:rPr>
        <w:t xml:space="preserve">21.1  Policies.</w:t>
      </w:r>
      <w:r>
        <w:rPr>
          <w:rFonts w:ascii="Calibri" w:cs="Calibri" w:eastAsia="Calibri" w:hAnsi="Calibri"/>
          <w:sz w:val="21"/>
          <w:szCs w:val="21"/>
        </w:rPr>
        <w:t xml:space="preserve"> Executive shall comply with Company policies as amended, including equal employment opportunity, anti-harassment, workplace safety, substance-free workplace, HIPAA and privacy, cybersecurity, expense, vehicle use, social media, and compliance policies. If a policy conflicts with this Agreement, this Agreement controls only to the extent legally permissible and expressly inconsistent.</w:t>
      </w:r>
    </w:p>
    <w:p>
      <w:pPr>
        <w:spacing w:after="140" w:line="264"/>
      </w:pPr>
      <w:r>
        <w:rPr>
          <w:rFonts w:ascii="Calibri" w:cs="Calibri" w:eastAsia="Calibri" w:hAnsi="Calibri"/>
          <w:b/>
          <w:bCs/>
          <w:sz w:val="21"/>
          <w:szCs w:val="21"/>
        </w:rPr>
        <w:t xml:space="preserve">21.2  Drug-free workplace.</w:t>
      </w:r>
      <w:r>
        <w:rPr>
          <w:rFonts w:ascii="Calibri" w:cs="Calibri" w:eastAsia="Calibri" w:hAnsi="Calibri"/>
          <w:sz w:val="21"/>
          <w:szCs w:val="21"/>
        </w:rPr>
        <w:t xml:space="preserve"> Executive shall administer the fleet consistently with the Company's drug-free workplace program, and, where the Company elects to qualify under § 440.102, Florida Statutes, shall ensure that testing categories relevant to safety-sensitive driving positions — pre-employment, reasonable suspicion, post-accident, and follow-up — are applied uniformly and documented.</w:t>
      </w:r>
    </w:p>
    <w:p>
      <w:pPr>
        <w:spacing w:after="140" w:line="264"/>
      </w:pPr>
      <w:r>
        <w:rPr>
          <w:rFonts w:ascii="Calibri" w:cs="Calibri" w:eastAsia="Calibri" w:hAnsi="Calibri"/>
          <w:b/>
          <w:bCs/>
          <w:sz w:val="21"/>
          <w:szCs w:val="21"/>
        </w:rPr>
        <w:t xml:space="preserve">21.3  Background screening.</w:t>
      </w:r>
      <w:r>
        <w:rPr>
          <w:rFonts w:ascii="Calibri" w:cs="Calibri" w:eastAsia="Calibri" w:hAnsi="Calibri"/>
          <w:sz w:val="21"/>
          <w:szCs w:val="21"/>
        </w:rPr>
        <w:t xml:space="preserve"> Where any site, service line, or contract requires Level 2 background screening under Chapter 435, Florida Statutes, or agency-specific requirements, Executive shall ensure that drivers and mobility personnel in direct patient contact are screened and eligible before assignment, and shall not assign an unscreened individual to a screened role.</w:t>
      </w:r>
    </w:p>
    <w:p>
      <w:pPr>
        <w:spacing w:after="140" w:line="264"/>
      </w:pPr>
      <w:r>
        <w:rPr>
          <w:rFonts w:ascii="Calibri" w:cs="Calibri" w:eastAsia="Calibri" w:hAnsi="Calibri"/>
          <w:b/>
          <w:bCs/>
          <w:sz w:val="21"/>
          <w:szCs w:val="21"/>
        </w:rPr>
        <w:t xml:space="preserve">21.4  Conflicts.</w:t>
      </w:r>
      <w:r>
        <w:rPr>
          <w:rFonts w:ascii="Calibri" w:cs="Calibri" w:eastAsia="Calibri" w:hAnsi="Calibri"/>
          <w:sz w:val="21"/>
          <w:szCs w:val="21"/>
        </w:rPr>
        <w:t xml:space="preserve"> Executive shall disclose outside employment, financial interests, vendor relationships, gifts, referral relationships, and any ownership or economic interest in an Affiliated Practice or a transportation, pharmacy, or fleet vendor. Executive shall not accept kickbacks, rebates, referral fees, or personal benefits from vendors or persons seeking Enterprise business.</w:t>
      </w:r>
    </w:p>
    <w:p>
      <w:pPr>
        <w:spacing w:after="140" w:line="264"/>
      </w:pPr>
      <w:r>
        <w:rPr>
          <w:rFonts w:ascii="Calibri" w:cs="Calibri" w:eastAsia="Calibri" w:hAnsi="Calibri"/>
          <w:b/>
          <w:bCs/>
          <w:sz w:val="21"/>
          <w:szCs w:val="21"/>
        </w:rPr>
        <w:t xml:space="preserve">21.5  Licenses and driving status.</w:t>
      </w:r>
      <w:r>
        <w:rPr>
          <w:rFonts w:ascii="Calibri" w:cs="Calibri" w:eastAsia="Calibri" w:hAnsi="Calibri"/>
          <w:sz w:val="21"/>
          <w:szCs w:val="21"/>
        </w:rPr>
        <w:t xml:space="preserve"> Executive shall promptly disclose any suspension, restriction, citation, arrest, or condition that materially affects lawful driving, insurability, job duties, or required credentials, subject to applicable employment law.</w:t>
      </w:r>
    </w:p>
    <w:p>
      <w:pPr>
        <w:pStyle w:val="Heading1"/>
        <w:pBdr>
          <w:bottom w:val="single" w:color="C9D2DC" w:sz="6" w:space="6"/>
        </w:pBdr>
        <w:spacing w:after="160" w:before="320"/>
      </w:pPr>
      <w:r>
        <w:rPr>
          <w:rFonts w:ascii="Calibri" w:cs="Calibri" w:eastAsia="Calibri" w:hAnsi="Calibri"/>
          <w:b/>
          <w:bCs/>
          <w:color w:val="1F3A5F"/>
          <w:sz w:val="26"/>
          <w:szCs w:val="26"/>
        </w:rPr>
        <w:t xml:space="preserve">22.  Intellectual Property; Work Product; Data</w:t>
      </w:r>
    </w:p>
    <w:p>
      <w:pPr>
        <w:spacing w:after="140" w:line="264"/>
      </w:pPr>
      <w:r>
        <w:rPr>
          <w:rFonts w:ascii="Calibri" w:cs="Calibri" w:eastAsia="Calibri" w:hAnsi="Calibri"/>
          <w:b/>
          <w:bCs/>
          <w:sz w:val="21"/>
          <w:szCs w:val="21"/>
        </w:rPr>
        <w:t xml:space="preserve">22.1  Work product.</w:t>
      </w:r>
      <w:r>
        <w:rPr>
          <w:rFonts w:ascii="Calibri" w:cs="Calibri" w:eastAsia="Calibri" w:hAnsi="Calibri"/>
          <w:sz w:val="21"/>
          <w:szCs w:val="21"/>
        </w:rPr>
        <w:t xml:space="preserve"> To the fullest extent permitted by law, operational playbooks, routing models, dashboards, spreadsheets, standard operating procedures, training materials, forms, scoring systems, analyses, and other work created within the scope of employment or using Company resources are works made for hire and, to the extent they are not, are hereby assigned to the Company.</w:t>
      </w:r>
    </w:p>
    <w:p>
      <w:pPr>
        <w:spacing w:after="140" w:line="264"/>
      </w:pPr>
      <w:r>
        <w:rPr>
          <w:rFonts w:ascii="Calibri" w:cs="Calibri" w:eastAsia="Calibri" w:hAnsi="Calibri"/>
          <w:b/>
          <w:bCs/>
          <w:sz w:val="21"/>
          <w:szCs w:val="21"/>
        </w:rPr>
        <w:t xml:space="preserve">22.2  Pre-existing materials.</w:t>
      </w:r>
      <w:r>
        <w:rPr>
          <w:rFonts w:ascii="Calibri" w:cs="Calibri" w:eastAsia="Calibri" w:hAnsi="Calibri"/>
          <w:sz w:val="21"/>
          <w:szCs w:val="21"/>
        </w:rPr>
        <w:t xml:space="preserve"> Executive retains ownership of specifically identified pre-existing materials listed here: ______________________________________________________________________. To the extent incorporated into Company work product, Executive grants the Company a perpetual, irrevocable, worldwide, royalty-free, sublicensable license to use, modify, and distribute them internally and with successors and Enterprise affiliates.</w:t>
      </w:r>
    </w:p>
    <w:p>
      <w:pPr>
        <w:spacing w:after="140" w:line="264"/>
      </w:pPr>
      <w:r>
        <w:rPr>
          <w:rFonts w:ascii="Calibri" w:cs="Calibri" w:eastAsia="Calibri" w:hAnsi="Calibri"/>
          <w:b/>
          <w:bCs/>
          <w:sz w:val="21"/>
          <w:szCs w:val="21"/>
        </w:rPr>
        <w:t xml:space="preserve">22.3  Further assurances.</w:t>
      </w:r>
      <w:r>
        <w:rPr>
          <w:rFonts w:ascii="Calibri" w:cs="Calibri" w:eastAsia="Calibri" w:hAnsi="Calibri"/>
          <w:sz w:val="21"/>
          <w:szCs w:val="21"/>
        </w:rPr>
        <w:t xml:space="preserve"> Executive shall execute reasonable documents and take reasonable actions, during and after employment, to perfect and record the Company's rights under this Section, at Company expense.</w:t>
      </w:r>
    </w:p>
    <w:p>
      <w:pPr>
        <w:pStyle w:val="Heading1"/>
        <w:pBdr>
          <w:bottom w:val="single" w:color="C9D2DC" w:sz="6" w:space="6"/>
        </w:pBdr>
        <w:spacing w:after="160" w:before="320"/>
      </w:pPr>
      <w:r>
        <w:rPr>
          <w:rFonts w:ascii="Calibri" w:cs="Calibri" w:eastAsia="Calibri" w:hAnsi="Calibri"/>
          <w:b/>
          <w:bCs/>
          <w:color w:val="1F3A5F"/>
          <w:sz w:val="26"/>
          <w:szCs w:val="26"/>
        </w:rPr>
        <w:t xml:space="preserve">23.  Restrictive Covenants &amp; Non-Solicitation</w:t>
      </w:r>
    </w:p>
    <w:p>
      <w:pPr>
        <w:spacing w:after="140" w:line="264"/>
      </w:pPr>
      <w:r>
        <w:rPr>
          <w:rFonts w:ascii="Calibri" w:cs="Calibri" w:eastAsia="Calibri" w:hAnsi="Calibri"/>
          <w:b/>
          <w:bCs/>
          <w:sz w:val="21"/>
          <w:szCs w:val="21"/>
        </w:rPr>
        <w:t xml:space="preserve">23.1  Confidentiality survives.</w:t>
      </w:r>
      <w:r>
        <w:rPr>
          <w:rFonts w:ascii="Calibri" w:cs="Calibri" w:eastAsia="Calibri" w:hAnsi="Calibri"/>
          <w:sz w:val="21"/>
          <w:szCs w:val="21"/>
        </w:rPr>
        <w:t xml:space="preserve"> Confidentiality and trade-secret duties survive termination as provided by law and this Agreement, without time limit as to trade secrets.</w:t>
      </w:r>
    </w:p>
    <w:p>
      <w:pPr>
        <w:spacing w:after="140" w:line="264"/>
      </w:pPr>
      <w:r>
        <w:rPr>
          <w:rFonts w:ascii="Calibri" w:cs="Calibri" w:eastAsia="Calibri" w:hAnsi="Calibri"/>
          <w:b/>
          <w:bCs/>
          <w:sz w:val="21"/>
          <w:szCs w:val="21"/>
        </w:rPr>
        <w:t xml:space="preserve">23.2  Employee non-solicitation.</w:t>
      </w:r>
      <w:r>
        <w:rPr>
          <w:rFonts w:ascii="Calibri" w:cs="Calibri" w:eastAsia="Calibri" w:hAnsi="Calibri"/>
          <w:sz w:val="21"/>
          <w:szCs w:val="21"/>
        </w:rPr>
        <w:t xml:space="preserve"> For twelve (12) months following termination, to the extent permitted by Florida law, Executive shall not directly solicit for competing employment any Company or Enterprise employee with whom Executive materially worked during the final twelve months of employment.</w:t>
      </w:r>
    </w:p>
    <w:p>
      <w:pPr>
        <w:spacing w:after="140" w:line="264"/>
      </w:pPr>
      <w:r>
        <w:rPr>
          <w:rFonts w:ascii="Calibri" w:cs="Calibri" w:eastAsia="Calibri" w:hAnsi="Calibri"/>
          <w:b/>
          <w:bCs/>
          <w:sz w:val="21"/>
          <w:szCs w:val="21"/>
        </w:rPr>
        <w:t xml:space="preserve">23.3  Patient and vendor non-solicitation.</w:t>
      </w:r>
      <w:r>
        <w:rPr>
          <w:rFonts w:ascii="Calibri" w:cs="Calibri" w:eastAsia="Calibri" w:hAnsi="Calibri"/>
          <w:sz w:val="21"/>
          <w:szCs w:val="21"/>
        </w:rPr>
        <w:t xml:space="preserve"> For twelve (12) months following termination, Executive shall not use Company confidential information to solicit an established patient relationship or a material vendor relationship for a competing business. For clarity, this restriction is limited to (a) the South Florida Region and the Tampa Bay Region, and (b) the specific sites listed in Schedule 1 at which Executive had material operational involvement during the final twelve months of employment.</w:t>
      </w:r>
    </w:p>
    <w:p>
      <w:pPr>
        <w:spacing w:after="140" w:line="264"/>
      </w:pPr>
      <w:r>
        <w:rPr>
          <w:rFonts w:ascii="Calibri" w:cs="Calibri" w:eastAsia="Calibri" w:hAnsi="Calibri"/>
          <w:b/>
          <w:bCs/>
          <w:sz w:val="21"/>
          <w:szCs w:val="21"/>
        </w:rPr>
        <w:t xml:space="preserve">23.4  Narrow construction.</w:t>
      </w:r>
      <w:r>
        <w:rPr>
          <w:rFonts w:ascii="Calibri" w:cs="Calibri" w:eastAsia="Calibri" w:hAnsi="Calibri"/>
          <w:sz w:val="21"/>
          <w:szCs w:val="21"/>
        </w:rPr>
        <w:t xml:space="preserve"> The Parties intend any restrictive covenant to protect legitimate business interests under § 542.335, Florida Statutes, and to be reasonable in duration, geography, and line of business. No restriction is intended to prohibit lawful general advertising, ordinary professional activity unrelated to protected interests, or conduct that cannot lawfully be restricted, including protected concerted activity and lawful communications with government agencies.</w:t>
      </w:r>
    </w:p>
    <w:p>
      <w:pPr>
        <w:spacing w:after="140" w:line="264"/>
      </w:pPr>
      <w:r>
        <w:rPr>
          <w:rFonts w:ascii="Calibri" w:cs="Calibri" w:eastAsia="Calibri" w:hAnsi="Calibri"/>
          <w:b/>
          <w:bCs/>
          <w:sz w:val="21"/>
          <w:szCs w:val="21"/>
        </w:rPr>
        <w:t xml:space="preserve">23.5  No general noncompete.</w:t>
      </w:r>
      <w:r>
        <w:rPr>
          <w:rFonts w:ascii="Calibri" w:cs="Calibri" w:eastAsia="Calibri" w:hAnsi="Calibri"/>
          <w:sz w:val="21"/>
          <w:szCs w:val="21"/>
        </w:rPr>
        <w:t xml:space="preserve"> This Agreement does not impose a general post-employment noncompetition covenant. If the Company later determines one is warranted, it must be separately drafted by Florida counsel, tailored to then-current state and federal law, supported by identified legitimate business interests, and — given the two-Region footprint — geographically scoped rather than stated as "Florida."</w:t>
      </w:r>
    </w:p>
    <w:p>
      <w:pPr>
        <w:spacing w:after="120"/>
      </w:pPr>
    </w:p>
    <w:tbl>
      <w:tblPr>
        <w:tblW w:type="dxa" w:w="10080"/>
        <w:tblBorders>
          <w:top w:val="single" w:color="0F766E" w:sz="2"/>
          <w:left w:val="single" w:color="0F766E" w:sz="18"/>
          <w:bottom w:val="single" w:color="0F766E" w:sz="2"/>
          <w:right w:val="single" w:color="0F766E"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0F766E"/>
                <w:sz w:val="19"/>
                <w:szCs w:val="19"/>
              </w:rPr>
              <w:t xml:space="preserve">Drafting caution — </w:t>
            </w:r>
            <w:r>
              <w:rPr>
                <w:rFonts w:ascii="Calibri" w:cs="Calibri" w:eastAsia="Calibri" w:hAnsi="Calibri"/>
                <w:sz w:val="19"/>
                <w:szCs w:val="19"/>
              </w:rPr>
              <w:t xml:space="preserve">An "Enterprise-wide" restrictive covenant that sweeps in three Affiliated Practices the Company does not own is materially more vulnerable under § 542.335, because the Company must prove a legitimate business interest of its own in each restricted relationship. Sections 23.2 and 23.3 are deliberately scoped to Executive's actual operational involvement for that reason.</w:t>
            </w:r>
          </w:p>
        </w:tc>
      </w:tr>
    </w:tbl>
    <w:p>
      <w:pPr>
        <w:pStyle w:val="Heading1"/>
        <w:pBdr>
          <w:bottom w:val="single" w:color="C9D2DC" w:sz="6" w:space="6"/>
        </w:pBdr>
        <w:spacing w:after="160" w:before="320"/>
      </w:pPr>
      <w:r>
        <w:rPr>
          <w:rFonts w:ascii="Calibri" w:cs="Calibri" w:eastAsia="Calibri" w:hAnsi="Calibri"/>
          <w:b/>
          <w:bCs/>
          <w:color w:val="1F3A5F"/>
          <w:sz w:val="26"/>
          <w:szCs w:val="26"/>
        </w:rPr>
        <w:t xml:space="preserve">24.  Termination; Transition; Return of Property</w:t>
      </w:r>
    </w:p>
    <w:p>
      <w:pPr>
        <w:spacing w:after="140" w:line="264"/>
      </w:pPr>
      <w:r>
        <w:rPr>
          <w:rFonts w:ascii="Calibri" w:cs="Calibri" w:eastAsia="Calibri" w:hAnsi="Calibri"/>
          <w:b/>
          <w:bCs/>
          <w:sz w:val="21"/>
          <w:szCs w:val="21"/>
        </w:rPr>
        <w:t xml:space="preserve">24.1  Immediate transition duties.</w:t>
      </w:r>
      <w:r>
        <w:rPr>
          <w:rFonts w:ascii="Calibri" w:cs="Calibri" w:eastAsia="Calibri" w:hAnsi="Calibri"/>
          <w:sz w:val="21"/>
          <w:szCs w:val="21"/>
        </w:rPr>
        <w:t xml:space="preserve"> Upon notice of termination or at any time requested, Executive shall provide current fleet status by Region, open maintenance items, driver issues, upcoming patient and event commitments, vendor contacts, outstanding citations and claims, MSA service status for each Affiliated Practice, keys, fuel cards, devices, credentials, and all records necessary for uninterrupted operations.</w:t>
      </w:r>
    </w:p>
    <w:p>
      <w:pPr>
        <w:spacing w:after="140" w:line="264"/>
      </w:pPr>
      <w:r>
        <w:rPr>
          <w:rFonts w:ascii="Calibri" w:cs="Calibri" w:eastAsia="Calibri" w:hAnsi="Calibri"/>
          <w:b/>
          <w:bCs/>
          <w:sz w:val="21"/>
          <w:szCs w:val="21"/>
        </w:rPr>
        <w:t xml:space="preserve">24.2  Return of property.</w:t>
      </w:r>
      <w:r>
        <w:rPr>
          <w:rFonts w:ascii="Calibri" w:cs="Calibri" w:eastAsia="Calibri" w:hAnsi="Calibri"/>
          <w:sz w:val="21"/>
          <w:szCs w:val="21"/>
        </w:rPr>
        <w:t xml:space="preserve"> All Company property must be returned no later than the last day worked, or earlier upon request. Executive shall not retain Company, Enterprise, Affiliated Practice, or patient data in personal accounts, personal devices, cloud storage, or paper files, and shall certify deletion upon request.</w:t>
      </w:r>
    </w:p>
    <w:p>
      <w:pPr>
        <w:spacing w:after="140" w:line="264"/>
      </w:pPr>
      <w:r>
        <w:rPr>
          <w:rFonts w:ascii="Calibri" w:cs="Calibri" w:eastAsia="Calibri" w:hAnsi="Calibri"/>
          <w:b/>
          <w:bCs/>
          <w:sz w:val="21"/>
          <w:szCs w:val="21"/>
        </w:rPr>
        <w:t xml:space="preserve">24.3  Final compensation.</w:t>
      </w:r>
      <w:r>
        <w:rPr>
          <w:rFonts w:ascii="Calibri" w:cs="Calibri" w:eastAsia="Calibri" w:hAnsi="Calibri"/>
          <w:sz w:val="21"/>
          <w:szCs w:val="21"/>
        </w:rPr>
        <w:t xml:space="preserve"> Final wages and any other amounts due will be handled according to applicable law and governing benefit and incentive plan terms. Unearned discretionary incentives are not guaranteed.</w:t>
      </w:r>
    </w:p>
    <w:p>
      <w:pPr>
        <w:pStyle w:val="Heading1"/>
        <w:pBdr>
          <w:bottom w:val="single" w:color="C9D2DC" w:sz="6" w:space="6"/>
        </w:pBdr>
        <w:spacing w:after="160" w:before="320"/>
      </w:pPr>
      <w:r>
        <w:rPr>
          <w:rFonts w:ascii="Calibri" w:cs="Calibri" w:eastAsia="Calibri" w:hAnsi="Calibri"/>
          <w:b/>
          <w:bCs/>
          <w:color w:val="1F3A5F"/>
          <w:sz w:val="26"/>
          <w:szCs w:val="26"/>
        </w:rPr>
        <w:t xml:space="preserve">25.  Indemnification, Insurance &amp; Risk Allocation</w:t>
      </w:r>
    </w:p>
    <w:p>
      <w:pPr>
        <w:spacing w:after="140" w:line="264"/>
      </w:pPr>
      <w:r>
        <w:rPr>
          <w:rFonts w:ascii="Calibri" w:cs="Calibri" w:eastAsia="Calibri" w:hAnsi="Calibri"/>
          <w:b/>
          <w:bCs/>
          <w:sz w:val="21"/>
          <w:szCs w:val="21"/>
        </w:rPr>
        <w:t xml:space="preserve">25.1  Company insurance.</w:t>
      </w:r>
      <w:r>
        <w:rPr>
          <w:rFonts w:ascii="Calibri" w:cs="Calibri" w:eastAsia="Calibri" w:hAnsi="Calibri"/>
          <w:sz w:val="21"/>
          <w:szCs w:val="21"/>
        </w:rPr>
        <w:t xml:space="preserve"> The Company will determine appropriate commercial auto, general liability, workers' compensation, cyber, professional and EMS, and other insurance. Executive shall cooperate with underwriting, claims, incident reporting, and loss-control requirements.</w:t>
      </w:r>
    </w:p>
    <w:p>
      <w:pPr>
        <w:spacing w:after="140" w:line="264"/>
      </w:pPr>
      <w:r>
        <w:rPr>
          <w:rFonts w:ascii="Calibri" w:cs="Calibri" w:eastAsia="Calibri" w:hAnsi="Calibri"/>
          <w:b/>
          <w:bCs/>
          <w:sz w:val="21"/>
          <w:szCs w:val="21"/>
        </w:rPr>
        <w:t xml:space="preserve">25.2  Garaging and territory.</w:t>
      </w:r>
      <w:r>
        <w:rPr>
          <w:rFonts w:ascii="Calibri" w:cs="Calibri" w:eastAsia="Calibri" w:hAnsi="Calibri"/>
          <w:sz w:val="21"/>
          <w:szCs w:val="21"/>
        </w:rPr>
        <w:t xml:space="preserve"> Executive shall ensure that each vehicle's garaging address and county are accurately reported to the carrier and updated within five business days of any change. Misstated garaging location across Miami-Dade, Broward, Hillsborough, and Pinellas counties is a common source of coverage disputes and premium adjustment, and Executive shall treat it as a controlled data element rather than an administrative detail.</w:t>
      </w:r>
    </w:p>
    <w:p>
      <w:pPr>
        <w:spacing w:after="140" w:line="264"/>
      </w:pPr>
      <w:r>
        <w:rPr>
          <w:rFonts w:ascii="Calibri" w:cs="Calibri" w:eastAsia="Calibri" w:hAnsi="Calibri"/>
          <w:b/>
          <w:bCs/>
          <w:sz w:val="21"/>
          <w:szCs w:val="21"/>
        </w:rPr>
        <w:t xml:space="preserve">25.3  Financial responsibility.</w:t>
      </w:r>
      <w:r>
        <w:rPr>
          <w:rFonts w:ascii="Calibri" w:cs="Calibri" w:eastAsia="Calibri" w:hAnsi="Calibri"/>
          <w:sz w:val="21"/>
          <w:szCs w:val="21"/>
        </w:rPr>
        <w:t xml:space="preserve"> Where any vehicle or operation is or becomes classified as carrying passengers for hire, Executive shall obtain confirmation from the Company's broker that the applicable Florida financial-responsibility and minimum-limit requirements are satisfied before the vehicle enters service.</w:t>
      </w:r>
    </w:p>
    <w:p>
      <w:pPr>
        <w:spacing w:after="140" w:line="264"/>
      </w:pPr>
      <w:r>
        <w:rPr>
          <w:rFonts w:ascii="Calibri" w:cs="Calibri" w:eastAsia="Calibri" w:hAnsi="Calibri"/>
          <w:b/>
          <w:bCs/>
          <w:sz w:val="21"/>
          <w:szCs w:val="21"/>
        </w:rPr>
        <w:t xml:space="preserve">25.4  No personal guarantee.</w:t>
      </w:r>
      <w:r>
        <w:rPr>
          <w:rFonts w:ascii="Calibri" w:cs="Calibri" w:eastAsia="Calibri" w:hAnsi="Calibri"/>
          <w:sz w:val="21"/>
          <w:szCs w:val="21"/>
        </w:rPr>
        <w:t xml:space="preserve"> Executive is not required by this Agreement to personally guarantee Company vehicle or operating obligations. Nothing in this Agreement indemnifies intentional misconduct, fraud, criminal acts, or conduct outside the scope of employment.</w:t>
      </w:r>
    </w:p>
    <w:p>
      <w:pPr>
        <w:pStyle w:val="Heading1"/>
        <w:pBdr>
          <w:bottom w:val="single" w:color="C9D2DC" w:sz="6" w:space="6"/>
        </w:pBdr>
        <w:spacing w:after="160" w:before="320"/>
      </w:pPr>
      <w:r>
        <w:rPr>
          <w:rFonts w:ascii="Calibri" w:cs="Calibri" w:eastAsia="Calibri" w:hAnsi="Calibri"/>
          <w:b/>
          <w:bCs/>
          <w:color w:val="1F3A5F"/>
          <w:sz w:val="26"/>
          <w:szCs w:val="26"/>
        </w:rPr>
        <w:t xml:space="preserve">26.  Dispute Resolution; Governing Law; Miscellaneous</w:t>
      </w:r>
    </w:p>
    <w:p>
      <w:pPr>
        <w:spacing w:after="140" w:line="264"/>
      </w:pPr>
      <w:r>
        <w:rPr>
          <w:rFonts w:ascii="Calibri" w:cs="Calibri" w:eastAsia="Calibri" w:hAnsi="Calibri"/>
          <w:b/>
          <w:bCs/>
          <w:sz w:val="21"/>
          <w:szCs w:val="21"/>
        </w:rPr>
        <w:t xml:space="preserve">26.1  Governing law.</w:t>
      </w:r>
      <w:r>
        <w:rPr>
          <w:rFonts w:ascii="Calibri" w:cs="Calibri" w:eastAsia="Calibri" w:hAnsi="Calibri"/>
          <w:sz w:val="21"/>
          <w:szCs w:val="21"/>
        </w:rPr>
        <w:t xml:space="preserve"> Florida law governs without regard to conflict-of-laws principles, except where federal law controls.</w:t>
      </w:r>
    </w:p>
    <w:p>
      <w:pPr>
        <w:spacing w:after="140" w:line="264"/>
      </w:pPr>
      <w:r>
        <w:rPr>
          <w:rFonts w:ascii="Calibri" w:cs="Calibri" w:eastAsia="Calibri" w:hAnsi="Calibri"/>
          <w:b/>
          <w:bCs/>
          <w:sz w:val="21"/>
          <w:szCs w:val="21"/>
        </w:rPr>
        <w:t xml:space="preserve">26.2  Venue.</w:t>
      </w:r>
      <w:r>
        <w:rPr>
          <w:rFonts w:ascii="Calibri" w:cs="Calibri" w:eastAsia="Calibri" w:hAnsi="Calibri"/>
          <w:sz w:val="21"/>
          <w:szCs w:val="21"/>
        </w:rPr>
        <w:t xml:space="preserve"> Subject to any separately executed arbitration agreement, exclusive venue for disputes shall lie in the state or federal courts serving </w:t>
      </w:r>
      <w:r>
        <w:rPr>
          <w:rFonts w:ascii="Calibri" w:cs="Calibri" w:eastAsia="Calibri" w:hAnsi="Calibri"/>
          <w:b/>
          <w:bCs/>
          <w:sz w:val="21"/>
          <w:szCs w:val="21"/>
        </w:rPr>
        <w:t xml:space="preserve">Miami-Dade County, Florida</w:t>
      </w:r>
      <w:r>
        <w:rPr>
          <w:rFonts w:ascii="Calibri" w:cs="Calibri" w:eastAsia="Calibri" w:hAnsi="Calibri"/>
          <w:sz w:val="21"/>
          <w:szCs w:val="21"/>
        </w:rPr>
        <w:t xml:space="preserve">, unless applicable law requires otherwise. The Parties select a fixed county rather than a floating reference because the Enterprise operates in at least four Florida counties.</w:t>
      </w:r>
    </w:p>
    <w:p>
      <w:pPr>
        <w:spacing w:after="140" w:line="264"/>
      </w:pPr>
      <w:r>
        <w:rPr>
          <w:rFonts w:ascii="Calibri" w:cs="Calibri" w:eastAsia="Calibri" w:hAnsi="Calibri"/>
          <w:b/>
          <w:bCs/>
          <w:sz w:val="21"/>
          <w:szCs w:val="21"/>
        </w:rPr>
        <w:t xml:space="preserve">26.3  Entire agreement.</w:t>
      </w:r>
      <w:r>
        <w:rPr>
          <w:rFonts w:ascii="Calibri" w:cs="Calibri" w:eastAsia="Calibri" w:hAnsi="Calibri"/>
          <w:sz w:val="21"/>
          <w:szCs w:val="21"/>
        </w:rPr>
        <w:t xml:space="preserve"> This Agreement, together with incorporated written policies and attachments, constitutes the agreement regarding its subject matter and supersedes prior inconsistent oral statements and any prior draft, including the v1.0 draft naming "Medicine Health Group" or "Medicine 62, LLC." Amendments must be in writing and signed by Executive and an authorized Company officer.</w:t>
      </w:r>
    </w:p>
    <w:p>
      <w:pPr>
        <w:spacing w:after="140" w:line="264"/>
      </w:pPr>
      <w:r>
        <w:rPr>
          <w:rFonts w:ascii="Calibri" w:cs="Calibri" w:eastAsia="Calibri" w:hAnsi="Calibri"/>
          <w:b/>
          <w:bCs/>
          <w:sz w:val="21"/>
          <w:szCs w:val="21"/>
        </w:rPr>
        <w:t xml:space="preserve">26.4  Severability and reformation.</w:t>
      </w:r>
      <w:r>
        <w:rPr>
          <w:rFonts w:ascii="Calibri" w:cs="Calibri" w:eastAsia="Calibri" w:hAnsi="Calibri"/>
          <w:sz w:val="21"/>
          <w:szCs w:val="21"/>
        </w:rPr>
        <w:t xml:space="preserve"> If a provision is unenforceable, it shall be severed or reformed to the extent permitted by law without invalidating the remainder.</w:t>
      </w:r>
    </w:p>
    <w:p>
      <w:pPr>
        <w:spacing w:after="140" w:line="264"/>
      </w:pPr>
      <w:r>
        <w:rPr>
          <w:rFonts w:ascii="Calibri" w:cs="Calibri" w:eastAsia="Calibri" w:hAnsi="Calibri"/>
          <w:b/>
          <w:bCs/>
          <w:sz w:val="21"/>
          <w:szCs w:val="21"/>
        </w:rPr>
        <w:t xml:space="preserve">26.5  Assignment.</w:t>
      </w:r>
      <w:r>
        <w:rPr>
          <w:rFonts w:ascii="Calibri" w:cs="Calibri" w:eastAsia="Calibri" w:hAnsi="Calibri"/>
          <w:sz w:val="21"/>
          <w:szCs w:val="21"/>
        </w:rPr>
        <w:t xml:space="preserve"> The Company may assign this Agreement to a successor or to an Enterprise affiliate upon written notice. Executive may not assign this Agreement.</w:t>
      </w:r>
    </w:p>
    <w:p>
      <w:pPr>
        <w:spacing w:after="140" w:line="264"/>
      </w:pPr>
      <w:r>
        <w:rPr>
          <w:rFonts w:ascii="Calibri" w:cs="Calibri" w:eastAsia="Calibri" w:hAnsi="Calibri"/>
          <w:b/>
          <w:bCs/>
          <w:sz w:val="21"/>
          <w:szCs w:val="21"/>
        </w:rPr>
        <w:t xml:space="preserve">26.6  Electronic signatures; counterparts.</w:t>
      </w:r>
      <w:r>
        <w:rPr>
          <w:rFonts w:ascii="Calibri" w:cs="Calibri" w:eastAsia="Calibri" w:hAnsi="Calibri"/>
          <w:sz w:val="21"/>
          <w:szCs w:val="21"/>
        </w:rPr>
        <w:t xml:space="preserve"> Signatures may be electronic and delivered in counterparts, each deemed an original.</w:t>
      </w:r>
    </w:p>
    <w:p>
      <w:pPr>
        <w:spacing w:after="140" w:line="264"/>
      </w:pPr>
      <w:r>
        <w:rPr>
          <w:rFonts w:ascii="Calibri" w:cs="Calibri" w:eastAsia="Calibri" w:hAnsi="Calibri"/>
          <w:b/>
          <w:bCs/>
          <w:sz w:val="21"/>
          <w:szCs w:val="21"/>
        </w:rPr>
        <w:t xml:space="preserve">26.7  No waiver.</w:t>
      </w:r>
      <w:r>
        <w:rPr>
          <w:rFonts w:ascii="Calibri" w:cs="Calibri" w:eastAsia="Calibri" w:hAnsi="Calibri"/>
          <w:sz w:val="21"/>
          <w:szCs w:val="21"/>
        </w:rPr>
        <w:t xml:space="preserve"> Failure to enforce a provision on one occasion is not a waiver on another.</w:t>
      </w:r>
    </w:p>
    <w:p>
      <w:pPr>
        <w:spacing w:after="140" w:line="264"/>
      </w:pPr>
      <w:r>
        <w:rPr>
          <w:rFonts w:ascii="Calibri" w:cs="Calibri" w:eastAsia="Calibri" w:hAnsi="Calibri"/>
          <w:b/>
          <w:bCs/>
          <w:sz w:val="21"/>
          <w:szCs w:val="21"/>
        </w:rPr>
        <w:t xml:space="preserve">26.8  Survival.</w:t>
      </w:r>
      <w:r>
        <w:rPr>
          <w:rFonts w:ascii="Calibri" w:cs="Calibri" w:eastAsia="Calibri" w:hAnsi="Calibri"/>
          <w:sz w:val="21"/>
          <w:szCs w:val="21"/>
        </w:rPr>
        <w:t xml:space="preserve"> Sections 19, 22, 23, 24.2, and 25.4 survive termination.</w:t>
      </w:r>
    </w:p>
    <w:p>
      <w:pPr>
        <w:spacing w:after="140" w:line="264"/>
      </w:pPr>
      <w:r>
        <w:rPr>
          <w:rFonts w:ascii="Calibri" w:cs="Calibri" w:eastAsia="Calibri" w:hAnsi="Calibri"/>
          <w:b/>
          <w:bCs/>
          <w:sz w:val="21"/>
          <w:szCs w:val="21"/>
        </w:rPr>
        <w:t xml:space="preserve">26.9  Counsel review.</w:t>
      </w:r>
      <w:r>
        <w:rPr>
          <w:rFonts w:ascii="Calibri" w:cs="Calibri" w:eastAsia="Calibri" w:hAnsi="Calibri"/>
          <w:sz w:val="21"/>
          <w:szCs w:val="21"/>
        </w:rPr>
        <w:t xml:space="preserve"> Executive acknowledges the opportunity to consult independent counsel before signing. The Company shall route the health-care regulatory policies referenced in this Agreement through qualified counsel and Compliance review before implementation.</w:t>
      </w:r>
    </w:p>
    <w:p>
      <w:r>
        <w:br w:type="page"/>
      </w:r>
    </w:p>
    <w:p>
      <w:pPr>
        <w:pStyle w:val="Heading1"/>
        <w:pBdr>
          <w:bottom w:val="single" w:color="C9D2DC" w:sz="6" w:space="6"/>
        </w:pBdr>
        <w:spacing w:after="160" w:before="320"/>
      </w:pPr>
      <w:r>
        <w:rPr>
          <w:rFonts w:ascii="Calibri" w:cs="Calibri" w:eastAsia="Calibri" w:hAnsi="Calibri"/>
          <w:b/>
          <w:bCs/>
          <w:color w:val="1F3A5F"/>
          <w:sz w:val="26"/>
          <w:szCs w:val="26"/>
        </w:rPr>
        <w:t xml:space="preserve">Schedule 1 — Site &amp; Region Matrix</w:t>
      </w:r>
    </w:p>
    <w:p>
      <w:pPr>
        <w:spacing w:after="140" w:line="264"/>
      </w:pPr>
      <w:r>
        <w:rPr>
          <w:rFonts w:ascii="Calibri" w:cs="Calibri" w:eastAsia="Calibri" w:hAnsi="Calibri"/>
          <w:sz w:val="21"/>
          <w:szCs w:val="21"/>
        </w:rPr>
        <w:t xml:space="preserve">This Schedule is a living operational record. Executive maintains it; Compliance and Accounting approve changes. Entity names and license numbers must be completed from Sunbiz and AHCA records before execution.</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1650"/>
        <w:gridCol w:w="1900"/>
        <w:gridCol w:w="2000"/>
        <w:gridCol w:w="2100"/>
        <w:gridCol w:w="2430"/>
      </w:tblGrid>
      <w:tr>
        <w:trPr>
          <w:tblHeader/>
        </w:trPr>
        <w:tc>
          <w:tcPr>
            <w:tcW w:type="dxa" w:w="165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Site</w:t>
            </w:r>
          </w:p>
        </w:tc>
        <w:tc>
          <w:tcPr>
            <w:tcW w:type="dxa" w:w="19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Region</w:t>
            </w:r>
          </w:p>
        </w:tc>
        <w:tc>
          <w:tcPr>
            <w:tcW w:type="dxa" w:w="20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Relationship</w:t>
            </w:r>
          </w:p>
        </w:tc>
        <w:tc>
          <w:tcPr>
            <w:tcW w:type="dxa" w:w="21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Legal entity</w:t>
            </w:r>
          </w:p>
        </w:tc>
        <w:tc>
          <w:tcPr>
            <w:tcW w:type="dxa" w:w="243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Transport posture</w:t>
            </w:r>
          </w:p>
        </w:tc>
      </w:tr>
      <w:tr>
        <w:tc>
          <w:tcPr>
            <w:tcW w:type="dxa" w:w="1650"/>
            <w:tcMar>
              <w:top w:type="dxa" w:w="90"/>
              <w:left w:type="dxa" w:w="120"/>
              <w:bottom w:type="dxa" w:w="90"/>
              <w:right w:type="dxa" w:w="120"/>
            </w:tcMar>
          </w:tcPr>
          <w:p>
            <w:pPr>
              <w:spacing w:after="0" w:line="252"/>
            </w:pPr>
            <w:r>
              <w:rPr>
                <w:rFonts w:ascii="Calibri" w:cs="Calibri" w:eastAsia="Calibri" w:hAnsi="Calibri"/>
                <w:b/>
                <w:bCs/>
                <w:sz w:val="19"/>
                <w:szCs w:val="19"/>
              </w:rPr>
              <w:t xml:space="preserve">Miami</w:t>
            </w:r>
          </w:p>
        </w:tc>
        <w:tc>
          <w:tcPr>
            <w:tcW w:type="dxa" w:w="1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South Florida</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Owned Site</w:t>
            </w:r>
          </w:p>
        </w:tc>
        <w:tc>
          <w:tcPr>
            <w:tcW w:type="dxa" w:w="2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______________</w:t>
            </w:r>
          </w:p>
        </w:tc>
        <w:tc>
          <w:tcPr>
            <w:tcW w:type="dxa" w:w="243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Regional hub. Primary fleet domicile.</w:t>
            </w:r>
          </w:p>
        </w:tc>
      </w:tr>
      <w:tr>
        <w:tc>
          <w:tcPr>
            <w:tcW w:type="dxa" w:w="165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North Miami</w:t>
            </w:r>
          </w:p>
        </w:tc>
        <w:tc>
          <w:tcPr>
            <w:tcW w:type="dxa" w:w="19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South Florida</w:t>
            </w:r>
          </w:p>
        </w:tc>
        <w:tc>
          <w:tcPr>
            <w:tcW w:type="dxa" w:w="20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Owned Site</w:t>
            </w:r>
          </w:p>
        </w:tc>
        <w:tc>
          <w:tcPr>
            <w:tcW w:type="dxa" w:w="21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______________</w:t>
            </w:r>
          </w:p>
        </w:tc>
        <w:tc>
          <w:tcPr>
            <w:tcW w:type="dxa" w:w="243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Within hub radius. Standard eligibility policy.</w:t>
            </w:r>
          </w:p>
        </w:tc>
      </w:tr>
      <w:tr>
        <w:tc>
          <w:tcPr>
            <w:tcW w:type="dxa" w:w="1650"/>
            <w:tcMar>
              <w:top w:type="dxa" w:w="90"/>
              <w:left w:type="dxa" w:w="120"/>
              <w:bottom w:type="dxa" w:w="90"/>
              <w:right w:type="dxa" w:w="120"/>
            </w:tcMar>
          </w:tcPr>
          <w:p>
            <w:pPr>
              <w:spacing w:after="0" w:line="252"/>
            </w:pPr>
            <w:r>
              <w:rPr>
                <w:rFonts w:ascii="Calibri" w:cs="Calibri" w:eastAsia="Calibri" w:hAnsi="Calibri"/>
                <w:b/>
                <w:bCs/>
                <w:sz w:val="19"/>
                <w:szCs w:val="19"/>
              </w:rPr>
              <w:t xml:space="preserve">Lauderhill</w:t>
            </w:r>
          </w:p>
        </w:tc>
        <w:tc>
          <w:tcPr>
            <w:tcW w:type="dxa" w:w="1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South Florida (Broward)</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Owned Site</w:t>
            </w:r>
          </w:p>
        </w:tc>
        <w:tc>
          <w:tcPr>
            <w:tcW w:type="dxa" w:w="2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______________</w:t>
            </w:r>
          </w:p>
        </w:tc>
        <w:tc>
          <w:tcPr>
            <w:tcW w:type="dxa" w:w="243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Radius from Miami hub must be measured — likely at or beyond 25 mi. Treat as its own transport origin.</w:t>
            </w:r>
          </w:p>
        </w:tc>
      </w:tr>
      <w:tr>
        <w:tc>
          <w:tcPr>
            <w:tcW w:type="dxa" w:w="165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Pinecrest</w:t>
            </w:r>
          </w:p>
        </w:tc>
        <w:tc>
          <w:tcPr>
            <w:tcW w:type="dxa" w:w="19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South Florida</w:t>
            </w:r>
          </w:p>
        </w:tc>
        <w:tc>
          <w:tcPr>
            <w:tcW w:type="dxa" w:w="20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Affiliated Practice</w:t>
            </w:r>
          </w:p>
        </w:tc>
        <w:tc>
          <w:tcPr>
            <w:tcW w:type="dxa" w:w="21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______________</w:t>
            </w:r>
          </w:p>
        </w:tc>
        <w:tc>
          <w:tcPr>
            <w:tcW w:type="dxa" w:w="243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MSA required. Heightened inducement review under § 8.4.</w:t>
            </w:r>
          </w:p>
        </w:tc>
      </w:tr>
      <w:tr>
        <w:tc>
          <w:tcPr>
            <w:tcW w:type="dxa" w:w="1650"/>
            <w:tcMar>
              <w:top w:type="dxa" w:w="90"/>
              <w:left w:type="dxa" w:w="120"/>
              <w:bottom w:type="dxa" w:w="90"/>
              <w:right w:type="dxa" w:w="120"/>
            </w:tcMar>
          </w:tcPr>
          <w:p>
            <w:pPr>
              <w:spacing w:after="0" w:line="252"/>
            </w:pPr>
            <w:r>
              <w:rPr>
                <w:rFonts w:ascii="Calibri" w:cs="Calibri" w:eastAsia="Calibri" w:hAnsi="Calibri"/>
                <w:b/>
                <w:bCs/>
                <w:sz w:val="19"/>
                <w:szCs w:val="19"/>
              </w:rPr>
              <w:t xml:space="preserve">Tampa</w:t>
            </w:r>
          </w:p>
        </w:tc>
        <w:tc>
          <w:tcPr>
            <w:tcW w:type="dxa" w:w="1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Tampa Bay</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Affiliated Practice</w:t>
            </w:r>
          </w:p>
        </w:tc>
        <w:tc>
          <w:tcPr>
            <w:tcW w:type="dxa" w:w="2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______________</w:t>
            </w:r>
          </w:p>
        </w:tc>
        <w:tc>
          <w:tcPr>
            <w:tcW w:type="dxa" w:w="243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MSA required. Separate market. No cross-Region transport.</w:t>
            </w:r>
          </w:p>
        </w:tc>
      </w:tr>
      <w:tr>
        <w:tc>
          <w:tcPr>
            <w:tcW w:type="dxa" w:w="165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Clearwater</w:t>
            </w:r>
          </w:p>
        </w:tc>
        <w:tc>
          <w:tcPr>
            <w:tcW w:type="dxa" w:w="19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Tampa Bay</w:t>
            </w:r>
          </w:p>
        </w:tc>
        <w:tc>
          <w:tcPr>
            <w:tcW w:type="dxa" w:w="20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Affiliated Practice</w:t>
            </w:r>
          </w:p>
        </w:tc>
        <w:tc>
          <w:tcPr>
            <w:tcW w:type="dxa" w:w="21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______________</w:t>
            </w:r>
          </w:p>
        </w:tc>
        <w:tc>
          <w:tcPr>
            <w:tcW w:type="dxa" w:w="243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MSA required. Separate market. No cross-Region transport.</w:t>
            </w:r>
          </w:p>
        </w:tc>
      </w:tr>
    </w:tbl>
    <w:p>
      <w:pPr>
        <w:spacing w:after="200"/>
      </w:pPr>
    </w:p>
    <w:p>
      <w:pPr>
        <w:pStyle w:val="Heading2"/>
        <w:spacing w:after="100" w:before="220"/>
      </w:pPr>
      <w:r>
        <w:rPr>
          <w:rFonts w:ascii="Calibri" w:cs="Calibri" w:eastAsia="Calibri" w:hAnsi="Calibri"/>
          <w:b/>
          <w:bCs/>
          <w:color w:val="0F766E"/>
          <w:sz w:val="22"/>
          <w:szCs w:val="22"/>
        </w:rPr>
        <w:t xml:space="preserve">Transport Radius Matrix — Local Transportation Safe Harbor Screen</w:t>
      </w:r>
    </w:p>
    <w:p>
      <w:pPr>
        <w:spacing w:after="140" w:line="264"/>
      </w:pPr>
      <w:r>
        <w:rPr>
          <w:rFonts w:ascii="Calibri" w:cs="Calibri" w:eastAsia="Calibri" w:hAnsi="Calibri"/>
          <w:sz w:val="21"/>
          <w:szCs w:val="21"/>
        </w:rPr>
        <w:t xml:space="preserve">Approximate distances shown for planning only. Executive shall replace each figure with a measured distance from the applicable provider location, recorded in the dispatch system, before any standing route is approved. The safe-harbor limit is 25 miles, or 75 miles where the beneficiary resides in a rural area as defined for that purpose.</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3400"/>
        <w:gridCol w:w="1800"/>
        <w:gridCol w:w="2000"/>
        <w:gridCol w:w="2880"/>
      </w:tblGrid>
      <w:tr>
        <w:trPr>
          <w:tblHeader/>
        </w:trPr>
        <w:tc>
          <w:tcPr>
            <w:tcW w:type="dxa" w:w="34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Leg</w:t>
            </w:r>
          </w:p>
        </w:tc>
        <w:tc>
          <w:tcPr>
            <w:tcW w:type="dxa" w:w="18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Approx. miles</w:t>
            </w:r>
          </w:p>
        </w:tc>
        <w:tc>
          <w:tcPr>
            <w:tcW w:type="dxa" w:w="20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Screen result</w:t>
            </w:r>
          </w:p>
        </w:tc>
        <w:tc>
          <w:tcPr>
            <w:tcW w:type="dxa" w:w="28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Required action</w:t>
            </w:r>
          </w:p>
        </w:tc>
      </w:tr>
      <w:tr>
        <w:tc>
          <w:tcPr>
            <w:tcW w:type="dxa" w:w="3400"/>
            <w:tcMar>
              <w:top w:type="dxa" w:w="90"/>
              <w:left w:type="dxa" w:w="120"/>
              <w:bottom w:type="dxa" w:w="90"/>
              <w:right w:type="dxa" w:w="120"/>
            </w:tcMar>
          </w:tcPr>
          <w:p>
            <w:pPr>
              <w:spacing w:after="0" w:line="252"/>
            </w:pPr>
            <w:r>
              <w:rPr>
                <w:rFonts w:ascii="Calibri" w:cs="Calibri" w:eastAsia="Calibri" w:hAnsi="Calibri"/>
                <w:b/>
                <w:bCs/>
                <w:sz w:val="19"/>
                <w:szCs w:val="19"/>
              </w:rPr>
              <w:t xml:space="preserve">Miami ↔ North Miami</w:t>
            </w:r>
          </w:p>
        </w:tc>
        <w:tc>
          <w:tcPr>
            <w:tcW w:type="dxa" w:w="1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~10</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Within limit</w:t>
            </w:r>
          </w:p>
        </w:tc>
        <w:tc>
          <w:tcPr>
            <w:tcW w:type="dxa" w:w="28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Standard policy applies.</w:t>
            </w:r>
          </w:p>
        </w:tc>
      </w:tr>
      <w:tr>
        <w:tc>
          <w:tcPr>
            <w:tcW w:type="dxa" w:w="34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Miami ↔ Pinecrest</w:t>
            </w:r>
          </w:p>
        </w:tc>
        <w:tc>
          <w:tcPr>
            <w:tcW w:type="dxa" w:w="18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~13</w:t>
            </w:r>
          </w:p>
        </w:tc>
        <w:tc>
          <w:tcPr>
            <w:tcW w:type="dxa" w:w="20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Within limit</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Standard policy plus § 8.4 affiliate review.</w:t>
            </w:r>
          </w:p>
        </w:tc>
      </w:tr>
      <w:tr>
        <w:tc>
          <w:tcPr>
            <w:tcW w:type="dxa" w:w="3400"/>
            <w:tcMar>
              <w:top w:type="dxa" w:w="90"/>
              <w:left w:type="dxa" w:w="120"/>
              <w:bottom w:type="dxa" w:w="90"/>
              <w:right w:type="dxa" w:w="120"/>
            </w:tcMar>
          </w:tcPr>
          <w:p>
            <w:pPr>
              <w:spacing w:after="0" w:line="252"/>
            </w:pPr>
            <w:r>
              <w:rPr>
                <w:rFonts w:ascii="Calibri" w:cs="Calibri" w:eastAsia="Calibri" w:hAnsi="Calibri"/>
                <w:b/>
                <w:bCs/>
                <w:sz w:val="19"/>
                <w:szCs w:val="19"/>
              </w:rPr>
              <w:t xml:space="preserve">North Miami ↔ Lauderhill</w:t>
            </w:r>
          </w:p>
        </w:tc>
        <w:tc>
          <w:tcPr>
            <w:tcW w:type="dxa" w:w="1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~20</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Within limit</w:t>
            </w:r>
          </w:p>
        </w:tc>
        <w:tc>
          <w:tcPr>
            <w:tcW w:type="dxa" w:w="28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Measure and document.</w:t>
            </w:r>
          </w:p>
        </w:tc>
      </w:tr>
      <w:tr>
        <w:tc>
          <w:tcPr>
            <w:tcW w:type="dxa" w:w="34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Miami ↔ Lauderhill</w:t>
            </w:r>
          </w:p>
        </w:tc>
        <w:tc>
          <w:tcPr>
            <w:tcW w:type="dxa" w:w="18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~28–30</w:t>
            </w:r>
          </w:p>
        </w:tc>
        <w:tc>
          <w:tcPr>
            <w:tcW w:type="dxa" w:w="20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AT OR OVER LIMIT</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Measure precisely. If over 25 mi, do not run standing free transport on this leg; serve Lauderhill patients from Lauderhill.</w:t>
            </w:r>
          </w:p>
        </w:tc>
      </w:tr>
      <w:tr>
        <w:tc>
          <w:tcPr>
            <w:tcW w:type="dxa" w:w="3400"/>
            <w:tcMar>
              <w:top w:type="dxa" w:w="90"/>
              <w:left w:type="dxa" w:w="120"/>
              <w:bottom w:type="dxa" w:w="90"/>
              <w:right w:type="dxa" w:w="120"/>
            </w:tcMar>
          </w:tcPr>
          <w:p>
            <w:pPr>
              <w:spacing w:after="0" w:line="252"/>
            </w:pPr>
            <w:r>
              <w:rPr>
                <w:rFonts w:ascii="Calibri" w:cs="Calibri" w:eastAsia="Calibri" w:hAnsi="Calibri"/>
                <w:b/>
                <w:bCs/>
                <w:sz w:val="19"/>
                <w:szCs w:val="19"/>
              </w:rPr>
              <w:t xml:space="preserve">Pinecrest ↔ Lauderhill</w:t>
            </w:r>
          </w:p>
        </w:tc>
        <w:tc>
          <w:tcPr>
            <w:tcW w:type="dxa" w:w="1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~40</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Over limit</w:t>
            </w:r>
          </w:p>
        </w:tc>
        <w:tc>
          <w:tcPr>
            <w:tcW w:type="dxa" w:w="28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Not eligible. Do not build this route.</w:t>
            </w:r>
          </w:p>
        </w:tc>
      </w:tr>
      <w:tr>
        <w:tc>
          <w:tcPr>
            <w:tcW w:type="dxa" w:w="34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Tampa ↔ Clearwater</w:t>
            </w:r>
          </w:p>
        </w:tc>
        <w:tc>
          <w:tcPr>
            <w:tcW w:type="dxa" w:w="18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~22</w:t>
            </w:r>
          </w:p>
        </w:tc>
        <w:tc>
          <w:tcPr>
            <w:tcW w:type="dxa" w:w="20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Within limit</w:t>
            </w:r>
          </w:p>
        </w:tc>
        <w:tc>
          <w:tcPr>
            <w:tcW w:type="dxa" w:w="28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Measure and document. Tampa Bay Region only.</w:t>
            </w:r>
          </w:p>
        </w:tc>
      </w:tr>
      <w:tr>
        <w:tc>
          <w:tcPr>
            <w:tcW w:type="dxa" w:w="3400"/>
            <w:tcMar>
              <w:top w:type="dxa" w:w="90"/>
              <w:left w:type="dxa" w:w="120"/>
              <w:bottom w:type="dxa" w:w="90"/>
              <w:right w:type="dxa" w:w="120"/>
            </w:tcMar>
          </w:tcPr>
          <w:p>
            <w:pPr>
              <w:spacing w:after="0" w:line="252"/>
            </w:pPr>
            <w:r>
              <w:rPr>
                <w:rFonts w:ascii="Calibri" w:cs="Calibri" w:eastAsia="Calibri" w:hAnsi="Calibri"/>
                <w:b/>
                <w:bCs/>
                <w:sz w:val="19"/>
                <w:szCs w:val="19"/>
              </w:rPr>
              <w:t xml:space="preserve">South Florida ↔ Tampa Bay (any pair)</w:t>
            </w:r>
          </w:p>
        </w:tc>
        <w:tc>
          <w:tcPr>
            <w:tcW w:type="dxa" w:w="1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~265–290</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Far over limit</w:t>
            </w:r>
          </w:p>
        </w:tc>
        <w:tc>
          <w:tcPr>
            <w:tcW w:type="dxa" w:w="28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Prohibited under § 5.2. No Company-funded patient transport between Regions.</w:t>
            </w:r>
          </w:p>
        </w:tc>
      </w:tr>
    </w:tbl>
    <w:p>
      <w:pPr>
        <w:spacing w:after="140"/>
      </w:pPr>
    </w:p>
    <w:tbl>
      <w:tblPr>
        <w:tblW w:type="dxa" w:w="10080"/>
        <w:tblBorders>
          <w:top w:val="single" w:color="B45309" w:sz="2"/>
          <w:left w:val="single" w:color="B45309" w:sz="18"/>
          <w:bottom w:val="single" w:color="B45309" w:sz="2"/>
          <w:right w:val="single" w:color="B45309"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B45309"/>
                <w:sz w:val="19"/>
                <w:szCs w:val="19"/>
              </w:rPr>
              <w:t xml:space="preserve">Operating consequence — </w:t>
            </w:r>
            <w:r>
              <w:rPr>
                <w:rFonts w:ascii="Calibri" w:cs="Calibri" w:eastAsia="Calibri" w:hAnsi="Calibri"/>
                <w:sz w:val="19"/>
                <w:szCs w:val="19"/>
              </w:rPr>
              <w:t xml:space="preserve">Because Lauderhill may sit outside a 25-mile radius of the Miami hub, and because Tampa Bay is an entirely separate market, the correct design is three independent transport catchments — Miami/North Miami/Pinecrest, Lauderhill, and Tampa/Clearwater — each with its own origin point, vehicle pool, and eligibility mapping. Designing a single Enterprise-wide transportation benefit would fail the safe harbor on day one.</w:t>
            </w:r>
          </w:p>
        </w:tc>
      </w:tr>
    </w:tbl>
    <w:p>
      <w:r>
        <w:br w:type="page"/>
      </w:r>
    </w:p>
    <w:p>
      <w:pPr>
        <w:pStyle w:val="Heading1"/>
        <w:pBdr>
          <w:bottom w:val="single" w:color="C9D2DC" w:sz="6" w:space="6"/>
        </w:pBdr>
        <w:spacing w:after="160" w:before="320"/>
      </w:pPr>
      <w:r>
        <w:rPr>
          <w:rFonts w:ascii="Calibri" w:cs="Calibri" w:eastAsia="Calibri" w:hAnsi="Calibri"/>
          <w:b/>
          <w:bCs/>
          <w:color w:val="1F3A5F"/>
          <w:sz w:val="26"/>
          <w:szCs w:val="26"/>
        </w:rPr>
        <w:t xml:space="preserve">Exhibit A — 90-Day Executive Priority Plan</w:t>
      </w:r>
    </w:p>
    <w:p>
      <w:pPr>
        <w:pStyle w:val="Heading2"/>
        <w:spacing w:after="100" w:before="220"/>
      </w:pPr>
      <w:r>
        <w:rPr>
          <w:rFonts w:ascii="Calibri" w:cs="Calibri" w:eastAsia="Calibri" w:hAnsi="Calibri"/>
          <w:b/>
          <w:bCs/>
          <w:color w:val="0F766E"/>
          <w:sz w:val="22"/>
          <w:szCs w:val="22"/>
        </w:rPr>
        <w:t xml:space="preserve">Days 1–30: Baseline and control</w:t>
      </w:r>
    </w:p>
    <w:p>
      <w:pPr>
        <w:pStyle w:val="ListParagraph"/>
        <w:numPr>
          <w:ilvl w:val="0"/>
          <w:numId w:val="2"/>
        </w:numPr>
        <w:spacing w:after="90" w:line="264"/>
      </w:pPr>
      <w:r>
        <w:rPr>
          <w:rFonts w:ascii="Calibri" w:cs="Calibri" w:eastAsia="Calibri" w:hAnsi="Calibri"/>
          <w:sz w:val="21"/>
          <w:szCs w:val="21"/>
        </w:rPr>
        <w:t xml:space="preserve">Complete Schedule 1: confirm every site, its legal entity, ownership relationship, licensure posture, and MSA status. Escalate any site operating without a current MSA.</w:t>
      </w:r>
    </w:p>
    <w:p>
      <w:pPr>
        <w:pStyle w:val="ListParagraph"/>
        <w:numPr>
          <w:ilvl w:val="0"/>
          <w:numId w:val="2"/>
        </w:numPr>
        <w:spacing w:after="90" w:line="264"/>
      </w:pPr>
      <w:r>
        <w:rPr>
          <w:rFonts w:ascii="Calibri" w:cs="Calibri" w:eastAsia="Calibri" w:hAnsi="Calibri"/>
          <w:sz w:val="21"/>
          <w:szCs w:val="21"/>
        </w:rPr>
        <w:t xml:space="preserve">Inventory every vehicle — VIN, title and lease status, garaging county, registration, insurance, mileage, condition, assigned driver, telematics status, fuel card, and maintenance history.</w:t>
      </w:r>
    </w:p>
    <w:p>
      <w:pPr>
        <w:pStyle w:val="ListParagraph"/>
        <w:numPr>
          <w:ilvl w:val="0"/>
          <w:numId w:val="2"/>
        </w:numPr>
        <w:spacing w:after="90" w:line="264"/>
      </w:pPr>
      <w:r>
        <w:rPr>
          <w:rFonts w:ascii="Calibri" w:cs="Calibri" w:eastAsia="Calibri" w:hAnsi="Calibri"/>
          <w:sz w:val="21"/>
          <w:szCs w:val="21"/>
        </w:rPr>
        <w:t xml:space="preserve">Perform the vehicle classification determination under Section 11.1 for each asset and flag any vehicle that triggers CDL or motor carrier obligations.</w:t>
      </w:r>
    </w:p>
    <w:p>
      <w:pPr>
        <w:pStyle w:val="ListParagraph"/>
        <w:numPr>
          <w:ilvl w:val="0"/>
          <w:numId w:val="2"/>
        </w:numPr>
        <w:spacing w:after="90" w:line="264"/>
      </w:pPr>
      <w:r>
        <w:rPr>
          <w:rFonts w:ascii="Calibri" w:cs="Calibri" w:eastAsia="Calibri" w:hAnsi="Calibri"/>
          <w:sz w:val="21"/>
          <w:szCs w:val="21"/>
        </w:rPr>
        <w:t xml:space="preserve">Build a single dispatch calendar and daily vehicle-availability board </w:t>
      </w:r>
      <w:r>
        <w:rPr>
          <w:rFonts w:ascii="Calibri" w:cs="Calibri" w:eastAsia="Calibri" w:hAnsi="Calibri"/>
          <w:b/>
          <w:bCs/>
          <w:sz w:val="21"/>
          <w:szCs w:val="21"/>
        </w:rPr>
        <w:t xml:space="preserve">per Region</w:t>
      </w:r>
      <w:r>
        <w:rPr>
          <w:rFonts w:ascii="Calibri" w:cs="Calibri" w:eastAsia="Calibri" w:hAnsi="Calibri"/>
          <w:sz w:val="21"/>
          <w:szCs w:val="21"/>
        </w:rPr>
        <w:t xml:space="preserve">.</w:t>
      </w:r>
    </w:p>
    <w:p>
      <w:pPr>
        <w:pStyle w:val="ListParagraph"/>
        <w:numPr>
          <w:ilvl w:val="0"/>
          <w:numId w:val="2"/>
        </w:numPr>
        <w:spacing w:after="90" w:line="264"/>
      </w:pPr>
      <w:r>
        <w:rPr>
          <w:rFonts w:ascii="Calibri" w:cs="Calibri" w:eastAsia="Calibri" w:hAnsi="Calibri"/>
          <w:sz w:val="21"/>
          <w:szCs w:val="21"/>
        </w:rPr>
        <w:t xml:space="preserve">Create driver files and obtain or verify required motor vehicle records, licenses and endorsements, training, screening, and policy acknowledgments.</w:t>
      </w:r>
    </w:p>
    <w:p>
      <w:pPr>
        <w:pStyle w:val="ListParagraph"/>
        <w:numPr>
          <w:ilvl w:val="0"/>
          <w:numId w:val="2"/>
        </w:numPr>
        <w:spacing w:after="90" w:line="264"/>
      </w:pPr>
      <w:r>
        <w:rPr>
          <w:rFonts w:ascii="Calibri" w:cs="Calibri" w:eastAsia="Calibri" w:hAnsi="Calibri"/>
          <w:sz w:val="21"/>
          <w:szCs w:val="21"/>
        </w:rPr>
        <w:t xml:space="preserve">Measure and record actual mileage for every leg in the Schedule 1 radius matrix; freeze any route that fails the 25-mile screen pending Compliance review.</w:t>
      </w:r>
    </w:p>
    <w:p>
      <w:pPr>
        <w:pStyle w:val="ListParagraph"/>
        <w:numPr>
          <w:ilvl w:val="0"/>
          <w:numId w:val="2"/>
        </w:numPr>
        <w:spacing w:after="90" w:line="264"/>
      </w:pPr>
      <w:r>
        <w:rPr>
          <w:rFonts w:ascii="Calibri" w:cs="Calibri" w:eastAsia="Calibri" w:hAnsi="Calibri"/>
          <w:sz w:val="21"/>
          <w:szCs w:val="21"/>
        </w:rPr>
        <w:t xml:space="preserve">Establish 30-day baselines for miles, fuel, idle time, harsh events, utilization, on-time performance, maintenance spend, and downtime — separately for each Region.</w:t>
      </w:r>
    </w:p>
    <w:p>
      <w:pPr>
        <w:pStyle w:val="ListParagraph"/>
        <w:numPr>
          <w:ilvl w:val="0"/>
          <w:numId w:val="2"/>
        </w:numPr>
        <w:spacing w:after="90" w:line="264"/>
      </w:pPr>
      <w:r>
        <w:rPr>
          <w:rFonts w:ascii="Calibri" w:cs="Calibri" w:eastAsia="Calibri" w:hAnsi="Calibri"/>
          <w:sz w:val="21"/>
          <w:szCs w:val="21"/>
        </w:rPr>
        <w:t xml:space="preserve">Segregate cost centers by Region, site, and Owned Site versus Affiliated Practice.</w:t>
      </w:r>
    </w:p>
    <w:p>
      <w:pPr>
        <w:pStyle w:val="ListParagraph"/>
        <w:numPr>
          <w:ilvl w:val="0"/>
          <w:numId w:val="2"/>
        </w:numPr>
        <w:spacing w:after="90" w:line="264"/>
      </w:pPr>
      <w:r>
        <w:rPr>
          <w:rFonts w:ascii="Calibri" w:cs="Calibri" w:eastAsia="Calibri" w:hAnsi="Calibri"/>
          <w:sz w:val="21"/>
          <w:szCs w:val="21"/>
        </w:rPr>
        <w:t xml:space="preserve">Review all transportation eligibility policies with Compliance, with priority on Federal Health Care Program beneficiaries, Affiliated Practice destinations, and non-medical trips.</w:t>
      </w:r>
    </w:p>
    <w:p>
      <w:pPr>
        <w:pStyle w:val="Heading2"/>
        <w:spacing w:after="100" w:before="220"/>
      </w:pPr>
      <w:r>
        <w:rPr>
          <w:rFonts w:ascii="Calibri" w:cs="Calibri" w:eastAsia="Calibri" w:hAnsi="Calibri"/>
          <w:b/>
          <w:bCs/>
          <w:color w:val="0F766E"/>
          <w:sz w:val="22"/>
          <w:szCs w:val="22"/>
        </w:rPr>
        <w:t xml:space="preserve">Days 31–60: Optimize and train</w:t>
      </w:r>
    </w:p>
    <w:p>
      <w:pPr>
        <w:pStyle w:val="ListParagraph"/>
        <w:numPr>
          <w:ilvl w:val="0"/>
          <w:numId w:val="2"/>
        </w:numPr>
        <w:spacing w:after="90" w:line="264"/>
      </w:pPr>
      <w:r>
        <w:rPr>
          <w:rFonts w:ascii="Calibri" w:cs="Calibri" w:eastAsia="Calibri" w:hAnsi="Calibri"/>
          <w:sz w:val="21"/>
          <w:szCs w:val="21"/>
        </w:rPr>
        <w:t xml:space="preserve">Launch route clustering, geographic zoning, appointment-window coordination, and reserve-vehicle rules within each transport catchment.</w:t>
      </w:r>
    </w:p>
    <w:p>
      <w:pPr>
        <w:pStyle w:val="ListParagraph"/>
        <w:numPr>
          <w:ilvl w:val="0"/>
          <w:numId w:val="2"/>
        </w:numPr>
        <w:spacing w:after="90" w:line="264"/>
      </w:pPr>
      <w:r>
        <w:rPr>
          <w:rFonts w:ascii="Calibri" w:cs="Calibri" w:eastAsia="Calibri" w:hAnsi="Calibri"/>
          <w:sz w:val="21"/>
          <w:szCs w:val="21"/>
        </w:rPr>
        <w:t xml:space="preserve">Implement the eligibility gate in the dispatch system so an out-of-policy trip cannot be booked without documented Compliance override.</w:t>
      </w:r>
    </w:p>
    <w:p>
      <w:pPr>
        <w:pStyle w:val="ListParagraph"/>
        <w:numPr>
          <w:ilvl w:val="0"/>
          <w:numId w:val="2"/>
        </w:numPr>
        <w:spacing w:after="90" w:line="264"/>
      </w:pPr>
      <w:r>
        <w:rPr>
          <w:rFonts w:ascii="Calibri" w:cs="Calibri" w:eastAsia="Calibri" w:hAnsi="Calibri"/>
          <w:sz w:val="21"/>
          <w:szCs w:val="21"/>
        </w:rPr>
        <w:t xml:space="preserve">Launch the Driver Improvement Program and first coaching cycle based on baseline telematics.</w:t>
      </w:r>
    </w:p>
    <w:p>
      <w:pPr>
        <w:pStyle w:val="ListParagraph"/>
        <w:numPr>
          <w:ilvl w:val="0"/>
          <w:numId w:val="2"/>
        </w:numPr>
        <w:spacing w:after="90" w:line="264"/>
      </w:pPr>
      <w:r>
        <w:rPr>
          <w:rFonts w:ascii="Calibri" w:cs="Calibri" w:eastAsia="Calibri" w:hAnsi="Calibri"/>
          <w:sz w:val="21"/>
          <w:szCs w:val="21"/>
        </w:rPr>
        <w:t xml:space="preserve">Implement the monthly preventive-maintenance calendar with safety-hold criteria and Region-level reserve capacity targets.</w:t>
      </w:r>
    </w:p>
    <w:p>
      <w:pPr>
        <w:pStyle w:val="ListParagraph"/>
        <w:numPr>
          <w:ilvl w:val="0"/>
          <w:numId w:val="2"/>
        </w:numPr>
        <w:spacing w:after="90" w:line="264"/>
      </w:pPr>
      <w:r>
        <w:rPr>
          <w:rFonts w:ascii="Calibri" w:cs="Calibri" w:eastAsia="Calibri" w:hAnsi="Calibri"/>
          <w:sz w:val="21"/>
          <w:szCs w:val="21"/>
        </w:rPr>
        <w:t xml:space="preserve">Create the TCM logistics priority flag tied to the clinician and care-management workflow.</w:t>
      </w:r>
    </w:p>
    <w:p>
      <w:pPr>
        <w:pStyle w:val="ListParagraph"/>
        <w:numPr>
          <w:ilvl w:val="0"/>
          <w:numId w:val="2"/>
        </w:numPr>
        <w:spacing w:after="90" w:line="264"/>
      </w:pPr>
      <w:r>
        <w:rPr>
          <w:rFonts w:ascii="Calibri" w:cs="Calibri" w:eastAsia="Calibri" w:hAnsi="Calibri"/>
          <w:sz w:val="21"/>
          <w:szCs w:val="21"/>
        </w:rPr>
        <w:t xml:space="preserve">Create the incident review template, vendor scorecard, and citation and toll workflow.</w:t>
      </w:r>
    </w:p>
    <w:p>
      <w:pPr>
        <w:pStyle w:val="ListParagraph"/>
        <w:numPr>
          <w:ilvl w:val="0"/>
          <w:numId w:val="2"/>
        </w:numPr>
        <w:spacing w:after="90" w:line="264"/>
      </w:pPr>
      <w:r>
        <w:rPr>
          <w:rFonts w:ascii="Calibri" w:cs="Calibri" w:eastAsia="Calibri" w:hAnsi="Calibri"/>
          <w:sz w:val="21"/>
          <w:szCs w:val="21"/>
        </w:rPr>
        <w:t xml:space="preserve">Stand up MSA cost capture for Pinecrest, Tampa, and Clearwater; deliver the first cost-to-fee variance report.</w:t>
      </w:r>
    </w:p>
    <w:p>
      <w:pPr>
        <w:pStyle w:val="ListParagraph"/>
        <w:numPr>
          <w:ilvl w:val="0"/>
          <w:numId w:val="2"/>
        </w:numPr>
        <w:spacing w:after="90" w:line="264"/>
      </w:pPr>
      <w:r>
        <w:rPr>
          <w:rFonts w:ascii="Calibri" w:cs="Calibri" w:eastAsia="Calibri" w:hAnsi="Calibri"/>
          <w:sz w:val="21"/>
          <w:szCs w:val="21"/>
        </w:rPr>
        <w:t xml:space="preserve">Deliver the first divisional P&amp;L and unit-economics dashboard with the top three savings opportunities per Region.</w:t>
      </w:r>
    </w:p>
    <w:p>
      <w:pPr>
        <w:pStyle w:val="Heading2"/>
        <w:spacing w:after="100" w:before="220"/>
      </w:pPr>
      <w:r>
        <w:rPr>
          <w:rFonts w:ascii="Calibri" w:cs="Calibri" w:eastAsia="Calibri" w:hAnsi="Calibri"/>
          <w:b/>
          <w:bCs/>
          <w:color w:val="0F766E"/>
          <w:sz w:val="22"/>
          <w:szCs w:val="22"/>
        </w:rPr>
        <w:t xml:space="preserve">Days 61–90: Scale and govern</w:t>
      </w:r>
    </w:p>
    <w:p>
      <w:pPr>
        <w:pStyle w:val="ListParagraph"/>
        <w:numPr>
          <w:ilvl w:val="0"/>
          <w:numId w:val="2"/>
        </w:numPr>
        <w:spacing w:after="90" w:line="264"/>
      </w:pPr>
      <w:r>
        <w:rPr>
          <w:rFonts w:ascii="Calibri" w:cs="Calibri" w:eastAsia="Calibri" w:hAnsi="Calibri"/>
          <w:sz w:val="21"/>
          <w:szCs w:val="21"/>
        </w:rPr>
        <w:t xml:space="preserve">Validate measurable improvement against baseline and reset annual KPI targets by Region.</w:t>
      </w:r>
    </w:p>
    <w:p>
      <w:pPr>
        <w:pStyle w:val="ListParagraph"/>
        <w:numPr>
          <w:ilvl w:val="0"/>
          <w:numId w:val="2"/>
        </w:numPr>
        <w:spacing w:after="90" w:line="264"/>
      </w:pPr>
      <w:r>
        <w:rPr>
          <w:rFonts w:ascii="Calibri" w:cs="Calibri" w:eastAsia="Calibri" w:hAnsi="Calibri"/>
          <w:sz w:val="21"/>
          <w:szCs w:val="21"/>
        </w:rPr>
        <w:t xml:space="preserve">Complete the fleet replacement and retention plan and 12-month maintenance forecast.</w:t>
      </w:r>
    </w:p>
    <w:p>
      <w:pPr>
        <w:pStyle w:val="ListParagraph"/>
        <w:numPr>
          <w:ilvl w:val="0"/>
          <w:numId w:val="2"/>
        </w:numPr>
        <w:spacing w:after="90" w:line="264"/>
      </w:pPr>
      <w:r>
        <w:rPr>
          <w:rFonts w:ascii="Calibri" w:cs="Calibri" w:eastAsia="Calibri" w:hAnsi="Calibri"/>
          <w:sz w:val="21"/>
          <w:szCs w:val="21"/>
        </w:rPr>
        <w:t xml:space="preserve">Run a tabletop exercise for event deployment and future EMS vehicle readiness, county by county.</w:t>
      </w:r>
    </w:p>
    <w:p>
      <w:pPr>
        <w:pStyle w:val="ListParagraph"/>
        <w:numPr>
          <w:ilvl w:val="0"/>
          <w:numId w:val="2"/>
        </w:numPr>
        <w:spacing w:after="90" w:line="264"/>
      </w:pPr>
      <w:r>
        <w:rPr>
          <w:rFonts w:ascii="Calibri" w:cs="Calibri" w:eastAsia="Calibri" w:hAnsi="Calibri"/>
          <w:sz w:val="21"/>
          <w:szCs w:val="21"/>
        </w:rPr>
        <w:t xml:space="preserve">Complete an audit of transportation compliance documentation, Affiliated Practice separation, and nonprofit fund separation.</w:t>
      </w:r>
    </w:p>
    <w:p>
      <w:pPr>
        <w:pStyle w:val="ListParagraph"/>
        <w:numPr>
          <w:ilvl w:val="0"/>
          <w:numId w:val="2"/>
        </w:numPr>
        <w:spacing w:after="90" w:line="264"/>
      </w:pPr>
      <w:r>
        <w:rPr>
          <w:rFonts w:ascii="Calibri" w:cs="Calibri" w:eastAsia="Calibri" w:hAnsi="Calibri"/>
          <w:sz w:val="21"/>
          <w:szCs w:val="21"/>
        </w:rPr>
        <w:t xml:space="preserve">Present the executive operating review: safety, access, cost, compliance, staffing, vehicle capacity, MSA economics, and next-quarter capital needs.</w:t>
      </w:r>
    </w:p>
    <w:p>
      <w:r>
        <w:br w:type="page"/>
      </w:r>
    </w:p>
    <w:p>
      <w:pPr>
        <w:pStyle w:val="Heading1"/>
        <w:pBdr>
          <w:bottom w:val="single" w:color="C9D2DC" w:sz="6" w:space="6"/>
        </w:pBdr>
        <w:spacing w:after="160" w:before="320"/>
      </w:pPr>
      <w:r>
        <w:rPr>
          <w:rFonts w:ascii="Calibri" w:cs="Calibri" w:eastAsia="Calibri" w:hAnsi="Calibri"/>
          <w:b/>
          <w:bCs/>
          <w:color w:val="1F3A5F"/>
          <w:sz w:val="26"/>
          <w:szCs w:val="26"/>
        </w:rPr>
        <w:t xml:space="preserve">Exhibit B — Fleet &amp; Driver KPI Scorecard</w:t>
      </w:r>
    </w:p>
    <w:p>
      <w:pPr>
        <w:spacing w:after="140" w:line="264"/>
      </w:pPr>
      <w:r>
        <w:rPr>
          <w:rFonts w:ascii="Calibri" w:cs="Calibri" w:eastAsia="Calibri" w:hAnsi="Calibri"/>
          <w:sz w:val="21"/>
          <w:szCs w:val="21"/>
        </w:rPr>
        <w:t xml:space="preserve">All metrics are reported by Region, with site-level detail and an Owned Site versus Affiliated Practice split where applicable.</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1700"/>
        <w:gridCol w:w="4400"/>
        <w:gridCol w:w="1900"/>
        <w:gridCol w:w="2080"/>
      </w:tblGrid>
      <w:tr>
        <w:trPr>
          <w:tblHeader/>
        </w:trPr>
        <w:tc>
          <w:tcPr>
            <w:tcW w:type="dxa" w:w="17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Domain</w:t>
            </w:r>
          </w:p>
        </w:tc>
        <w:tc>
          <w:tcPr>
            <w:tcW w:type="dxa" w:w="44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Metrics</w:t>
            </w:r>
          </w:p>
        </w:tc>
        <w:tc>
          <w:tcPr>
            <w:tcW w:type="dxa" w:w="19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Review</w:t>
            </w:r>
          </w:p>
        </w:tc>
        <w:tc>
          <w:tcPr>
            <w:tcW w:type="dxa" w:w="20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Evidence</w:t>
            </w:r>
          </w:p>
        </w:tc>
      </w:tr>
      <w:tr>
        <w:tc>
          <w:tcPr>
            <w:tcW w:type="dxa" w:w="1700"/>
            <w:tcMar>
              <w:top w:type="dxa" w:w="90"/>
              <w:left w:type="dxa" w:w="120"/>
              <w:bottom w:type="dxa" w:w="90"/>
              <w:right w:type="dxa" w:w="120"/>
            </w:tcMar>
          </w:tcPr>
          <w:p>
            <w:pPr>
              <w:spacing w:after="0" w:line="252"/>
            </w:pPr>
            <w:r>
              <w:rPr>
                <w:rFonts w:ascii="Calibri" w:cs="Calibri" w:eastAsia="Calibri" w:hAnsi="Calibri"/>
                <w:b/>
                <w:bCs/>
                <w:sz w:val="19"/>
                <w:szCs w:val="19"/>
              </w:rPr>
              <w:t xml:space="preserve">Safety</w:t>
            </w:r>
          </w:p>
        </w:tc>
        <w:tc>
          <w:tcPr>
            <w:tcW w:type="dxa" w:w="4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Preventable collision rate; speeding; harsh braking; rapid acceleration; cornering; seat-belt exceptions</w:t>
            </w:r>
          </w:p>
        </w:tc>
        <w:tc>
          <w:tcPr>
            <w:tcW w:type="dxa" w:w="1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Weekly / Monthly</w:t>
            </w:r>
          </w:p>
        </w:tc>
        <w:tc>
          <w:tcPr>
            <w:tcW w:type="dxa" w:w="20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Safety trend + corrective action</w:t>
            </w:r>
          </w:p>
        </w:tc>
      </w:tr>
      <w:tr>
        <w:tc>
          <w:tcPr>
            <w:tcW w:type="dxa" w:w="17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Access</w:t>
            </w:r>
          </w:p>
        </w:tc>
        <w:tc>
          <w:tcPr>
            <w:tcW w:type="dxa" w:w="44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On-time pickup; completed trips; missed trips; wait time; TCM priority completion</w:t>
            </w:r>
          </w:p>
        </w:tc>
        <w:tc>
          <w:tcPr>
            <w:tcW w:type="dxa" w:w="19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Weekly / Monthly</w:t>
            </w:r>
          </w:p>
        </w:tc>
        <w:tc>
          <w:tcPr>
            <w:tcW w:type="dxa" w:w="20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Patient access reliability</w:t>
            </w:r>
          </w:p>
        </w:tc>
      </w:tr>
      <w:tr>
        <w:tc>
          <w:tcPr>
            <w:tcW w:type="dxa" w:w="1700"/>
            <w:tcMar>
              <w:top w:type="dxa" w:w="90"/>
              <w:left w:type="dxa" w:w="120"/>
              <w:bottom w:type="dxa" w:w="90"/>
              <w:right w:type="dxa" w:w="120"/>
            </w:tcMar>
          </w:tcPr>
          <w:p>
            <w:pPr>
              <w:spacing w:after="0" w:line="252"/>
            </w:pPr>
            <w:r>
              <w:rPr>
                <w:rFonts w:ascii="Calibri" w:cs="Calibri" w:eastAsia="Calibri" w:hAnsi="Calibri"/>
                <w:b/>
                <w:bCs/>
                <w:sz w:val="19"/>
                <w:szCs w:val="19"/>
              </w:rPr>
              <w:t xml:space="preserve">Efficiency</w:t>
            </w:r>
          </w:p>
        </w:tc>
        <w:tc>
          <w:tcPr>
            <w:tcW w:type="dxa" w:w="4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Occupied miles; deadhead miles; idle hours; trips per driver-hour; route density</w:t>
            </w:r>
          </w:p>
        </w:tc>
        <w:tc>
          <w:tcPr>
            <w:tcW w:type="dxa" w:w="1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Weekly / Monthly</w:t>
            </w:r>
          </w:p>
        </w:tc>
        <w:tc>
          <w:tcPr>
            <w:tcW w:type="dxa" w:w="20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Resource productivity</w:t>
            </w:r>
          </w:p>
        </w:tc>
      </w:tr>
      <w:tr>
        <w:tc>
          <w:tcPr>
            <w:tcW w:type="dxa" w:w="17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Cost</w:t>
            </w:r>
          </w:p>
        </w:tc>
        <w:tc>
          <w:tcPr>
            <w:tcW w:type="dxa" w:w="44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Fuel per mile; maintenance per mile; cost per trip; overtime; contracted transport; claims</w:t>
            </w:r>
          </w:p>
        </w:tc>
        <w:tc>
          <w:tcPr>
            <w:tcW w:type="dxa" w:w="19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Monthly</w:t>
            </w:r>
          </w:p>
        </w:tc>
        <w:tc>
          <w:tcPr>
            <w:tcW w:type="dxa" w:w="20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P&amp;L / budget variance</w:t>
            </w:r>
          </w:p>
        </w:tc>
      </w:tr>
      <w:tr>
        <w:tc>
          <w:tcPr>
            <w:tcW w:type="dxa" w:w="1700"/>
            <w:tcMar>
              <w:top w:type="dxa" w:w="90"/>
              <w:left w:type="dxa" w:w="120"/>
              <w:bottom w:type="dxa" w:w="90"/>
              <w:right w:type="dxa" w:w="120"/>
            </w:tcMar>
          </w:tcPr>
          <w:p>
            <w:pPr>
              <w:spacing w:after="0" w:line="252"/>
            </w:pPr>
            <w:r>
              <w:rPr>
                <w:rFonts w:ascii="Calibri" w:cs="Calibri" w:eastAsia="Calibri" w:hAnsi="Calibri"/>
                <w:b/>
                <w:bCs/>
                <w:sz w:val="19"/>
                <w:szCs w:val="19"/>
              </w:rPr>
              <w:t xml:space="preserve">Asset</w:t>
            </w:r>
          </w:p>
        </w:tc>
        <w:tc>
          <w:tcPr>
            <w:tcW w:type="dxa" w:w="4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Utilization; downtime; PM compliance; repair recurrence; age and mileage; reserve capacity by Region</w:t>
            </w:r>
          </w:p>
        </w:tc>
        <w:tc>
          <w:tcPr>
            <w:tcW w:type="dxa" w:w="1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Monthly</w:t>
            </w:r>
          </w:p>
        </w:tc>
        <w:tc>
          <w:tcPr>
            <w:tcW w:type="dxa" w:w="20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Lifecycle decisions</w:t>
            </w:r>
          </w:p>
        </w:tc>
      </w:tr>
      <w:tr>
        <w:tc>
          <w:tcPr>
            <w:tcW w:type="dxa" w:w="1700"/>
            <w:shd w:fill="F2F5F8" w:color="auto" w:val="clear"/>
            <w:tcMar>
              <w:top w:type="dxa" w:w="90"/>
              <w:left w:type="dxa" w:w="120"/>
              <w:bottom w:type="dxa" w:w="90"/>
              <w:right w:type="dxa" w:w="120"/>
            </w:tcMar>
          </w:tcPr>
          <w:p>
            <w:pPr>
              <w:spacing w:after="0" w:line="252"/>
            </w:pPr>
            <w:r>
              <w:rPr>
                <w:rFonts w:ascii="Calibri" w:cs="Calibri" w:eastAsia="Calibri" w:hAnsi="Calibri"/>
                <w:b/>
                <w:bCs/>
                <w:sz w:val="19"/>
                <w:szCs w:val="19"/>
              </w:rPr>
              <w:t xml:space="preserve">People</w:t>
            </w:r>
          </w:p>
        </w:tc>
        <w:tc>
          <w:tcPr>
            <w:tcW w:type="dxa" w:w="44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Training completion; MVR exceptions; credential and endorsement lapses; coaching completion; turnover and absence</w:t>
            </w:r>
          </w:p>
        </w:tc>
        <w:tc>
          <w:tcPr>
            <w:tcW w:type="dxa" w:w="190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Monthly</w:t>
            </w:r>
          </w:p>
        </w:tc>
        <w:tc>
          <w:tcPr>
            <w:tcW w:type="dxa" w:w="2080"/>
            <w:shd w:fill="F2F5F8" w:color="auto"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Workforce readiness</w:t>
            </w:r>
          </w:p>
        </w:tc>
      </w:tr>
      <w:tr>
        <w:tc>
          <w:tcPr>
            <w:tcW w:type="dxa" w:w="1700"/>
            <w:tcMar>
              <w:top w:type="dxa" w:w="90"/>
              <w:left w:type="dxa" w:w="120"/>
              <w:bottom w:type="dxa" w:w="90"/>
              <w:right w:type="dxa" w:w="120"/>
            </w:tcMar>
          </w:tcPr>
          <w:p>
            <w:pPr>
              <w:spacing w:after="0" w:line="252"/>
            </w:pPr>
            <w:r>
              <w:rPr>
                <w:rFonts w:ascii="Calibri" w:cs="Calibri" w:eastAsia="Calibri" w:hAnsi="Calibri"/>
                <w:b/>
                <w:bCs/>
                <w:sz w:val="19"/>
                <w:szCs w:val="19"/>
              </w:rPr>
              <w:t xml:space="preserve">Compliance</w:t>
            </w:r>
          </w:p>
        </w:tc>
        <w:tc>
          <w:tcPr>
            <w:tcW w:type="dxa" w:w="4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Policy exceptions; PHI incidents; prohibited marketing; transport eligibility exceptions; radius failures; MSA scope exceptions</w:t>
            </w:r>
          </w:p>
        </w:tc>
        <w:tc>
          <w:tcPr>
            <w:tcW w:type="dxa" w:w="1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Monthly</w:t>
            </w:r>
          </w:p>
        </w:tc>
        <w:tc>
          <w:tcPr>
            <w:tcW w:type="dxa" w:w="208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Compliance remediation</w:t>
            </w:r>
          </w:p>
        </w:tc>
      </w:tr>
    </w:tbl>
    <w:p>
      <w:r>
        <w:br w:type="page"/>
      </w:r>
    </w:p>
    <w:p>
      <w:pPr>
        <w:pStyle w:val="Heading1"/>
        <w:pBdr>
          <w:bottom w:val="single" w:color="C9D2DC" w:sz="6" w:space="6"/>
        </w:pBdr>
        <w:spacing w:after="160" w:before="320"/>
      </w:pPr>
      <w:r>
        <w:rPr>
          <w:rFonts w:ascii="Calibri" w:cs="Calibri" w:eastAsia="Calibri" w:hAnsi="Calibri"/>
          <w:b/>
          <w:bCs/>
          <w:color w:val="1F3A5F"/>
          <w:sz w:val="26"/>
          <w:szCs w:val="26"/>
        </w:rPr>
        <w:t xml:space="preserve">Exhibit C — Community Paramedic Operating Instructions</w:t>
      </w:r>
    </w:p>
    <w:tbl>
      <w:tblPr>
        <w:tblW w:type="dxa" w:w="10080"/>
        <w:tblBorders>
          <w:top w:val="single" w:color="0F766E" w:sz="2"/>
          <w:left w:val="single" w:color="0F766E" w:sz="18"/>
          <w:bottom w:val="single" w:color="0F766E" w:sz="2"/>
          <w:right w:val="single" w:color="0F766E"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0F766E"/>
                <w:sz w:val="19"/>
                <w:szCs w:val="19"/>
              </w:rPr>
              <w:t xml:space="preserve">Role separation — </w:t>
            </w:r>
            <w:r>
              <w:rPr>
                <w:rFonts w:ascii="Calibri" w:cs="Calibri" w:eastAsia="Calibri" w:hAnsi="Calibri"/>
                <w:sz w:val="19"/>
                <w:szCs w:val="19"/>
              </w:rPr>
              <w:t xml:space="preserve">The Population Health Nurse or other Clinical Authority establishes clinical priority and disposition. The community paramedic performs only authorized clinical functions under applicable medical direction and protocol. The Executive controls logistics, vehicle readiness, dispatch capacity, and operational escalation — not diagnosis, triage, or treatment.</w:t>
            </w:r>
          </w:p>
        </w:tc>
      </w:tr>
    </w:tbl>
    <w:p>
      <w:pPr>
        <w:spacing w:after="160"/>
      </w:pPr>
    </w:p>
    <w:p>
      <w:pPr>
        <w:spacing w:after="140" w:line="264"/>
      </w:pPr>
      <w:r>
        <w:rPr>
          <w:rFonts w:ascii="Calibri" w:cs="Calibri" w:eastAsia="Calibri" w:hAnsi="Calibri"/>
          <w:b/>
          <w:bCs/>
          <w:sz w:val="21"/>
          <w:szCs w:val="21"/>
        </w:rPr>
        <w:t xml:space="preserve">1.  Intake.</w:t>
      </w:r>
      <w:r>
        <w:rPr>
          <w:rFonts w:ascii="Calibri" w:cs="Calibri" w:eastAsia="Calibri" w:hAnsi="Calibri"/>
          <w:sz w:val="21"/>
          <w:szCs w:val="21"/>
        </w:rPr>
        <w:t xml:space="preserve"> Receive the task from an approved clinical or care-management source. Confirm patient identity using approved minimum-necessary data, address, contact method, clinician-assigned priority, requested service, deadline, mobility needs, and infection or safety flags appropriate for logistics.</w:t>
      </w:r>
    </w:p>
    <w:p>
      <w:pPr>
        <w:spacing w:after="140" w:line="264"/>
      </w:pPr>
      <w:r>
        <w:rPr>
          <w:rFonts w:ascii="Calibri" w:cs="Calibri" w:eastAsia="Calibri" w:hAnsi="Calibri"/>
          <w:b/>
          <w:bCs/>
          <w:sz w:val="21"/>
          <w:szCs w:val="21"/>
        </w:rPr>
        <w:t xml:space="preserve">2.  Eligibility screen.</w:t>
      </w:r>
      <w:r>
        <w:rPr>
          <w:rFonts w:ascii="Calibri" w:cs="Calibri" w:eastAsia="Calibri" w:hAnsi="Calibri"/>
          <w:sz w:val="21"/>
          <w:szCs w:val="21"/>
        </w:rPr>
        <w:t xml:space="preserve"> Before resource assignment, confirm established-patient status, medically necessary purpose, and radius compliance against Schedule 1. A failed screen routes to Compliance, not to a workaround.</w:t>
      </w:r>
    </w:p>
    <w:p>
      <w:pPr>
        <w:spacing w:after="140" w:line="264"/>
      </w:pPr>
      <w:r>
        <w:rPr>
          <w:rFonts w:ascii="Calibri" w:cs="Calibri" w:eastAsia="Calibri" w:hAnsi="Calibri"/>
          <w:b/>
          <w:bCs/>
          <w:sz w:val="21"/>
          <w:szCs w:val="21"/>
        </w:rPr>
        <w:t xml:space="preserve">3.  Determine resource class.</w:t>
      </w:r>
      <w:r>
        <w:rPr>
          <w:rFonts w:ascii="Calibri" w:cs="Calibri" w:eastAsia="Calibri" w:hAnsi="Calibri"/>
          <w:sz w:val="21"/>
          <w:szCs w:val="21"/>
        </w:rPr>
        <w:t xml:space="preserve"> Select ordinary passenger transport, medication-delivery vehicle, community-paramedic vehicle, contracted NEMT, payer-provided benefit, or — only if licensed and clinically indicated — an EMS or ambulance resource. Never substitute a non-EMS vehicle for ambulance-level transport.</w:t>
      </w:r>
    </w:p>
    <w:p>
      <w:pPr>
        <w:spacing w:after="140" w:line="264"/>
      </w:pPr>
      <w:r>
        <w:rPr>
          <w:rFonts w:ascii="Calibri" w:cs="Calibri" w:eastAsia="Calibri" w:hAnsi="Calibri"/>
          <w:b/>
          <w:bCs/>
          <w:sz w:val="21"/>
          <w:szCs w:val="21"/>
        </w:rPr>
        <w:t xml:space="preserve">4.  TCM flag.</w:t>
      </w:r>
      <w:r>
        <w:rPr>
          <w:rFonts w:ascii="Calibri" w:cs="Calibri" w:eastAsia="Calibri" w:hAnsi="Calibri"/>
          <w:sz w:val="21"/>
          <w:szCs w:val="21"/>
        </w:rPr>
        <w:t xml:space="preserve"> For recently discharged patients, display the discharge date and clinician-assigned TCM priority. The operational target may be 48 hours, but CMS billing logic must preserve the two-business-day contact requirement and the 7-day and 14-day face-to-face windows.</w:t>
      </w:r>
    </w:p>
    <w:p>
      <w:pPr>
        <w:spacing w:after="140" w:line="264"/>
      </w:pPr>
      <w:r>
        <w:rPr>
          <w:rFonts w:ascii="Calibri" w:cs="Calibri" w:eastAsia="Calibri" w:hAnsi="Calibri"/>
          <w:b/>
          <w:bCs/>
          <w:sz w:val="21"/>
          <w:szCs w:val="21"/>
        </w:rPr>
        <w:t xml:space="preserve">5.  Telehealth versus office.</w:t>
      </w:r>
      <w:r>
        <w:rPr>
          <w:rFonts w:ascii="Calibri" w:cs="Calibri" w:eastAsia="Calibri" w:hAnsi="Calibri"/>
          <w:sz w:val="21"/>
          <w:szCs w:val="21"/>
        </w:rPr>
        <w:t xml:space="preserve"> Executive may coordinate technology and transport. A Clinical Authority decides whether telehealth is clinically appropriate or an in-person evaluation is required.</w:t>
      </w:r>
    </w:p>
    <w:p>
      <w:pPr>
        <w:spacing w:after="140" w:line="264"/>
      </w:pPr>
      <w:r>
        <w:rPr>
          <w:rFonts w:ascii="Calibri" w:cs="Calibri" w:eastAsia="Calibri" w:hAnsi="Calibri"/>
          <w:b/>
          <w:bCs/>
          <w:sz w:val="21"/>
          <w:szCs w:val="21"/>
        </w:rPr>
        <w:t xml:space="preserve">6.  Route plan.</w:t>
      </w:r>
      <w:r>
        <w:rPr>
          <w:rFonts w:ascii="Calibri" w:cs="Calibri" w:eastAsia="Calibri" w:hAnsi="Calibri"/>
          <w:sz w:val="21"/>
          <w:szCs w:val="21"/>
        </w:rPr>
        <w:t xml:space="preserve"> Cluster by geography and appointment window within a single transport catchment, without delaying high-priority care. Track occupied and deadhead miles and avoid unnecessary idling.</w:t>
      </w:r>
    </w:p>
    <w:p>
      <w:pPr>
        <w:spacing w:after="140" w:line="264"/>
      </w:pPr>
      <w:r>
        <w:rPr>
          <w:rFonts w:ascii="Calibri" w:cs="Calibri" w:eastAsia="Calibri" w:hAnsi="Calibri"/>
          <w:b/>
          <w:bCs/>
          <w:sz w:val="21"/>
          <w:szCs w:val="21"/>
        </w:rPr>
        <w:t xml:space="preserve">7.  Safety check.</w:t>
      </w:r>
      <w:r>
        <w:rPr>
          <w:rFonts w:ascii="Calibri" w:cs="Calibri" w:eastAsia="Calibri" w:hAnsi="Calibri"/>
          <w:sz w:val="21"/>
          <w:szCs w:val="21"/>
        </w:rPr>
        <w:t xml:space="preserve"> Confirm the assigned vehicle is in service, not on maintenance hold, properly fueled or charged, clean, and equipped for its authorized mission. For EMS vehicles, use the applicable inspection and readiness checklist.</w:t>
      </w:r>
    </w:p>
    <w:p>
      <w:pPr>
        <w:spacing w:after="140" w:line="264"/>
      </w:pPr>
      <w:r>
        <w:rPr>
          <w:rFonts w:ascii="Calibri" w:cs="Calibri" w:eastAsia="Calibri" w:hAnsi="Calibri"/>
          <w:b/>
          <w:bCs/>
          <w:sz w:val="21"/>
          <w:szCs w:val="21"/>
        </w:rPr>
        <w:t xml:space="preserve">8.  Patient contact.</w:t>
      </w:r>
      <w:r>
        <w:rPr>
          <w:rFonts w:ascii="Calibri" w:cs="Calibri" w:eastAsia="Calibri" w:hAnsi="Calibri"/>
          <w:sz w:val="21"/>
          <w:szCs w:val="21"/>
        </w:rPr>
        <w:t xml:space="preserve"> Use approved scripts. Do not market services, discuss plan enrollment, or promise coverage. Escalate clinical questions to clinical staff.</w:t>
      </w:r>
    </w:p>
    <w:p>
      <w:pPr>
        <w:spacing w:after="140" w:line="264"/>
      </w:pPr>
      <w:r>
        <w:rPr>
          <w:rFonts w:ascii="Calibri" w:cs="Calibri" w:eastAsia="Calibri" w:hAnsi="Calibri"/>
          <w:b/>
          <w:bCs/>
          <w:sz w:val="21"/>
          <w:szCs w:val="21"/>
        </w:rPr>
        <w:t xml:space="preserve">9.  Completion.</w:t>
      </w:r>
      <w:r>
        <w:rPr>
          <w:rFonts w:ascii="Calibri" w:cs="Calibri" w:eastAsia="Calibri" w:hAnsi="Calibri"/>
          <w:sz w:val="21"/>
          <w:szCs w:val="21"/>
        </w:rPr>
        <w:t xml:space="preserve"> Record pickup, arrival, and completion status, exceptions, mileage, wait time, and handoff. Do not place unnecessary diagnoses in the dispatch record.</w:t>
      </w:r>
    </w:p>
    <w:p>
      <w:pPr>
        <w:spacing w:after="140" w:line="264"/>
      </w:pPr>
      <w:r>
        <w:rPr>
          <w:rFonts w:ascii="Calibri" w:cs="Calibri" w:eastAsia="Calibri" w:hAnsi="Calibri"/>
          <w:b/>
          <w:bCs/>
          <w:sz w:val="21"/>
          <w:szCs w:val="21"/>
        </w:rPr>
        <w:t xml:space="preserve">10.  Escalation.</w:t>
      </w:r>
      <w:r>
        <w:rPr>
          <w:rFonts w:ascii="Calibri" w:cs="Calibri" w:eastAsia="Calibri" w:hAnsi="Calibri"/>
          <w:sz w:val="21"/>
          <w:szCs w:val="21"/>
        </w:rPr>
        <w:t xml:space="preserve"> If the patient's condition appears emergent, the driver or paramedic follows emergency protocol and contacts 911 or medical direction as applicable. Logistics metrics never override safety.</w:t>
      </w:r>
    </w:p>
    <w:p>
      <w:pPr>
        <w:spacing w:after="140" w:line="264"/>
      </w:pPr>
      <w:r>
        <w:rPr>
          <w:rFonts w:ascii="Calibri" w:cs="Calibri" w:eastAsia="Calibri" w:hAnsi="Calibri"/>
          <w:b/>
          <w:bCs/>
          <w:sz w:val="21"/>
          <w:szCs w:val="21"/>
        </w:rPr>
        <w:t xml:space="preserve">11.  Daily reconciliation.</w:t>
      </w:r>
      <w:r>
        <w:rPr>
          <w:rFonts w:ascii="Calibri" w:cs="Calibri" w:eastAsia="Calibri" w:hAnsi="Calibri"/>
          <w:sz w:val="21"/>
          <w:szCs w:val="21"/>
        </w:rPr>
        <w:t xml:space="preserve"> Close incomplete trips, medication deliveries, maintenance exceptions, and TCM priority tasks. Escalate unresolved items before end of shift.</w:t>
      </w:r>
    </w:p>
    <w:p>
      <w:pPr>
        <w:spacing w:after="140" w:line="264"/>
      </w:pPr>
      <w:r>
        <w:rPr>
          <w:rFonts w:ascii="Calibri" w:cs="Calibri" w:eastAsia="Calibri" w:hAnsi="Calibri"/>
          <w:b/>
          <w:bCs/>
          <w:sz w:val="21"/>
          <w:szCs w:val="21"/>
        </w:rPr>
        <w:t xml:space="preserve">12.  Weekly review.</w:t>
      </w:r>
      <w:r>
        <w:rPr>
          <w:rFonts w:ascii="Calibri" w:cs="Calibri" w:eastAsia="Calibri" w:hAnsi="Calibri"/>
          <w:sz w:val="21"/>
          <w:szCs w:val="21"/>
        </w:rPr>
        <w:t xml:space="preserve"> Meet with Population Health in each Region to review missed access, high-utilizer patterns, recent discharges, repeat transportation barriers, and capacity constraints.</w:t>
      </w:r>
    </w:p>
    <w:p>
      <w:pPr>
        <w:spacing w:after="140" w:line="264"/>
      </w:pPr>
      <w:r>
        <w:rPr>
          <w:rFonts w:ascii="Calibri" w:cs="Calibri" w:eastAsia="Calibri" w:hAnsi="Calibri"/>
          <w:b/>
          <w:bCs/>
          <w:sz w:val="21"/>
          <w:szCs w:val="21"/>
        </w:rPr>
        <w:t xml:space="preserve">13.  Monthly review.</w:t>
      </w:r>
      <w:r>
        <w:rPr>
          <w:rFonts w:ascii="Calibri" w:cs="Calibri" w:eastAsia="Calibri" w:hAnsi="Calibri"/>
          <w:sz w:val="21"/>
          <w:szCs w:val="21"/>
        </w:rPr>
        <w:t xml:space="preserve"> Reconcile operational activity to the P&amp;L, quality metrics, compliance exceptions, MSA cost capture, and improvement actions.</w:t>
      </w:r>
    </w:p>
    <w:p>
      <w:r>
        <w:br w:type="page"/>
      </w:r>
    </w:p>
    <w:p>
      <w:pPr>
        <w:pStyle w:val="Heading1"/>
        <w:pBdr>
          <w:bottom w:val="single" w:color="C9D2DC" w:sz="6" w:space="6"/>
        </w:pBdr>
        <w:spacing w:after="160" w:before="320"/>
      </w:pPr>
      <w:r>
        <w:rPr>
          <w:rFonts w:ascii="Calibri" w:cs="Calibri" w:eastAsia="Calibri" w:hAnsi="Calibri"/>
          <w:b/>
          <w:bCs/>
          <w:color w:val="1F3A5F"/>
          <w:sz w:val="26"/>
          <w:szCs w:val="26"/>
        </w:rPr>
        <w:t xml:space="preserve">Exhibit D — Regulatory Reference Matrix</w:t>
      </w:r>
    </w:p>
    <w:p>
      <w:pPr>
        <w:spacing w:after="140" w:line="264"/>
      </w:pPr>
      <w:r>
        <w:rPr>
          <w:rFonts w:ascii="Calibri" w:cs="Calibri" w:eastAsia="Calibri" w:hAnsi="Calibri"/>
          <w:sz w:val="21"/>
          <w:szCs w:val="21"/>
        </w:rPr>
        <w:t xml:space="preserve">Provided for operational orientation. This matrix is not legal advice and does not substitute for counsel review of any specific arrangement.</w:t>
      </w:r>
    </w:p>
    <w:tbl>
      <w:tblPr>
        <w:tblW w:type="dxa" w:w="10080"/>
        <w:tblBorders>
          <w:top w:val="single" w:color="C9D2DC" w:sz="2"/>
          <w:left w:val="single" w:color="C9D2DC" w:sz="2"/>
          <w:bottom w:val="single" w:color="C9D2DC" w:sz="2"/>
          <w:right w:val="single" w:color="C9D2DC" w:sz="2"/>
          <w:insideH w:val="single" w:color="C9D2DC" w:sz="2"/>
          <w:insideV w:val="single" w:color="C9D2DC" w:sz="2"/>
        </w:tblBorders>
      </w:tblPr>
      <w:tblGrid>
        <w:gridCol w:w="3200"/>
        <w:gridCol w:w="6880"/>
      </w:tblGrid>
      <w:tr>
        <w:trPr>
          <w:tblHeader/>
        </w:trPr>
        <w:tc>
          <w:tcPr>
            <w:tcW w:type="dxa" w:w="320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Authority</w:t>
            </w:r>
          </w:p>
        </w:tc>
        <w:tc>
          <w:tcPr>
            <w:tcW w:type="dxa" w:w="6880"/>
            <w:shd w:fill="1F3A5F"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Operational relevance</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42 C.F.R. § 1001.952(bb)</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Anti-Kickback Statute safe harbor for free or discounted local transportation. Conditions include a written uniform policy, no volume or value linkage, marketing restrictions, established-patient requirement, 25-mile limit (75 miles rural), medically necessary purpose, no air/luxury/ambulance-level transport, no per-beneficiary driver pay, and cost-bearing by the entity.</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42 U.S.C. § 1320a-7b</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Federal Anti-Kickback Statute. Governs remuneration to induce referrals of Federal Health Care Program business.</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42 U.S.C. § 1320a-7a(a)(5)</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Civil Monetary Penalties Law beneficiary-inducement prohibition. Relevant to any free item or service offered to Medicare or Medicaid beneficiaries.</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 817.505, Fla. Stat.</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Florida Patient Brokering Act. Its exception is tied to compliance with the federal Anti-Kickback Statute and its safe harbors, so a safe-harbor failure creates simultaneous Florida exposure.</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 458.331(1)(i), Fla. Stat.</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Florida fee-splitting and kickback prohibition applicable to licensed physicians and, practically, to arrangements structured around them.</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Ch. 400, Part X, Fla. Stat.</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Florida Health Care Clinic Act. Clinic licensure, exemptions, and medical director or clinic director responsibilities — relevant to MSO-managed sites.</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Ch. 401, Fla. Stat.</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Medical Telecommunications and Transportation. §401.272 (EMS community health / community paramedicine); §401.281 (ambulance driver qualifications); §§401.26, 401.31, 401.35 (permits, inspections, department rules).</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F.A.C. Ch. 64J-1</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Current Florida Department of Health EMS rules. Rule 64J-1.007 (vehicle permits and temporary substitute vehicles); Rule 64J-1.013 (EMS drivers). Legacy policies citing former Chapter 64E-2 numbering must be remapped.</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 322.01 and Ch. 322, Fla. Stat.</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Commercial driver license requirements, including passenger endorsement for vehicles designed to transport 16 or more persons including the driver.</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Ch. 316, Fla. Stat. / 49 C.F.R. Parts 350–399</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Motor carrier safety regulation and Florida's adoption of federal standards. Applicability depends on vehicle weight, seating capacity, interstate operation, and whether transport is for direct compensation.</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 324.021 and 627.733, Fla. Stat.</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Financial responsibility and minimum insurance limits, including elevated requirements where passengers are carried for hire.</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Ch. 435 and § 408.809, Fla. Stat.</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Level 2 background screening requirements for personnel in direct patient contact at applicable licensed providers.</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 440.102, Fla. Stat.</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Florida drug-free workplace program. Relevant to safety-sensitive driving positions and workers' compensation premium treatment.</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Ch. 934, Fla. Stat.</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Florida two-party consent for audio interception. Governs in-cab audio recording and any recorded patient communications.</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Chs. 499 and 893, Fla. Stat.</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Drug, device, and cosmetic law and controlled substances. Governs medication transport, storage, and handling protocols.</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HIPAA — 45 C.F.R. Parts 160, 162, 164</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Privacy and security framework for PHI used in dispatch, care coordination, telematics-linked records, and vendor arrangements; business associate agreements for third-party access.</w:t>
            </w:r>
          </w:p>
        </w:tc>
      </w:tr>
      <w:tr>
        <w:tc>
          <w:tcPr>
            <w:tcW w:type="dxa" w:w="3200"/>
            <w:tcMar>
              <w:top w:type="dxa" w:w="90"/>
              <w:left w:type="dxa" w:w="120"/>
              <w:bottom w:type="dxa" w:w="90"/>
              <w:right w:type="dxa" w:w="120"/>
            </w:tcMar>
          </w:tcPr>
          <w:p>
            <w:pPr>
              <w:spacing w:after="0" w:line="252"/>
            </w:pPr>
            <w:r>
              <w:rPr>
                <w:rFonts w:ascii="Calibri" w:cs="Calibri" w:eastAsia="Calibri" w:hAnsi="Calibri"/>
                <w:sz w:val="19"/>
                <w:szCs w:val="19"/>
              </w:rPr>
              <w:t xml:space="preserve">CMS MLN — Transitional Care Management (MLN908628)</w:t>
            </w:r>
          </w:p>
        </w:tc>
        <w:tc>
          <w:tcPr>
            <w:tcW w:type="dxa" w:w="6880"/>
            <w:tcMar>
              <w:top w:type="dxa" w:w="90"/>
              <w:left w:type="dxa" w:w="120"/>
              <w:bottom w:type="dxa" w:w="90"/>
              <w:right w:type="dxa" w:w="120"/>
            </w:tcMar>
          </w:tcPr>
          <w:p>
            <w:pPr>
              <w:spacing w:after="0" w:line="252"/>
            </w:pPr>
            <w:r>
              <w:rPr>
                <w:rFonts w:ascii="Calibri" w:cs="Calibri" w:eastAsia="Calibri" w:hAnsi="Calibri"/>
                <w:sz w:val="19"/>
                <w:szCs w:val="19"/>
              </w:rPr>
              <w:t xml:space="preserve">TCM: interactive contact generally within two business days; face-to-face within 14 days for CPT 99495 or 7 days for CPT 99496; 30-day service period.</w:t>
            </w:r>
          </w:p>
        </w:tc>
      </w:tr>
      <w:tr>
        <w:tc>
          <w:tcPr>
            <w:tcW w:type="dxa" w:w="320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 542.335, Fla. Stat.</w:t>
            </w:r>
          </w:p>
        </w:tc>
        <w:tc>
          <w:tcPr>
            <w:tcW w:type="dxa" w:w="6880"/>
            <w:shd w:fill="F2F5F8" w:color="auto" w:val="clear"/>
            <w:tcMar>
              <w:top w:type="dxa" w:w="90"/>
              <w:left w:type="dxa" w:w="120"/>
              <w:bottom w:type="dxa" w:w="90"/>
              <w:right w:type="dxa" w:w="120"/>
            </w:tcMar>
          </w:tcPr>
          <w:p>
            <w:pPr>
              <w:spacing w:after="0" w:line="252"/>
            </w:pPr>
            <w:r>
              <w:rPr>
                <w:rFonts w:ascii="Calibri" w:cs="Calibri" w:eastAsia="Calibri" w:hAnsi="Calibri"/>
                <w:sz w:val="19"/>
                <w:szCs w:val="19"/>
              </w:rPr>
              <w:t xml:space="preserve">Florida restrictive-covenant framework requiring a written covenant, identified legitimate business interests, and reasonableness in time, area, and line of business.</w:t>
            </w:r>
          </w:p>
        </w:tc>
      </w:tr>
    </w:tbl>
    <w:p>
      <w:pPr>
        <w:spacing w:after="160"/>
      </w:pPr>
    </w:p>
    <w:tbl>
      <w:tblPr>
        <w:tblW w:type="dxa" w:w="10080"/>
        <w:tblBorders>
          <w:top w:val="single" w:color="0F766E" w:sz="2"/>
          <w:left w:val="single" w:color="0F766E" w:sz="18"/>
          <w:bottom w:val="single" w:color="0F766E" w:sz="2"/>
          <w:right w:val="single" w:color="0F766E"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0F766E"/>
                <w:sz w:val="19"/>
                <w:szCs w:val="19"/>
              </w:rPr>
              <w:t xml:space="preserve">Note on "Chapter 64E" — </w:t>
            </w:r>
            <w:r>
              <w:rPr>
                <w:rFonts w:ascii="Calibri" w:cs="Calibri" w:eastAsia="Calibri" w:hAnsi="Calibri"/>
                <w:sz w:val="19"/>
                <w:szCs w:val="19"/>
              </w:rPr>
              <w:t xml:space="preserve">Florida EMS rules that historically appeared under Chapter 64E-2 were transferred and renumbered into Chapter 64J-1. For example, current Rule 64J-1.007 notes its former designation as 64E-2.007. This Agreement preserves the historical reference for continuity while directing all current compliance to Chapter 64J-1, F.A.C., and Chapter 401, Florida Statutes.</w:t>
            </w:r>
          </w:p>
        </w:tc>
      </w:tr>
    </w:tbl>
    <w:p>
      <w:r>
        <w:br w:type="page"/>
      </w:r>
    </w:p>
    <w:p>
      <w:r>
        <w:br w:type="page"/>
      </w:r>
    </w:p>
    <w:p>
      <w:r>
        <w:t>Exhibit E — Enterprise Asset, Fleet, Facilities &amp; Readiness Program</w:t>
      </w:r>
    </w:p>
    <w:p>
      <w:r>
        <w:t>This Exhibit expands the Executive’s operational responsibilities into an enterprise support-services model comparable in structure to mature EMS organizations, while preserving the clinical, regulatory, and MSO boundaries stated elsewhere in this Agreement. It establishes a controlled system for fleet, medical and surgical assets, supplies, facilities, life-safety systems, biomedical equipment, and radiology service contracts.</w:t>
      </w:r>
    </w:p>
    <w:p>
      <w:r>
        <w:t>E.1 Initial Fleet Baseline — 15 Vehicles</w:t>
      </w:r>
    </w:p>
    <w:p>
      <w:r>
        <w:t>Executive shall establish and maintain a master fleet register for fifteen (15) initial vehicles, consisting of Company cars and vans assigned across the Enterprise and nonprofit/community-benefit division. The initial roster shall include one Chevrolet Blazer EV designated to the nonprofit/community-benefit EMS or community-health support function, subject to final title, insurance, garaging, and use classification.</w:t>
      </w:r>
    </w:p>
    <w:p>
      <w:r>
        <w:t>Every vehicle record shall include VIN, plate, title/lease status, ownership entity, funding source, assigned division, garaging address, driver assignment, insurance, odometer, engine hours where available, EV battery/charging data where applicable, telematics, fuel/charging card, preventive-maintenance schedule, recalls, repairs, downtime, collision history, inspection status, sanitation status, and replacement/disposition plan.</w:t>
      </w:r>
    </w:p>
    <w:p>
      <w:r>
        <w:t>Vehicles assigned to the nonprofit division shall be separately tagged in the fleet system and accounting records so that nonprofit assets, expenses, grants, donations, and community-benefit activity are not commingled with for-profit transportation or Affiliated Practice activity.</w:t>
      </w:r>
    </w:p>
    <w:p>
      <w:r>
        <w:t>E.2 Medical, Surgical &amp; EMS Equipment Inventory Control</w:t>
      </w:r>
    </w:p>
    <w:p>
      <w:r>
        <w:t>Executive shall maintain a perpetual asset and inventory system for medical bags, trauma and airway bags, IV pumps, infusion devices, defibrillators/AEDs, cardiac monitors, suction equipment, oxygen-delivery equipment, stretchers and mobility devices, point-of-care testing devices, surgical instruments and equipment, procedure-room equipment, reusable clinical equipment, and other capital or controlled clinical assets.</w:t>
      </w:r>
    </w:p>
    <w:p>
      <w:r>
        <w:t>Each serialized or capital asset shall be assigned a unique asset identifier and record showing manufacturer, model, serial number, acquisition date, cost, funding source, owning entity, assigned site/vehicle, warranty, service vendor, preventive-maintenance interval, calibration requirement, software/firmware status where applicable, last service, next service due, repair history, loaner status, and retirement/disposal documentation.</w:t>
      </w:r>
    </w:p>
    <w:p>
      <w:r>
        <w:t>Executive coordinates logistics, custody, vendor service, readiness documentation, and replacement planning. Clinical suitability, device settings, patient-use protocols, and return-to-service after clinically significant repair remain subject to the appropriate Clinical Authority, biomedical engineering standard, manufacturer requirements, and applicable law.</w:t>
      </w:r>
    </w:p>
    <w:p>
      <w:r>
        <w:t>E.3 Medications, Medical Supplies &amp; Office Supplies</w:t>
      </w:r>
    </w:p>
    <w:p>
      <w:r>
        <w:t>Maintain par levels, minimum/maximum quantities, reorder points, lot and expiration tracking where applicable, storage-location controls, cycle counts, receiving records, issue/transfer records, and documented waste or disposal for medications, disposable medical supplies, surgical supplies, PPE, oxygen-related consumables, linens, cleaning products, and office supplies.</w:t>
      </w:r>
    </w:p>
    <w:p>
      <w:r>
        <w:t>Use FEFO (first-expire, first-out) for dated clinical inventory. Establish monthly expiration sweeps and a defined quarantine process for expired, recalled, damaged, temperature-excursion, or otherwise unusable items.</w:t>
      </w:r>
    </w:p>
    <w:p>
      <w:r>
        <w:t>Medication inventory shall be reconciled under Pharmacy/Clinical oversight. Controlled substances, if any, require a separate controlled-substance policy, access controls, perpetual count, discrepancy escalation, and applicable DEA/Florida/EMS safeguards. The Executive shall not independently authorize clinical formulary changes.</w:t>
      </w:r>
    </w:p>
    <w:p>
      <w:r>
        <w:t>Set site and vehicle par levels from actual utilization and surge requirements. Stocking systems should reduce field downtime and prevent crews from beginning service with incomplete bags, depleted disposables, or missing reusable equipment.</w:t>
      </w:r>
    </w:p>
    <w:p>
      <w:r>
        <w:t>E.4 Vehicle and Unit Readiness Standard</w:t>
      </w:r>
    </w:p>
    <w:p>
      <w:r>
        <w:t>Implement a ready-to-deploy standard: each operational vehicle is clean, safe, fueled or charged, stocked for its authorized mission, free of unresolved critical defects, and supported by a documented pre-shift or daily readiness inspection.</w:t>
      </w:r>
    </w:p>
    <w:p>
      <w:r>
        <w:t>Create a red-tag/out-of-service process for vehicle defects and a separate equipment quarantine process for failed medical devices. No employee may return a red-tagged vehicle or quarantined device to service without documented clearance by the appropriate authorized person or vendor.</w:t>
      </w:r>
    </w:p>
    <w:p>
      <w:r>
        <w:t>Track vehicle uptime, repeat repairs, road calls, PM compliance, parts availability, reserve-unit utilization, cleaning turnaround, and time from defect identification to return to service.</w:t>
      </w:r>
    </w:p>
    <w:p>
      <w:r>
        <w:t>E.5 Buildings, Grounds &amp; Infrastructure Maintenance</w:t>
      </w:r>
    </w:p>
    <w:p>
      <w:r>
        <w:t>Executive shall maintain a facilities asset register for Company-controlled buildings and operational infrastructure, including HVAC, electrical service, generators/UPS where present, plumbing, roofs, doors and access control, elevators where present, parking and exterior lighting, security systems, network/telecommunications rooms, EV chargers, medical-gas infrastructure where present, refrigerators/freezers used for clinical inventory, and other mission-critical systems.</w:t>
      </w:r>
    </w:p>
    <w:p>
      <w:r>
        <w:t>Establish preventive-maintenance calendars, vendor contacts, warranty files, inspection records, work-order tracking, emergency shutoff information, utility interruption procedures, and capital-replacement forecasts. Life-safety or patient-care-impacting defects receive priority escalation.</w:t>
      </w:r>
    </w:p>
    <w:p>
      <w:r>
        <w:t>For leased or Affiliated Practice premises, the Executive shall distinguish landlord obligations, tenant obligations, and MSA-delegated services before committing Company funds or directing repairs.</w:t>
      </w:r>
    </w:p>
    <w:p>
      <w:r>
        <w:t>E.6 Life-Safety Equipment</w:t>
      </w:r>
    </w:p>
    <w:p>
      <w:r>
        <w:t>Maintain an inspection and service matrix for fire extinguishers, fire alarm systems, sprinkler/suppression systems, emergency lighting, exit signage, AEDs designated for facility response, eyewash/emergency shower stations where required, oxygen-cylinder storage controls, emergency power, evacuation equipment, and other required life-safety systems.</w:t>
      </w:r>
    </w:p>
    <w:p>
      <w:r>
        <w:t>Track inspection frequency, responsible vendor, authority having jurisdiction, certificate/report location, deficiency status, corrective-action due date, and closure evidence. Any failed or overdue critical life-safety item shall be escalated immediately to Operations and Compliance.</w:t>
      </w:r>
    </w:p>
    <w:p>
      <w:r>
        <w:t>E.7 Radiology, Biomedical PM &amp; Service Contracts</w:t>
      </w:r>
    </w:p>
    <w:p>
      <w:r>
        <w:t>Maintain a contract and service register for radiology and biomedical equipment, including X-ray, fluoroscopy, CT, MRI, ultrasound, mammography or other imaging modalities actually operated by an Enterprise site, together with associated injectors, workstations, detectors, UPS/chillers, and ancillary equipment as applicable.</w:t>
      </w:r>
    </w:p>
    <w:p>
      <w:r>
        <w:t>For each device, track service agreement, coverage hours, response-time commitment, PM frequency, calibration/quality-control requirements, software and cybersecurity responsibilities, tube or major-component coverage where applicable, uptime commitment, loaner provisions, renewal/termination dates, and vendor escalation contacts.</w:t>
      </w:r>
    </w:p>
    <w:p>
      <w:r>
        <w:t>Executive shall schedule and document PM and vendor service but shall not represent equipment as clinically or regulatorily cleared when acceptance testing, physicist review, state inspection, accreditation, radiation-safety approval, or clinical engineering sign-off is required. Those approvals remain with the qualified professional responsible for that modality.</w:t>
      </w:r>
    </w:p>
    <w:p>
      <w:r>
        <w:t>At least annually, Executive shall review service-contract performance and total cost of ownership, including downtime, repeat service calls, parts not covered, overtime charges, response time, and replacement economics.</w:t>
      </w:r>
    </w:p>
    <w:p>
      <w:r>
        <w:t>E.8 Procurement, Receiving &amp; Vendor Management</w:t>
      </w:r>
    </w:p>
    <w:p>
      <w:r>
        <w:t>Centralize approved vendors, purchase requests, quotes, purchase orders where used, receiving, warranty claims, returns, and invoice reconciliation for fleet, facilities, medical equipment, supplies, and service contracts.</w:t>
      </w:r>
    </w:p>
    <w:p>
      <w:r>
        <w:t>Use competitive quotes for material purchases and major service agreements when practical; document sole-source justification where clinical compatibility, warranty, emergency need, or proprietary service limits competition.</w:t>
      </w:r>
    </w:p>
    <w:p>
      <w:r>
        <w:t>Maintain vendor scorecards addressing price, fill rate, service response, first-time fix rate, backorders, warranty recovery, contract compliance, safety, and recurring quality defects.</w:t>
      </w:r>
    </w:p>
    <w:p>
      <w:r>
        <w:t>E.9 Asset Audits, Loss Prevention &amp; Disaster Readiness</w:t>
      </w:r>
    </w:p>
    <w:p>
      <w:r>
        <w:t>Perform quarterly spot audits and at least one annual wall-to-wall physical inventory of capital/serialized assets, with variance investigation and documented corrective action.</w:t>
      </w:r>
    </w:p>
    <w:p>
      <w:r>
        <w:t>Maintain loss, theft, damage, recall, and warranty-claim logs. Report suspected diversion, theft of medications, missing controlled assets, or material inventory discrepancies under Compliance and incident-reporting procedures.</w:t>
      </w:r>
    </w:p>
    <w:p>
      <w:r>
        <w:t>Maintain minimum emergency reserve levels for critical supplies and identify alternate vendors for high-risk single-source items. The nonprofit/EMS support division shall maintain a deployable cache appropriate to its authorized mission, without representing the cache or vehicle as ambulance-level capability unless the licensed EMS requirements in Section 12 are satisfied.</w:t>
      </w:r>
    </w:p>
    <w:p>
      <w:r>
        <w:t>E.10 Expanded KPI Dashboard</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
              <w:rPr>
                <w:b/>
                <w:sz w:val="17"/>
              </w:rPr>
              <w:t>KPI</w:t>
            </w:r>
          </w:p>
        </w:tc>
        <w:tc>
          <w:tcPr>
            <w:tcW w:type="dxa" w:w="2520"/>
            <w:vAlign w:val="center"/>
            <w:shd w:fill="17365D"/>
          </w:tcPr>
          <w:p>
            <w:r/>
            <w:r>
              <w:rPr>
                <w:b/>
                <w:sz w:val="17"/>
              </w:rPr>
              <w:t>Target / Standard</w:t>
            </w:r>
          </w:p>
        </w:tc>
        <w:tc>
          <w:tcPr>
            <w:tcW w:type="dxa" w:w="2520"/>
            <w:vAlign w:val="center"/>
            <w:shd w:fill="17365D"/>
          </w:tcPr>
          <w:p>
            <w:r/>
            <w:r>
              <w:rPr>
                <w:b/>
                <w:sz w:val="17"/>
              </w:rPr>
              <w:t>Review</w:t>
            </w:r>
          </w:p>
        </w:tc>
        <w:tc>
          <w:tcPr>
            <w:tcW w:type="dxa" w:w="2520"/>
            <w:vAlign w:val="center"/>
            <w:shd w:fill="17365D"/>
          </w:tcPr>
          <w:p>
            <w:r/>
            <w:r>
              <w:rPr>
                <w:b/>
                <w:sz w:val="17"/>
              </w:rPr>
              <w:t>Evidence</w:t>
            </w:r>
          </w:p>
        </w:tc>
      </w:tr>
      <w:tr>
        <w:tc>
          <w:tcPr>
            <w:tcW w:type="dxa" w:w="2520"/>
            <w:vAlign w:val="center"/>
          </w:tcPr>
          <w:p>
            <w:r/>
            <w:r>
              <w:rPr>
                <w:b w:val="0"/>
                <w:sz w:val="16"/>
              </w:rPr>
              <w:t>Fleet PM compliance</w:t>
            </w:r>
          </w:p>
        </w:tc>
        <w:tc>
          <w:tcPr>
            <w:tcW w:type="dxa" w:w="2520"/>
            <w:vAlign w:val="center"/>
          </w:tcPr>
          <w:p>
            <w:r/>
            <w:r>
              <w:rPr>
                <w:b w:val="0"/>
                <w:sz w:val="16"/>
              </w:rPr>
              <w:t>&gt;= 98% on time; zero critical overdue</w:t>
            </w:r>
          </w:p>
        </w:tc>
        <w:tc>
          <w:tcPr>
            <w:tcW w:type="dxa" w:w="2520"/>
            <w:vAlign w:val="center"/>
          </w:tcPr>
          <w:p>
            <w:r/>
            <w:r>
              <w:rPr>
                <w:b w:val="0"/>
                <w:sz w:val="16"/>
              </w:rPr>
              <w:t>Monthly</w:t>
            </w:r>
          </w:p>
        </w:tc>
        <w:tc>
          <w:tcPr>
            <w:tcW w:type="dxa" w:w="2520"/>
            <w:vAlign w:val="center"/>
          </w:tcPr>
          <w:p>
            <w:r/>
            <w:r>
              <w:rPr>
                <w:b w:val="0"/>
                <w:sz w:val="16"/>
              </w:rPr>
              <w:t>Fleet system</w:t>
            </w:r>
          </w:p>
        </w:tc>
      </w:tr>
      <w:tr>
        <w:tc>
          <w:tcPr>
            <w:tcW w:type="dxa" w:w="2520"/>
            <w:vAlign w:val="center"/>
          </w:tcPr>
          <w:p>
            <w:r/>
            <w:r>
              <w:rPr>
                <w:b w:val="0"/>
                <w:sz w:val="16"/>
              </w:rPr>
              <w:t>Vehicle availability</w:t>
            </w:r>
          </w:p>
        </w:tc>
        <w:tc>
          <w:tcPr>
            <w:tcW w:type="dxa" w:w="2520"/>
            <w:vAlign w:val="center"/>
          </w:tcPr>
          <w:p>
            <w:r/>
            <w:r>
              <w:rPr>
                <w:b w:val="0"/>
                <w:sz w:val="16"/>
              </w:rPr>
              <w:t>Target by Region/division after 60-day baseline</w:t>
            </w:r>
          </w:p>
        </w:tc>
        <w:tc>
          <w:tcPr>
            <w:tcW w:type="dxa" w:w="2520"/>
            <w:vAlign w:val="center"/>
          </w:tcPr>
          <w:p>
            <w:r/>
            <w:r>
              <w:rPr>
                <w:b w:val="0"/>
                <w:sz w:val="16"/>
              </w:rPr>
              <w:t>Weekly/Monthly</w:t>
            </w:r>
          </w:p>
        </w:tc>
        <w:tc>
          <w:tcPr>
            <w:tcW w:type="dxa" w:w="2520"/>
            <w:vAlign w:val="center"/>
          </w:tcPr>
          <w:p>
            <w:r/>
            <w:r>
              <w:rPr>
                <w:b w:val="0"/>
                <w:sz w:val="16"/>
              </w:rPr>
              <w:t>Dispatch + maintenance</w:t>
            </w:r>
          </w:p>
        </w:tc>
      </w:tr>
      <w:tr>
        <w:tc>
          <w:tcPr>
            <w:tcW w:type="dxa" w:w="2520"/>
            <w:vAlign w:val="center"/>
          </w:tcPr>
          <w:p>
            <w:r/>
            <w:r>
              <w:rPr>
                <w:b w:val="0"/>
                <w:sz w:val="16"/>
              </w:rPr>
              <w:t>Road calls / repeat repairs</w:t>
            </w:r>
          </w:p>
        </w:tc>
        <w:tc>
          <w:tcPr>
            <w:tcW w:type="dxa" w:w="2520"/>
            <w:vAlign w:val="center"/>
          </w:tcPr>
          <w:p>
            <w:r/>
            <w:r>
              <w:rPr>
                <w:b w:val="0"/>
                <w:sz w:val="16"/>
              </w:rPr>
              <w:t>Downward trend</w:t>
            </w:r>
          </w:p>
        </w:tc>
        <w:tc>
          <w:tcPr>
            <w:tcW w:type="dxa" w:w="2520"/>
            <w:vAlign w:val="center"/>
          </w:tcPr>
          <w:p>
            <w:r/>
            <w:r>
              <w:rPr>
                <w:b w:val="0"/>
                <w:sz w:val="16"/>
              </w:rPr>
              <w:t>Monthly</w:t>
            </w:r>
          </w:p>
        </w:tc>
        <w:tc>
          <w:tcPr>
            <w:tcW w:type="dxa" w:w="2520"/>
            <w:vAlign w:val="center"/>
          </w:tcPr>
          <w:p>
            <w:r/>
            <w:r>
              <w:rPr>
                <w:b w:val="0"/>
                <w:sz w:val="16"/>
              </w:rPr>
              <w:t>Maintenance log</w:t>
            </w:r>
          </w:p>
        </w:tc>
      </w:tr>
      <w:tr>
        <w:tc>
          <w:tcPr>
            <w:tcW w:type="dxa" w:w="2520"/>
            <w:vAlign w:val="center"/>
          </w:tcPr>
          <w:p>
            <w:r/>
            <w:r>
              <w:rPr>
                <w:b w:val="0"/>
                <w:sz w:val="16"/>
              </w:rPr>
              <w:t>Medical device PM/calibration</w:t>
            </w:r>
          </w:p>
        </w:tc>
        <w:tc>
          <w:tcPr>
            <w:tcW w:type="dxa" w:w="2520"/>
            <w:vAlign w:val="center"/>
          </w:tcPr>
          <w:p>
            <w:r/>
            <w:r>
              <w:rPr>
                <w:b w:val="0"/>
                <w:sz w:val="16"/>
              </w:rPr>
              <w:t>100% by due date</w:t>
            </w:r>
          </w:p>
        </w:tc>
        <w:tc>
          <w:tcPr>
            <w:tcW w:type="dxa" w:w="2520"/>
            <w:vAlign w:val="center"/>
          </w:tcPr>
          <w:p>
            <w:r/>
            <w:r>
              <w:rPr>
                <w:b w:val="0"/>
                <w:sz w:val="16"/>
              </w:rPr>
              <w:t>Monthly</w:t>
            </w:r>
          </w:p>
        </w:tc>
        <w:tc>
          <w:tcPr>
            <w:tcW w:type="dxa" w:w="2520"/>
            <w:vAlign w:val="center"/>
          </w:tcPr>
          <w:p>
            <w:r/>
            <w:r>
              <w:rPr>
                <w:b w:val="0"/>
                <w:sz w:val="16"/>
              </w:rPr>
              <w:t>Biomed/service register</w:t>
            </w:r>
          </w:p>
        </w:tc>
      </w:tr>
      <w:tr>
        <w:tc>
          <w:tcPr>
            <w:tcW w:type="dxa" w:w="2520"/>
            <w:vAlign w:val="center"/>
          </w:tcPr>
          <w:p>
            <w:r/>
            <w:r>
              <w:rPr>
                <w:b w:val="0"/>
                <w:sz w:val="16"/>
              </w:rPr>
              <w:t>Expired clinical inventory</w:t>
            </w:r>
          </w:p>
        </w:tc>
        <w:tc>
          <w:tcPr>
            <w:tcW w:type="dxa" w:w="2520"/>
            <w:vAlign w:val="center"/>
          </w:tcPr>
          <w:p>
            <w:r/>
            <w:r>
              <w:rPr>
                <w:b w:val="0"/>
                <w:sz w:val="16"/>
              </w:rPr>
              <w:t>Zero items available for patient use</w:t>
            </w:r>
          </w:p>
        </w:tc>
        <w:tc>
          <w:tcPr>
            <w:tcW w:type="dxa" w:w="2520"/>
            <w:vAlign w:val="center"/>
          </w:tcPr>
          <w:p>
            <w:r/>
            <w:r>
              <w:rPr>
                <w:b w:val="0"/>
                <w:sz w:val="16"/>
              </w:rPr>
              <w:t>Monthly</w:t>
            </w:r>
          </w:p>
        </w:tc>
        <w:tc>
          <w:tcPr>
            <w:tcW w:type="dxa" w:w="2520"/>
            <w:vAlign w:val="center"/>
          </w:tcPr>
          <w:p>
            <w:r/>
            <w:r>
              <w:rPr>
                <w:b w:val="0"/>
                <w:sz w:val="16"/>
              </w:rPr>
              <w:t>Inventory audit</w:t>
            </w:r>
          </w:p>
        </w:tc>
      </w:tr>
      <w:tr>
        <w:tc>
          <w:tcPr>
            <w:tcW w:type="dxa" w:w="2520"/>
            <w:vAlign w:val="center"/>
          </w:tcPr>
          <w:p>
            <w:r/>
            <w:r>
              <w:rPr>
                <w:b w:val="0"/>
                <w:sz w:val="16"/>
              </w:rPr>
              <w:t>Stockout events</w:t>
            </w:r>
          </w:p>
        </w:tc>
        <w:tc>
          <w:tcPr>
            <w:tcW w:type="dxa" w:w="2520"/>
            <w:vAlign w:val="center"/>
          </w:tcPr>
          <w:p>
            <w:r/>
            <w:r>
              <w:rPr>
                <w:b w:val="0"/>
                <w:sz w:val="16"/>
              </w:rPr>
              <w:t>Zero critical; downward total</w:t>
            </w:r>
          </w:p>
        </w:tc>
        <w:tc>
          <w:tcPr>
            <w:tcW w:type="dxa" w:w="2520"/>
            <w:vAlign w:val="center"/>
          </w:tcPr>
          <w:p>
            <w:r/>
            <w:r>
              <w:rPr>
                <w:b w:val="0"/>
                <w:sz w:val="16"/>
              </w:rPr>
              <w:t>Monthly</w:t>
            </w:r>
          </w:p>
        </w:tc>
        <w:tc>
          <w:tcPr>
            <w:tcW w:type="dxa" w:w="2520"/>
            <w:vAlign w:val="center"/>
          </w:tcPr>
          <w:p>
            <w:r/>
            <w:r>
              <w:rPr>
                <w:b w:val="0"/>
                <w:sz w:val="16"/>
              </w:rPr>
              <w:t>Supply system</w:t>
            </w:r>
          </w:p>
        </w:tc>
      </w:tr>
      <w:tr>
        <w:tc>
          <w:tcPr>
            <w:tcW w:type="dxa" w:w="2520"/>
            <w:vAlign w:val="center"/>
          </w:tcPr>
          <w:p>
            <w:r/>
            <w:r>
              <w:rPr>
                <w:b w:val="0"/>
                <w:sz w:val="16"/>
              </w:rPr>
              <w:t>Inventory variance</w:t>
            </w:r>
          </w:p>
        </w:tc>
        <w:tc>
          <w:tcPr>
            <w:tcW w:type="dxa" w:w="2520"/>
            <w:vAlign w:val="center"/>
          </w:tcPr>
          <w:p>
            <w:r/>
            <w:r>
              <w:rPr>
                <w:b w:val="0"/>
                <w:sz w:val="16"/>
              </w:rPr>
              <w:t>&lt;= target set after baseline</w:t>
            </w:r>
          </w:p>
        </w:tc>
        <w:tc>
          <w:tcPr>
            <w:tcW w:type="dxa" w:w="2520"/>
            <w:vAlign w:val="center"/>
          </w:tcPr>
          <w:p>
            <w:r/>
            <w:r>
              <w:rPr>
                <w:b w:val="0"/>
                <w:sz w:val="16"/>
              </w:rPr>
              <w:t>Quarterly</w:t>
            </w:r>
          </w:p>
        </w:tc>
        <w:tc>
          <w:tcPr>
            <w:tcW w:type="dxa" w:w="2520"/>
            <w:vAlign w:val="center"/>
          </w:tcPr>
          <w:p>
            <w:r/>
            <w:r>
              <w:rPr>
                <w:b w:val="0"/>
                <w:sz w:val="16"/>
              </w:rPr>
              <w:t>Physical/cycle count</w:t>
            </w:r>
          </w:p>
        </w:tc>
      </w:tr>
      <w:tr>
        <w:tc>
          <w:tcPr>
            <w:tcW w:type="dxa" w:w="2520"/>
            <w:vAlign w:val="center"/>
          </w:tcPr>
          <w:p>
            <w:r/>
            <w:r>
              <w:rPr>
                <w:b w:val="0"/>
                <w:sz w:val="16"/>
              </w:rPr>
              <w:t>Life-safety inspections</w:t>
            </w:r>
          </w:p>
        </w:tc>
        <w:tc>
          <w:tcPr>
            <w:tcW w:type="dxa" w:w="2520"/>
            <w:vAlign w:val="center"/>
          </w:tcPr>
          <w:p>
            <w:r/>
            <w:r>
              <w:rPr>
                <w:b w:val="0"/>
                <w:sz w:val="16"/>
              </w:rPr>
              <w:t>100% current; zero critical overdue</w:t>
            </w:r>
          </w:p>
        </w:tc>
        <w:tc>
          <w:tcPr>
            <w:tcW w:type="dxa" w:w="2520"/>
            <w:vAlign w:val="center"/>
          </w:tcPr>
          <w:p>
            <w:r/>
            <w:r>
              <w:rPr>
                <w:b w:val="0"/>
                <w:sz w:val="16"/>
              </w:rPr>
              <w:t>Monthly</w:t>
            </w:r>
          </w:p>
        </w:tc>
        <w:tc>
          <w:tcPr>
            <w:tcW w:type="dxa" w:w="2520"/>
            <w:vAlign w:val="center"/>
          </w:tcPr>
          <w:p>
            <w:r/>
            <w:r>
              <w:rPr>
                <w:b w:val="0"/>
                <w:sz w:val="16"/>
              </w:rPr>
              <w:t>Facilities register</w:t>
            </w:r>
          </w:p>
        </w:tc>
      </w:tr>
      <w:tr>
        <w:tc>
          <w:tcPr>
            <w:tcW w:type="dxa" w:w="2520"/>
            <w:vAlign w:val="center"/>
          </w:tcPr>
          <w:p>
            <w:r/>
            <w:r>
              <w:rPr>
                <w:b w:val="0"/>
                <w:sz w:val="16"/>
              </w:rPr>
              <w:t>Radiology PM/service compliance</w:t>
            </w:r>
          </w:p>
        </w:tc>
        <w:tc>
          <w:tcPr>
            <w:tcW w:type="dxa" w:w="2520"/>
            <w:vAlign w:val="center"/>
          </w:tcPr>
          <w:p>
            <w:r/>
            <w:r>
              <w:rPr>
                <w:b w:val="0"/>
                <w:sz w:val="16"/>
              </w:rPr>
              <w:t>100% scheduled PM completed</w:t>
            </w:r>
          </w:p>
        </w:tc>
        <w:tc>
          <w:tcPr>
            <w:tcW w:type="dxa" w:w="2520"/>
            <w:vAlign w:val="center"/>
          </w:tcPr>
          <w:p>
            <w:r/>
            <w:r>
              <w:rPr>
                <w:b w:val="0"/>
                <w:sz w:val="16"/>
              </w:rPr>
              <w:t>Monthly/Quarterly</w:t>
            </w:r>
          </w:p>
        </w:tc>
        <w:tc>
          <w:tcPr>
            <w:tcW w:type="dxa" w:w="2520"/>
            <w:vAlign w:val="center"/>
          </w:tcPr>
          <w:p>
            <w:r/>
            <w:r>
              <w:rPr>
                <w:b w:val="0"/>
                <w:sz w:val="16"/>
              </w:rPr>
              <w:t>Service contracts</w:t>
            </w:r>
          </w:p>
        </w:tc>
      </w:tr>
      <w:tr>
        <w:tc>
          <w:tcPr>
            <w:tcW w:type="dxa" w:w="2520"/>
            <w:vAlign w:val="center"/>
          </w:tcPr>
          <w:p>
            <w:r/>
            <w:r>
              <w:rPr>
                <w:b w:val="0"/>
                <w:sz w:val="16"/>
              </w:rPr>
              <w:t>Facility critical work orders</w:t>
            </w:r>
          </w:p>
        </w:tc>
        <w:tc>
          <w:tcPr>
            <w:tcW w:type="dxa" w:w="2520"/>
            <w:vAlign w:val="center"/>
          </w:tcPr>
          <w:p>
            <w:r/>
            <w:r>
              <w:rPr>
                <w:b w:val="0"/>
                <w:sz w:val="16"/>
              </w:rPr>
              <w:t>100% escalated same day</w:t>
            </w:r>
          </w:p>
        </w:tc>
        <w:tc>
          <w:tcPr>
            <w:tcW w:type="dxa" w:w="2520"/>
            <w:vAlign w:val="center"/>
          </w:tcPr>
          <w:p>
            <w:r/>
            <w:r>
              <w:rPr>
                <w:b w:val="0"/>
                <w:sz w:val="16"/>
              </w:rPr>
              <w:t>Monthly</w:t>
            </w:r>
          </w:p>
        </w:tc>
        <w:tc>
          <w:tcPr>
            <w:tcW w:type="dxa" w:w="2520"/>
            <w:vAlign w:val="center"/>
          </w:tcPr>
          <w:p>
            <w:r/>
            <w:r>
              <w:rPr>
                <w:b w:val="0"/>
                <w:sz w:val="16"/>
              </w:rPr>
              <w:t>Work-order system</w:t>
            </w:r>
          </w:p>
        </w:tc>
      </w:tr>
      <w:tr>
        <w:tc>
          <w:tcPr>
            <w:tcW w:type="dxa" w:w="2520"/>
            <w:vAlign w:val="center"/>
          </w:tcPr>
          <w:p>
            <w:r/>
            <w:r>
              <w:rPr>
                <w:b w:val="0"/>
                <w:sz w:val="16"/>
              </w:rPr>
              <w:t>Vendor SLA compliance</w:t>
            </w:r>
          </w:p>
        </w:tc>
        <w:tc>
          <w:tcPr>
            <w:tcW w:type="dxa" w:w="2520"/>
            <w:vAlign w:val="center"/>
          </w:tcPr>
          <w:p>
            <w:r/>
            <w:r>
              <w:rPr>
                <w:b w:val="0"/>
                <w:sz w:val="16"/>
              </w:rPr>
              <w:t>&gt;= target by contract</w:t>
            </w:r>
          </w:p>
        </w:tc>
        <w:tc>
          <w:tcPr>
            <w:tcW w:type="dxa" w:w="2520"/>
            <w:vAlign w:val="center"/>
          </w:tcPr>
          <w:p>
            <w:r/>
            <w:r>
              <w:rPr>
                <w:b w:val="0"/>
                <w:sz w:val="16"/>
              </w:rPr>
              <w:t>Quarterly</w:t>
            </w:r>
          </w:p>
        </w:tc>
        <w:tc>
          <w:tcPr>
            <w:tcW w:type="dxa" w:w="2520"/>
            <w:vAlign w:val="center"/>
          </w:tcPr>
          <w:p>
            <w:r/>
            <w:r>
              <w:rPr>
                <w:b w:val="0"/>
                <w:sz w:val="16"/>
              </w:rPr>
              <w:t>Vendor scorecard</w:t>
            </w:r>
          </w:p>
        </w:tc>
      </w:tr>
      <w:tr>
        <w:tc>
          <w:tcPr>
            <w:tcW w:type="dxa" w:w="2520"/>
            <w:vAlign w:val="center"/>
          </w:tcPr>
          <w:p>
            <w:r/>
            <w:r>
              <w:rPr>
                <w:b w:val="0"/>
                <w:sz w:val="16"/>
              </w:rPr>
              <w:t>Asset tagging / location accuracy</w:t>
            </w:r>
          </w:p>
        </w:tc>
        <w:tc>
          <w:tcPr>
            <w:tcW w:type="dxa" w:w="2520"/>
            <w:vAlign w:val="center"/>
          </w:tcPr>
          <w:p>
            <w:r/>
            <w:r>
              <w:rPr>
                <w:b w:val="0"/>
                <w:sz w:val="16"/>
              </w:rPr>
              <w:t>&gt;= 98%</w:t>
            </w:r>
          </w:p>
        </w:tc>
        <w:tc>
          <w:tcPr>
            <w:tcW w:type="dxa" w:w="2520"/>
            <w:vAlign w:val="center"/>
          </w:tcPr>
          <w:p>
            <w:r/>
            <w:r>
              <w:rPr>
                <w:b w:val="0"/>
                <w:sz w:val="16"/>
              </w:rPr>
              <w:t>Quarterly</w:t>
            </w:r>
          </w:p>
        </w:tc>
        <w:tc>
          <w:tcPr>
            <w:tcW w:type="dxa" w:w="2520"/>
            <w:vAlign w:val="center"/>
          </w:tcPr>
          <w:p>
            <w:r/>
            <w:r>
              <w:rPr>
                <w:b w:val="0"/>
                <w:sz w:val="16"/>
              </w:rPr>
              <w:t>Asset audit</w:t>
            </w:r>
          </w:p>
        </w:tc>
      </w:tr>
    </w:tbl>
    <w:p>
      <w:r>
        <w:t>E.11 First 90-Day Expanded Asset-Control Deliverables</w:t>
      </w:r>
    </w:p>
    <w:p>
      <w:r>
        <w:t>Days 1-30: verify the complete 15-vehicle roster; identify the nonprofit Blazer EV; tag all serialized medical/surgical equipment; establish facility and life-safety registers; collect every radiology/biomedical PM and service contract; and complete baseline counts of medications, clinical supplies, and office supplies.</w:t>
      </w:r>
    </w:p>
    <w:p>
      <w:r>
        <w:t>Days 31-60: implement par levels, reorder points, FEFO expiration control, equipment quarantine/red-tag workflows, vehicle readiness checks, facilities work orders, vendor scorecards, and automated PM/service reminders.</w:t>
      </w:r>
    </w:p>
    <w:p>
      <w:r>
        <w:t>Days 61-90: complete the first physical asset audit; close critical PM and life-safety gaps; present a 12-month fleet/equipment/facility capital plan; identify contract consolidation or renegotiation opportunities; and establish the recurring executive dashboard in E.10.</w:t>
      </w:r>
    </w:p>
    <w:p>
      <w:r>
        <w:t>E.12 Operating Model Benchmark</w:t>
      </w:r>
    </w:p>
    <w:p>
      <w:r>
        <w:t>The intended support-services model is that field and clinical personnel receive clean, stocked, maintained, mission-ready vehicles and equipment at the start of service, while a centralized support function owns facilities, material management, inventory control, fleet readiness, biomedical maintenance coordination, and vendor performance. This is an operating benchmark, not an incorporation of any competitor policy or proprietary procedure.</w:t>
      </w:r>
    </w:p>
    <w:p>
      <w:pPr>
        <w:pStyle w:val="Heading1"/>
        <w:pBdr>
          <w:bottom w:val="single" w:color="C9D2DC" w:sz="6" w:space="6"/>
        </w:pBdr>
        <w:spacing w:after="160" w:before="320"/>
      </w:pPr>
      <w:r>
        <w:rPr>
          <w:rFonts w:ascii="Calibri" w:cs="Calibri" w:eastAsia="Calibri" w:hAnsi="Calibri"/>
          <w:b/>
          <w:bCs/>
          <w:color w:val="1F3A5F"/>
          <w:sz w:val="26"/>
          <w:szCs w:val="26"/>
        </w:rPr>
      </w:r>
      <w:r>
        <w:t>Exhibit F — Signature Page</w:t>
      </w:r>
    </w:p>
    <w:p>
      <w:pPr>
        <w:spacing w:after="140" w:line="264"/>
      </w:pPr>
      <w:r>
        <w:rPr>
          <w:rFonts w:ascii="Calibri" w:cs="Calibri" w:eastAsia="Calibri" w:hAnsi="Calibri"/>
          <w:sz w:val="21"/>
          <w:szCs w:val="21"/>
        </w:rPr>
        <w:t xml:space="preserve">The Parties acknowledge that they have read this Agreement, understand its terms, have had the opportunity to seek independent legal advice, and intend to be bound as of the Effective Date.</w:t>
      </w:r>
    </w:p>
    <w:p>
      <w:pPr>
        <w:spacing w:after="200"/>
      </w:pPr>
    </w:p>
    <w:p>
      <w:pPr>
        <w:spacing w:after="140"/>
      </w:pPr>
      <w:r>
        <w:rPr>
          <w:rFonts w:ascii="Calibri" w:cs="Calibri" w:eastAsia="Calibri" w:hAnsi="Calibri"/>
          <w:b/>
          <w:bCs/>
          <w:color w:val="1F3A5F"/>
          <w:sz w:val="22"/>
          <w:szCs w:val="22"/>
        </w:rPr>
        <w:t xml:space="preserve">COMPANY — [MEDISUN EMPLOYING ENTITY], LLC</w:t>
      </w:r>
    </w:p>
    <w:p>
      <w:pPr>
        <w:spacing w:after="200" w:line="264"/>
      </w:pPr>
      <w:r>
        <w:rPr>
          <w:rFonts w:ascii="Calibri" w:cs="Calibri" w:eastAsia="Calibri" w:hAnsi="Calibri"/>
          <w:sz w:val="21"/>
          <w:szCs w:val="21"/>
        </w:rPr>
        <w:t xml:space="preserve">By:  </w:t>
      </w:r>
      <w:r>
        <w:rPr>
          <w:rFonts w:ascii="Calibri" w:cs="Calibri" w:eastAsia="Calibri" w:hAnsi="Calibri"/>
          <w:color w:val="5B6470"/>
          <w:sz w:val="21"/>
          <w:szCs w:val="21"/>
        </w:rPr>
        <w:t xml:space="preserve">________________________________________________</w:t>
      </w:r>
    </w:p>
    <w:p>
      <w:pPr>
        <w:spacing w:after="200" w:line="264"/>
      </w:pPr>
      <w:r>
        <w:rPr>
          <w:rFonts w:ascii="Calibri" w:cs="Calibri" w:eastAsia="Calibri" w:hAnsi="Calibri"/>
          <w:sz w:val="21"/>
          <w:szCs w:val="21"/>
        </w:rPr>
        <w:t xml:space="preserve">Name:  </w:t>
      </w:r>
      <w:r>
        <w:rPr>
          <w:rFonts w:ascii="Calibri" w:cs="Calibri" w:eastAsia="Calibri" w:hAnsi="Calibri"/>
          <w:color w:val="5B6470"/>
          <w:sz w:val="21"/>
          <w:szCs w:val="21"/>
        </w:rPr>
        <w:t xml:space="preserve">______________________________________________</w:t>
      </w:r>
    </w:p>
    <w:p>
      <w:pPr>
        <w:spacing w:after="200" w:line="264"/>
      </w:pPr>
      <w:r>
        <w:rPr>
          <w:rFonts w:ascii="Calibri" w:cs="Calibri" w:eastAsia="Calibri" w:hAnsi="Calibri"/>
          <w:sz w:val="21"/>
          <w:szCs w:val="21"/>
        </w:rPr>
        <w:t xml:space="preserve">Title:  </w:t>
      </w:r>
      <w:r>
        <w:rPr>
          <w:rFonts w:ascii="Calibri" w:cs="Calibri" w:eastAsia="Calibri" w:hAnsi="Calibri"/>
          <w:color w:val="5B6470"/>
          <w:sz w:val="21"/>
          <w:szCs w:val="21"/>
        </w:rPr>
        <w:t xml:space="preserve">_______________________________________________</w:t>
      </w:r>
    </w:p>
    <w:p>
      <w:pPr>
        <w:spacing w:after="200" w:line="264"/>
      </w:pPr>
      <w:r>
        <w:rPr>
          <w:rFonts w:ascii="Calibri" w:cs="Calibri" w:eastAsia="Calibri" w:hAnsi="Calibri"/>
          <w:sz w:val="21"/>
          <w:szCs w:val="21"/>
        </w:rPr>
        <w:t xml:space="preserve">Date:  </w:t>
      </w:r>
      <w:r>
        <w:rPr>
          <w:rFonts w:ascii="Calibri" w:cs="Calibri" w:eastAsia="Calibri" w:hAnsi="Calibri"/>
          <w:color w:val="5B6470"/>
          <w:sz w:val="21"/>
          <w:szCs w:val="21"/>
        </w:rPr>
        <w:t xml:space="preserve">_______________________________________________</w:t>
      </w:r>
    </w:p>
    <w:p>
      <w:pPr>
        <w:spacing w:after="240"/>
      </w:pPr>
    </w:p>
    <w:p>
      <w:pPr>
        <w:spacing w:after="140"/>
      </w:pPr>
      <w:r>
        <w:rPr>
          <w:rFonts w:ascii="Calibri" w:cs="Calibri" w:eastAsia="Calibri" w:hAnsi="Calibri"/>
          <w:b/>
          <w:bCs/>
          <w:color w:val="1F3A5F"/>
          <w:sz w:val="22"/>
          <w:szCs w:val="22"/>
        </w:rPr>
        <w:t xml:space="preserve">EXECUTIVE</w:t>
      </w:r>
    </w:p>
    <w:p>
      <w:pPr>
        <w:spacing w:after="200" w:line="264"/>
      </w:pPr>
      <w:r>
        <w:rPr>
          <w:rFonts w:ascii="Calibri" w:cs="Calibri" w:eastAsia="Calibri" w:hAnsi="Calibri"/>
          <w:sz w:val="21"/>
          <w:szCs w:val="21"/>
        </w:rPr>
        <w:t xml:space="preserve">Name:   Joni  </w:t>
      </w:r>
      <w:r>
        <w:rPr>
          <w:rFonts w:ascii="Calibri" w:cs="Calibri" w:eastAsia="Calibri" w:hAnsi="Calibri"/>
          <w:color w:val="5B6470"/>
          <w:sz w:val="21"/>
          <w:szCs w:val="21"/>
        </w:rPr>
        <w:t xml:space="preserve">________________________________________</w:t>
      </w:r>
    </w:p>
    <w:p>
      <w:pPr>
        <w:spacing w:after="200" w:line="264"/>
      </w:pPr>
      <w:r>
        <w:rPr>
          <w:rFonts w:ascii="Calibri" w:cs="Calibri" w:eastAsia="Calibri" w:hAnsi="Calibri"/>
          <w:sz w:val="21"/>
          <w:szCs w:val="21"/>
        </w:rPr>
        <w:t xml:space="preserve">Signature:  </w:t>
      </w:r>
      <w:r>
        <w:rPr>
          <w:rFonts w:ascii="Calibri" w:cs="Calibri" w:eastAsia="Calibri" w:hAnsi="Calibri"/>
          <w:color w:val="5B6470"/>
          <w:sz w:val="21"/>
          <w:szCs w:val="21"/>
        </w:rPr>
        <w:t xml:space="preserve">___________________________________________</w:t>
      </w:r>
    </w:p>
    <w:p>
      <w:pPr>
        <w:spacing w:after="200" w:line="264"/>
      </w:pPr>
      <w:r>
        <w:rPr>
          <w:rFonts w:ascii="Calibri" w:cs="Calibri" w:eastAsia="Calibri" w:hAnsi="Calibri"/>
          <w:sz w:val="21"/>
          <w:szCs w:val="21"/>
        </w:rPr>
        <w:t xml:space="preserve">Date:  </w:t>
      </w:r>
      <w:r>
        <w:rPr>
          <w:rFonts w:ascii="Calibri" w:cs="Calibri" w:eastAsia="Calibri" w:hAnsi="Calibri"/>
          <w:color w:val="5B6470"/>
          <w:sz w:val="21"/>
          <w:szCs w:val="21"/>
        </w:rPr>
        <w:t xml:space="preserve">_______________________________________________</w:t>
      </w:r>
    </w:p>
    <w:p>
      <w:pPr>
        <w:spacing w:after="280"/>
      </w:pPr>
    </w:p>
    <w:tbl>
      <w:tblPr>
        <w:tblW w:type="dxa" w:w="10080"/>
        <w:tblBorders>
          <w:top w:val="single" w:color="1F3A5F" w:sz="2"/>
          <w:left w:val="single" w:color="1F3A5F" w:sz="18"/>
          <w:bottom w:val="single" w:color="1F3A5F" w:sz="2"/>
          <w:right w:val="single" w:color="1F3A5F" w:sz="2"/>
          <w:insideH w:val="none"/>
          <w:insideV w:val="none"/>
        </w:tblBorders>
      </w:tblPr>
      <w:tblGrid>
        <w:gridCol w:w="10080"/>
      </w:tblGrid>
      <w:tr>
        <w:tc>
          <w:tcPr>
            <w:tcW w:type="dxa" w:w="10080"/>
            <w:shd w:fill="F2F5F8" w:color="auto" w:val="clear"/>
            <w:tcMar>
              <w:top w:type="dxa" w:w="130"/>
              <w:left w:type="dxa" w:w="170"/>
              <w:bottom w:type="dxa" w:w="130"/>
              <w:right w:type="dxa" w:w="150"/>
            </w:tcMar>
          </w:tcPr>
          <w:p>
            <w:pPr>
              <w:spacing w:after="0" w:line="258"/>
            </w:pPr>
            <w:r>
              <w:rPr>
                <w:rFonts w:ascii="Calibri" w:cs="Calibri" w:eastAsia="Calibri" w:hAnsi="Calibri"/>
                <w:b/>
                <w:bCs/>
                <w:color w:val="1F3A5F"/>
                <w:sz w:val="19"/>
                <w:szCs w:val="19"/>
              </w:rPr>
              <w:t xml:space="preserve">Conditions to execution — </w:t>
            </w:r>
            <w:r>
              <w:rPr>
                <w:rFonts w:ascii="Calibri" w:cs="Calibri" w:eastAsia="Calibri" w:hAnsi="Calibri"/>
                <w:sz w:val="19"/>
                <w:szCs w:val="19"/>
              </w:rPr>
              <w:t xml:space="preserve">Before signature, complete: (1) the employing entity's exact registered name; (2) compensation, incentive terms, and benefit terms; (3) reporting officer and effective date; (4) all KPI blanks; (5) Schedule 1 legal entities and measured radius figures. Separately approve and attach: the transportation eligibility policy, the nonprofit social-support policy, the telematics and driver policy, the medication-delivery SOP, each Affiliated Practice MSA, and any future EMS operations manual.</w:t>
            </w:r>
          </w:p>
        </w:tc>
      </w:tr>
    </w:tbl>
    <w:p>
      <w:pPr>
        <w:spacing w:after="200"/>
      </w:pPr>
    </w:p>
    <w:p>
      <w:pPr>
        <w:pStyle w:val="Heading2"/>
        <w:spacing w:after="100" w:before="220"/>
      </w:pPr>
      <w:r>
        <w:rPr>
          <w:rFonts w:ascii="Calibri" w:cs="Calibri" w:eastAsia="Calibri" w:hAnsi="Calibri"/>
          <w:b/>
          <w:bCs/>
          <w:color w:val="0F766E"/>
          <w:sz w:val="22"/>
          <w:szCs w:val="22"/>
        </w:rPr>
        <w:t xml:space="preserve">Drafting authorities reviewed</w:t>
      </w:r>
    </w:p>
    <w:p>
      <w:pPr>
        <w:pStyle w:val="ListParagraph"/>
        <w:numPr>
          <w:ilvl w:val="0"/>
          <w:numId w:val="2"/>
        </w:numPr>
        <w:spacing w:after="90" w:line="264"/>
      </w:pPr>
      <w:r>
        <w:rPr>
          <w:rFonts w:ascii="Calibri" w:cs="Calibri" w:eastAsia="Calibri" w:hAnsi="Calibri"/>
          <w:sz w:val="21"/>
          <w:szCs w:val="21"/>
        </w:rPr>
        <w:t xml:space="preserve">Florida Statutes Chapter 401 (Medical Telecommunications and Transportation), including §§ 401.26, 401.272, 401.281, 401.31, 401.35.</w:t>
      </w:r>
    </w:p>
    <w:p>
      <w:pPr>
        <w:pStyle w:val="ListParagraph"/>
        <w:numPr>
          <w:ilvl w:val="0"/>
          <w:numId w:val="2"/>
        </w:numPr>
        <w:spacing w:after="90" w:line="264"/>
      </w:pPr>
      <w:r>
        <w:rPr>
          <w:rFonts w:ascii="Calibri" w:cs="Calibri" w:eastAsia="Calibri" w:hAnsi="Calibri"/>
          <w:sz w:val="21"/>
          <w:szCs w:val="21"/>
        </w:rPr>
        <w:t xml:space="preserve">Florida Administrative Code Chapter 64J-1 (Emergency Medical Services), including Rules 64J-1.007 and 64J-1.013; historical 64E-2 numbering noted by the Department.</w:t>
      </w:r>
    </w:p>
    <w:p>
      <w:pPr>
        <w:pStyle w:val="ListParagraph"/>
        <w:numPr>
          <w:ilvl w:val="0"/>
          <w:numId w:val="2"/>
        </w:numPr>
        <w:spacing w:after="90" w:line="264"/>
      </w:pPr>
      <w:r>
        <w:rPr>
          <w:rFonts w:ascii="Calibri" w:cs="Calibri" w:eastAsia="Calibri" w:hAnsi="Calibri"/>
          <w:sz w:val="21"/>
          <w:szCs w:val="21"/>
        </w:rPr>
        <w:t xml:space="preserve">42 C.F.R. § 1001.952(bb), HHS OIG local transportation safe harbor; 42 U.S.C. § 1320a-7b; 42 U.S.C. § 1320a-7a(a)(5).</w:t>
      </w:r>
    </w:p>
    <w:p>
      <w:pPr>
        <w:pStyle w:val="ListParagraph"/>
        <w:numPr>
          <w:ilvl w:val="0"/>
          <w:numId w:val="2"/>
        </w:numPr>
        <w:spacing w:after="90" w:line="264"/>
      </w:pPr>
      <w:r>
        <w:rPr>
          <w:rFonts w:ascii="Calibri" w:cs="Calibri" w:eastAsia="Calibri" w:hAnsi="Calibri"/>
          <w:sz w:val="21"/>
          <w:szCs w:val="21"/>
        </w:rPr>
        <w:t xml:space="preserve">Florida Statutes §§ 817.505 (Patient Brokering Act), 458.331(1)(i) (fee-splitting), Chapter 400 Part X (Health Care Clinic Act).</w:t>
      </w:r>
    </w:p>
    <w:p>
      <w:pPr>
        <w:pStyle w:val="ListParagraph"/>
        <w:numPr>
          <w:ilvl w:val="0"/>
          <w:numId w:val="2"/>
        </w:numPr>
        <w:spacing w:after="90" w:line="264"/>
      </w:pPr>
      <w:r>
        <w:rPr>
          <w:rFonts w:ascii="Calibri" w:cs="Calibri" w:eastAsia="Calibri" w:hAnsi="Calibri"/>
          <w:sz w:val="21"/>
          <w:szCs w:val="21"/>
        </w:rPr>
        <w:t xml:space="preserve">Florida Statutes Chapters 316, 322, 435, 934; §§ 324.021, 440.102, 542.335, 627.733.</w:t>
      </w:r>
    </w:p>
    <w:p>
      <w:pPr>
        <w:pStyle w:val="ListParagraph"/>
        <w:numPr>
          <w:ilvl w:val="0"/>
          <w:numId w:val="2"/>
        </w:numPr>
        <w:spacing w:after="90" w:line="264"/>
      </w:pPr>
      <w:r>
        <w:rPr>
          <w:rFonts w:ascii="Calibri" w:cs="Calibri" w:eastAsia="Calibri" w:hAnsi="Calibri"/>
          <w:sz w:val="21"/>
          <w:szCs w:val="21"/>
        </w:rPr>
        <w:t xml:space="preserve">CMS, Transitional Care Management Services (MLN908628).</w:t>
      </w:r>
    </w:p>
    <w:p>
      <w:pPr>
        <w:pStyle w:val="ListParagraph"/>
        <w:numPr>
          <w:ilvl w:val="0"/>
          <w:numId w:val="2"/>
        </w:numPr>
        <w:spacing w:after="90" w:line="264"/>
      </w:pPr>
      <w:r>
        <w:rPr>
          <w:rFonts w:ascii="Calibri" w:cs="Calibri" w:eastAsia="Calibri" w:hAnsi="Calibri"/>
          <w:sz w:val="21"/>
          <w:szCs w:val="21"/>
        </w:rPr>
        <w:t xml:space="preserve">HIPAA Privacy, Security, and Breach Notification Rules, 45 C.F.R. Parts 160, 162, and 164.</w:t>
      </w:r>
    </w:p>
    <w:sectPr>
      <w:headerReference w:type="default" r:id="rId7"/>
      <w:footerReference w:type="default" r:id="rId8"/>
      <w:pgSz w:w="12240" w:h="15840" w:orient="portrait"/>
      <w:pgMar w:top="120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i/>
        <w:iCs/>
        <w:color w:val="5B6470"/>
        <w:sz w:val="15"/>
        <w:szCs w:val="15"/>
      </w:rPr>
      <w:t xml:space="preserve">Confidential — Draft for counsel review. Not for execution until Schedule 1 and all blanks are completed.</w:t>
    </w:r>
    <w:r>
      <w:ptab w:alignment="right" w:relativeTo="margin" w:leader="none"/>
    </w:r>
    <w:r>
      <w:rPr>
        <w:rFonts w:ascii="Calibri" w:cs="Calibri" w:eastAsia="Calibri" w:hAnsi="Calibri"/>
        <w:color w:val="5B647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0"/>
    </w:pPr>
    <w:r>
      <w:rPr>
        <w:rFonts w:ascii="Calibri" w:cs="Calibri" w:eastAsia="Calibri" w:hAnsi="Calibri"/>
        <w:b/>
        <w:bCs/>
        <w:color w:val="1F3A5F"/>
        <w:sz w:val="16"/>
        <w:szCs w:val="16"/>
      </w:rPr>
      <w:t>MEDISUN HEALTH GROUP</w:t>
    </w:r>
    <w:r>
      <w:tab/>
    </w:r>
    <w:r>
      <w:rPr>
        <w:rFonts w:ascii="Calibri" w:cs="Calibri" w:eastAsia="Calibri" w:hAnsi="Calibri"/>
        <w:color w:val="5B6470"/>
        <w:sz w:val="16"/>
        <w:szCs w:val="16"/>
      </w:rPr>
      <w:t>Executive Employment Agreement — Senior Logistics &amp; Mobility Operations Supervisor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b/>
        <w:bCs/>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Employment Agreement — Senior Logistics &amp; Mobility Operations Supervisor</dc:title>
  <dc:creator>Medisun Health Group</dc:creator>
  <dc:description>v2.0 — Medisun Health Group MSO</dc:description>
  <cp:lastModifiedBy>Un-named</cp:lastModifiedBy>
  <cp:revision>1</cp:revision>
  <dcterms:created xsi:type="dcterms:W3CDTF">2026-08-16T18:25:28.982Z</dcterms:created>
  <dcterms:modified xsi:type="dcterms:W3CDTF">2026-08-16T18:25:28.982Z</dcterms:modified>
</cp:coreProperties>
</file>

<file path=docProps/custom.xml><?xml version="1.0" encoding="utf-8"?>
<Properties xmlns="http://schemas.openxmlformats.org/officeDocument/2006/custom-properties" xmlns:vt="http://schemas.openxmlformats.org/officeDocument/2006/docPropsVTypes"/>
</file>