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i w:val="0"/>
          <w:sz w:val="32"/>
        </w:rPr>
        <w:t>The Ledger and the Well — Book Five</w:t>
      </w:r>
    </w:p>
    <w:p>
      <w:pPr>
        <w:jc w:val="center"/>
      </w:pPr>
      <w:r>
        <w:rPr>
          <w:rFonts w:ascii="EB Garamond" w:hAnsi="EB Garamond"/>
          <w:b/>
          <w:i w:val="0"/>
          <w:sz w:val="26"/>
        </w:rPr>
        <w:t>Change Log: v15 → v16</w:t>
      </w:r>
    </w:p>
    <w:p>
      <w:pPr>
        <w:jc w:val="center"/>
      </w:pPr>
      <w:r>
        <w:rPr>
          <w:rFonts w:ascii="EB Garamond" w:hAnsi="EB Garamond"/>
          <w:b w:val="0"/>
          <w:i/>
          <w:sz w:val="21"/>
        </w:rPr>
        <w:t>The veiling custom woven in, and an earned “veil upon veil” passage</w:t>
      </w:r>
    </w:p>
    <w:p/>
    <w:p>
      <w:pPr>
        <w:spacing w:after="120"/>
      </w:pPr>
      <w:r>
        <w:rPr>
          <w:rFonts w:ascii="EB Garamond" w:hAnsi="EB Garamond"/>
          <w:b w:val="0"/>
          <w:i w:val="0"/>
          <w:sz w:val="22"/>
        </w:rPr>
        <w:t>This pass adds the veiling custom as a live thread and pays it off in a single, load-bearing night passage. Nothing else in the manuscript was altered: the v15 voice, continuity, and formatting all stand. Four passages were added (about 985 words); word count rose from 46,782 to 47,767.</w:t>
      </w:r>
    </w:p>
    <w:p>
      <w:pPr>
        <w:pStyle w:val="Heading1"/>
      </w:pPr>
      <w:r>
        <w:t>Why veiling belongs in this book</w:t>
      </w:r>
    </w:p>
    <w:p>
      <w:pPr>
        <w:spacing w:after="120"/>
      </w:pPr>
      <w:r>
        <w:rPr>
          <w:rFonts w:ascii="EB Garamond" w:hAnsi="EB Garamond"/>
          <w:b w:val="0"/>
          <w:i w:val="0"/>
          <w:sz w:val="21"/>
        </w:rPr>
        <w:t>In nineteenth-century Arabia the veil was not merely modesty; it was a legal and social marker of free, protected status. Jurists held that free women covered (face, hair, throat) and secluded, while enslaved women were kept uncovered — their bodies legally “visible” for labor and market inspection. Dressing like a free woman could be openly rebuked. That single fact turns Wadha and Munira's story on a hinge the book had not yet used: as slaves they went bareface; manumission gave Wadha, for the first time, the right to cover — and Munira, sold onward, never received it.</w:t>
      </w:r>
    </w:p>
    <w:p>
      <w:pPr>
        <w:pStyle w:val="Heading1"/>
      </w:pPr>
      <w:r>
        <w:t>The four additions (with locations)</w:t>
      </w:r>
    </w:p>
    <w:p>
      <w:pPr>
        <w:spacing w:after="120"/>
      </w:pPr>
      <w:r>
        <w:rPr>
          <w:rFonts w:ascii="EB Garamond" w:hAnsi="EB Garamond"/>
          <w:b/>
          <w:i w:val="0"/>
          <w:sz w:val="22"/>
        </w:rPr>
        <w:t>1. Chapter Three — establishing beat (the enslaved go bareface).</w:t>
      </w:r>
    </w:p>
    <w:p>
      <w:pPr>
        <w:spacing w:after="120"/>
      </w:pPr>
      <w:r>
        <w:rPr>
          <w:rFonts w:ascii="EB Garamond" w:hAnsi="EB Garamond"/>
          <w:b w:val="0"/>
          <w:i w:val="0"/>
          <w:sz w:val="20"/>
        </w:rPr>
        <w:t>Inserted right after the two sisters are split, so the reader feels the mark before it is later lifted.</w:t>
      </w:r>
    </w:p>
    <w:p>
      <w:pPr>
        <w:spacing w:after="160"/>
        <w:ind w:left="432"/>
      </w:pPr>
      <w:r>
        <w:rPr>
          <w:rFonts w:ascii="EB Garamond" w:hAnsi="EB Garamond"/>
          <w:i/>
          <w:sz w:val="20"/>
        </w:rPr>
        <w:t>“…They went through that first year, and the years around it, barefaced. That was the trade's mark on a woman as plainly as any brand… to go uncovered in that country was not freedom but its plainest opposite — the daily, visible notice that they belonged to the reckoning and not to themselves.”</w:t>
      </w:r>
    </w:p>
    <w:p>
      <w:pPr>
        <w:spacing w:after="120"/>
      </w:pPr>
      <w:r>
        <w:rPr>
          <w:rFonts w:ascii="EB Garamond" w:hAnsi="EB Garamond"/>
          <w:b/>
          <w:i w:val="0"/>
          <w:sz w:val="22"/>
        </w:rPr>
        <w:t>2. Chapter Four — the manumission veil (exhilaration, costed).</w:t>
      </w:r>
    </w:p>
    <w:p>
      <w:pPr>
        <w:spacing w:after="120"/>
      </w:pPr>
      <w:r>
        <w:rPr>
          <w:rFonts w:ascii="EB Garamond" w:hAnsi="EB Garamond"/>
          <w:b w:val="0"/>
          <w:i w:val="0"/>
          <w:sz w:val="20"/>
        </w:rPr>
        <w:t>Inserted into the morning-after-manumission scene: a stranger comes up the track with news, and Wadha, now free, draws a cloth across her face for the first time in her life — in the same breath that brings Munira's name. The chapter's “feel two things at once” now has a body.</w:t>
      </w:r>
    </w:p>
    <w:p>
      <w:pPr>
        <w:spacing w:after="160"/>
        <w:ind w:left="432"/>
      </w:pPr>
      <w:r>
        <w:rPr>
          <w:rFonts w:ascii="EB Garamond" w:hAnsi="EB Garamond"/>
          <w:i/>
          <w:sz w:val="20"/>
        </w:rPr>
        <w:t>“…Wadha lifted the edge of her head-cloth and drew it across her face, and held it there. It was the first time in her life she had been permitted to… the small dark cloth across her face was the plainest deed her freedom had yet done — worth, to the grain, exactly what it had cost Talal in camels and competence to make it possible. She was not hiding. She was saying, in the one grammar that country read at a glance, that there was a woman here now whose face was her own, to give or to keep.”</w:t>
      </w:r>
    </w:p>
    <w:p>
      <w:pPr>
        <w:spacing w:after="120"/>
      </w:pPr>
      <w:r>
        <w:rPr>
          <w:rFonts w:ascii="EB Garamond" w:hAnsi="EB Garamond"/>
          <w:b w:val="0"/>
          <w:i/>
          <w:sz w:val="19"/>
        </w:rPr>
        <w:t>A one-line seam edit followed (“And the news that man carried, once the coffee had gone round…”) so the newsman is not introduced twice.</w:t>
      </w:r>
    </w:p>
    <w:p>
      <w:pPr>
        <w:spacing w:after="120"/>
      </w:pPr>
      <w:r>
        <w:rPr>
          <w:rFonts w:ascii="EB Garamond" w:hAnsi="EB Garamond"/>
          <w:b/>
          <w:i w:val="0"/>
          <w:sz w:val="22"/>
        </w:rPr>
        <w:t>3. Chapter Eight — the “veil upon veil” night passage (the apex).</w:t>
      </w:r>
    </w:p>
    <w:p>
      <w:pPr>
        <w:spacing w:after="120"/>
      </w:pPr>
      <w:r>
        <w:rPr>
          <w:rFonts w:ascii="EB Garamond" w:hAnsi="EB Garamond"/>
          <w:b w:val="0"/>
          <w:i w:val="0"/>
          <w:sz w:val="20"/>
        </w:rPr>
        <w:t>A new night scene closes the domestic chapter. Wadha, having taught the yard the ode's dawn-opening (the abandoned camp, the beloved's traces — the same Mu'allaqa the Blunts will write down at Ha'il), stays out alone as the ode runs on into its night-passage. The phrase is earned on three levels at once:</w:t>
      </w:r>
    </w:p>
    <w:p>
      <w:pPr>
        <w:pStyle w:val="ListBullet2"/>
        <w:spacing w:after="60"/>
      </w:pPr>
      <w:r>
        <w:rPr>
          <w:rFonts w:ascii="EB Garamond" w:hAnsi="EB Garamond"/>
          <w:sz w:val="21"/>
        </w:rPr>
        <w:t>the poem — Imru' al-Qais's own image of night descending veil upon veil to “try the heart” (public-domain ode; rendered afresh, attributed in-world as “the old line”);</w:t>
      </w:r>
    </w:p>
    <w:p>
      <w:pPr>
        <w:pStyle w:val="ListBullet2"/>
        <w:spacing w:after="60"/>
      </w:pPr>
      <w:r>
        <w:rPr>
          <w:rFonts w:ascii="EB Garamond" w:hAnsi="EB Garamond"/>
          <w:sz w:val="21"/>
        </w:rPr>
        <w:t>the custom — the freed woman's veil Wadha may now wear against the sister who died uncovered, a slave to the last;</w:t>
      </w:r>
    </w:p>
    <w:p>
      <w:pPr>
        <w:pStyle w:val="ListBullet2"/>
        <w:spacing w:after="60"/>
      </w:pPr>
      <w:r>
        <w:rPr>
          <w:rFonts w:ascii="EB Garamond" w:hAnsi="EB Garamond"/>
          <w:sz w:val="21"/>
        </w:rPr>
        <w:t>the grief — the descending desert dark, and grief itself, as veils that cover everything but the one loss.</w:t>
      </w:r>
    </w:p>
    <w:p>
      <w:pPr>
        <w:spacing w:after="160"/>
        <w:ind w:left="432"/>
      </w:pPr>
      <w:r>
        <w:rPr>
          <w:rFonts w:ascii="EB Garamond" w:hAnsi="EB Garamond"/>
          <w:i/>
          <w:sz w:val="20"/>
        </w:rPr>
        <w:t>“Veil upon veil, the old line ran, the night lets down its veils, dark as a sea to try the heart — and she sat, and let it try hers… Munira had gone into the world uncovered. That was the thing the veils came down on, veil upon veil, and would not let her put aside… the same distance the ode had always been about, though the ode believed it was grieving a campsite. The beloved's traces in the sand. The one who went on.”</w:t>
      </w:r>
    </w:p>
    <w:p>
      <w:pPr>
        <w:spacing w:after="120"/>
      </w:pPr>
      <w:r>
        <w:rPr>
          <w:rFonts w:ascii="EB Garamond" w:hAnsi="EB Garamond"/>
          <w:b w:val="0"/>
          <w:i w:val="0"/>
          <w:sz w:val="20"/>
        </w:rPr>
        <w:t>It also turns the book's own poem-teaching motif (a line with its second half missing) to its most painful use in the final image: Wadha lies down and says nothing, “the truest verse she owned: the one with its whole second half missing, that no one would ever come in to complete.”</w:t>
      </w:r>
    </w:p>
    <w:p>
      <w:pPr>
        <w:spacing w:after="120"/>
      </w:pPr>
      <w:r>
        <w:rPr>
          <w:rFonts w:ascii="EB Garamond" w:hAnsi="EB Garamond"/>
          <w:b/>
          <w:i w:val="0"/>
          <w:sz w:val="22"/>
        </w:rPr>
        <w:t>4. Chapter Thirteen — coast texture (the Gulf battula).</w:t>
      </w:r>
    </w:p>
    <w:p>
      <w:pPr>
        <w:spacing w:after="120"/>
      </w:pPr>
      <w:r>
        <w:rPr>
          <w:rFonts w:ascii="EB Garamond" w:hAnsi="EB Garamond"/>
          <w:b w:val="0"/>
          <w:i w:val="0"/>
          <w:sz w:val="20"/>
        </w:rPr>
        <w:t>A brief, region-accurate beat in the Kuwait arrival: the metallic indigo face-mask of the Gulf coast (worn by married coastal women, unknown in the interior), reinforcing the motif and Khamis's desert skepticism.</w:t>
      </w:r>
    </w:p>
    <w:p>
      <w:pPr>
        <w:spacing w:after="160"/>
        <w:ind w:left="432"/>
      </w:pPr>
      <w:r>
        <w:rPr>
          <w:rFonts w:ascii="EB Garamond" w:hAnsi="EB Garamond"/>
          <w:i/>
          <w:sz w:val="20"/>
        </w:rPr>
        <w:t>“…a battula shaped to the cheekbones, slit for the eyes, rubbed until the dark of it threw back the harbor light like beaten gold — the mask a married woman of the Gulf wore against the sun and the strangers at once. Ghadir had no use for the thing and no word for it… a coast which could afford to gild even the hiding of a face was a coast carrying more silver than sense.”</w:t>
      </w:r>
    </w:p>
    <w:p>
      <w:pPr>
        <w:pStyle w:val="Heading1"/>
      </w:pPr>
      <w:r>
        <w:t>Historical grounding</w:t>
      </w:r>
    </w:p>
    <w:p>
      <w:pPr>
        <w:pStyle w:val="ListBullet"/>
        <w:spacing w:after="60"/>
      </w:pPr>
      <w:r>
        <w:rPr>
          <w:rFonts w:ascii="EB Garamond" w:hAnsi="EB Garamond"/>
          <w:sz w:val="21"/>
        </w:rPr>
        <w:t>Veil as a free/enslaved status marker; enslaved women kept uncovered for labor and inspection — supported by Islamic legal history (Hanafi and other schools) and period scholarship.</w:t>
      </w:r>
    </w:p>
    <w:p>
      <w:pPr>
        <w:pStyle w:val="ListBullet"/>
        <w:spacing w:after="60"/>
      </w:pPr>
      <w:r>
        <w:rPr>
          <w:rFonts w:ascii="EB Garamond" w:hAnsi="EB Garamond"/>
          <w:sz w:val="21"/>
        </w:rPr>
        <w:t>Interior Nejd covering = head-cloth/shayla drawn across the face before non-kin men; the enveloping abaya over it. No metallic mask inland.</w:t>
      </w:r>
    </w:p>
    <w:p>
      <w:pPr>
        <w:pStyle w:val="ListBullet"/>
        <w:spacing w:after="60"/>
      </w:pPr>
      <w:r>
        <w:rPr>
          <w:rFonts w:ascii="EB Garamond" w:hAnsi="EB Garamond"/>
          <w:sz w:val="21"/>
        </w:rPr>
        <w:t>The battula/burqu' = Gulf coast (Bahrain, Qatar, Trucial coast, Oman, Kuwait), married women, indigo-dyed Indian cotton pounded to a gold sheen — correctly placed only on the coast, not at Ghadir.</w:t>
      </w:r>
    </w:p>
    <w:p>
      <w:pPr>
        <w:pStyle w:val="ListBullet"/>
        <w:spacing w:after="60"/>
      </w:pPr>
      <w:r>
        <w:rPr>
          <w:rFonts w:ascii="EB Garamond" w:hAnsi="EB Garamond"/>
          <w:sz w:val="21"/>
        </w:rPr>
        <w:t>The “veil upon veil” night image is from Imru' al-Qais's Mu'allaqa, a pre-Islamic ode (public domain); the wording here is an original rendering, so nothing is lifted from a copyrighted modern translation.</w:t>
      </w:r>
    </w:p>
    <w:p>
      <w:pPr>
        <w:pStyle w:val="Heading1"/>
      </w:pPr>
      <w:r>
        <w:t>Motif discipline</w:t>
      </w:r>
    </w:p>
    <w:p>
      <w:pPr>
        <w:spacing w:after="120"/>
      </w:pPr>
      <w:r>
        <w:rPr>
          <w:rFonts w:ascii="EB Garamond" w:hAnsi="EB Garamond"/>
          <w:b w:val="0"/>
          <w:i w:val="0"/>
          <w:sz w:val="21"/>
        </w:rPr>
        <w:t>“Veil”/“veils” now appears eight times across the four passages plus “bareface(d)” three times and “battula” once — concentrated enough to register as a deliberate thread (like the dark pearl), not so frequent as to become a tic. The phrase “veil upon veil” itself lands exactly once, in the apex, so it keeps its force.</w:t>
      </w:r>
    </w:p>
    <w:p>
      <w:pPr>
        <w:pStyle w:val="Heading1"/>
      </w:pPr>
      <w:r>
        <w:t>A note on the title</w:t>
      </w:r>
    </w:p>
    <w:p>
      <w:pPr>
        <w:spacing w:after="120"/>
      </w:pPr>
      <w:r>
        <w:rPr>
          <w:rFonts w:ascii="EB Garamond" w:hAnsi="EB Garamond"/>
          <w:b w:val="0"/>
          <w:i w:val="0"/>
          <w:sz w:val="21"/>
        </w:rPr>
        <w:t>These additions make “Veil Upon Veil” a fully earned title if you want it: the phrase now names a real scene, carries the freedom/bondage meaning in the body of the book, and quietly is the ode the family has kept since Book One. No title change has been made yet — say the word and I will set it (with “The Ledger and the Well” demoted to a subtitle) across the manuscript, DOCX, and EPUB.</w:t>
      </w:r>
    </w:p>
    <w:p>
      <w:pPr>
        <w:pStyle w:val="Heading1"/>
      </w:pPr>
      <w:r>
        <w:t>Length (6×9 hardcover, EB Garamond 13.5)</w:t>
      </w:r>
    </w:p>
    <w:p>
      <w:pPr>
        <w:spacing w:after="120"/>
      </w:pPr>
      <w:r>
        <w:rPr>
          <w:rFonts w:ascii="EB Garamond" w:hAnsi="EB Garamond"/>
          <w:b w:val="0"/>
          <w:i w:val="0"/>
          <w:sz w:val="21"/>
        </w:rPr>
        <w:t>Word count: 47,767. On the manuscript's 6×9 geometry (4.5″×7.5″ text block), the setting runs about 33 lines/page at ~50 characters/line — roughly 324 words per typeset page, giving on the order of 148 pages of body text and, with front matter and chapter/part openings, approximately 169–181 pages as a finished hardcover.</w:t>
      </w:r>
    </w:p>
    <w:p>
      <w:pPr>
        <w:pStyle w:val="Heading1"/>
      </w:pPr>
      <w:r>
        <w:t>Files</w:t>
      </w:r>
    </w:p>
    <w:p>
      <w:pPr>
        <w:pStyle w:val="ListBullet"/>
        <w:spacing w:after="60"/>
      </w:pPr>
      <w:r>
        <w:rPr>
          <w:rFonts w:ascii="EB Garamond" w:hAnsi="EB Garamond"/>
          <w:sz w:val="21"/>
        </w:rPr>
        <w:t>Manuscript: Arabia_Bk5_v16.docx</w:t>
      </w:r>
    </w:p>
    <w:p>
      <w:pPr>
        <w:pStyle w:val="ListBullet"/>
        <w:spacing w:after="60"/>
      </w:pPr>
      <w:r>
        <w:rPr>
          <w:rFonts w:ascii="EB Garamond" w:hAnsi="EB Garamond"/>
          <w:sz w:val="21"/>
        </w:rPr>
        <w:t>E-book: Arabia_Bk5_v16.epub (EPUB 3; nested, clickable TOC with chapter numbers + titles; Send-to-Kindle ready)</w:t>
      </w:r>
    </w:p>
    <w:p>
      <w:pPr>
        <w:pStyle w:val="ListBullet"/>
        <w:spacing w:after="60"/>
      </w:pPr>
      <w:r>
        <w:rPr>
          <w:rFonts w:ascii="EB Garamond" w:hAnsi="EB Garamond"/>
          <w:sz w:val="21"/>
        </w:rPr>
        <w:t>This log: ChangesBk5_v16.docx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